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688B" w:rsidR="00C53BD5" w:rsidP="002F558A" w:rsidRDefault="00C53BD5" w14:paraId="268D7905" w14:textId="77777777">
      <w:pPr>
        <w:spacing w:after="120"/>
        <w:jc w:val="center"/>
        <w:rPr>
          <w:rFonts w:asciiTheme="minorHAnsi" w:hAnsiTheme="minorHAnsi"/>
          <w:b/>
          <w:sz w:val="22"/>
        </w:rPr>
      </w:pPr>
      <w:r w:rsidRPr="0055688B">
        <w:rPr>
          <w:rFonts w:asciiTheme="minorHAnsi" w:hAnsiTheme="minorHAnsi"/>
          <w:b/>
          <w:sz w:val="22"/>
        </w:rPr>
        <w:t xml:space="preserve">Toetsingskader garantie </w:t>
      </w:r>
      <w:r w:rsidRPr="0055688B" w:rsidR="00093FEE">
        <w:rPr>
          <w:rFonts w:asciiTheme="minorHAnsi" w:hAnsiTheme="minorHAnsi"/>
          <w:b/>
          <w:sz w:val="22"/>
        </w:rPr>
        <w:t xml:space="preserve">ten behoeve van </w:t>
      </w:r>
      <w:r w:rsidRPr="0055688B" w:rsidR="00D832D5">
        <w:rPr>
          <w:rFonts w:asciiTheme="minorHAnsi" w:hAnsiTheme="minorHAnsi"/>
          <w:b/>
          <w:sz w:val="22"/>
        </w:rPr>
        <w:t>DGS</w:t>
      </w:r>
      <w:r w:rsidRPr="0055688B" w:rsidR="00093FEE">
        <w:rPr>
          <w:rFonts w:asciiTheme="minorHAnsi" w:hAnsiTheme="minorHAnsi"/>
          <w:b/>
          <w:sz w:val="22"/>
        </w:rPr>
        <w:t xml:space="preserve"> Bonaire, Sint Eustatius en Saba (BES-eilanden)</w:t>
      </w:r>
    </w:p>
    <w:p w:rsidRPr="0055688B" w:rsidR="00B8693A" w:rsidP="002F558A" w:rsidRDefault="00B8693A" w14:paraId="1C687050" w14:textId="77777777">
      <w:pPr>
        <w:spacing w:after="0"/>
        <w:jc w:val="both"/>
        <w:rPr>
          <w:rFonts w:asciiTheme="minorHAnsi" w:hAnsiTheme="minorHAnsi"/>
          <w:b/>
          <w:szCs w:val="18"/>
        </w:rPr>
      </w:pPr>
      <w:r w:rsidRPr="0055688B">
        <w:rPr>
          <w:rFonts w:asciiTheme="minorHAnsi" w:hAnsiTheme="minorHAnsi"/>
          <w:b/>
          <w:szCs w:val="18"/>
        </w:rPr>
        <w:t>Inleiding</w:t>
      </w:r>
    </w:p>
    <w:p w:rsidRPr="00671A2C" w:rsidR="00093FEE" w:rsidP="002F558A" w:rsidRDefault="00093FEE" w14:paraId="6DA96914" w14:textId="5B8E139C">
      <w:pPr>
        <w:spacing w:after="0"/>
        <w:jc w:val="both"/>
        <w:rPr>
          <w:rFonts w:cs="Arial" w:asciiTheme="minorHAnsi" w:hAnsiTheme="minorHAnsi"/>
          <w:szCs w:val="18"/>
        </w:rPr>
      </w:pPr>
      <w:r w:rsidRPr="0055688B">
        <w:rPr>
          <w:rFonts w:asciiTheme="minorHAnsi" w:hAnsiTheme="minorHAnsi"/>
          <w:szCs w:val="18"/>
        </w:rPr>
        <w:t>Om depositohouders te beschermen en de stabiliteit van het financiële stelsel te vergroten</w:t>
      </w:r>
      <w:r w:rsidR="0088456C">
        <w:rPr>
          <w:rFonts w:asciiTheme="minorHAnsi" w:hAnsiTheme="minorHAnsi"/>
          <w:szCs w:val="18"/>
        </w:rPr>
        <w:t>,</w:t>
      </w:r>
      <w:r w:rsidRPr="0055688B">
        <w:rPr>
          <w:rFonts w:asciiTheme="minorHAnsi" w:hAnsiTheme="minorHAnsi"/>
          <w:szCs w:val="18"/>
        </w:rPr>
        <w:t xml:space="preserve"> is</w:t>
      </w:r>
      <w:r w:rsidRPr="0055688B" w:rsidR="0076642E">
        <w:rPr>
          <w:rFonts w:asciiTheme="minorHAnsi" w:hAnsiTheme="minorHAnsi"/>
          <w:szCs w:val="18"/>
        </w:rPr>
        <w:t xml:space="preserve"> er in 2017 voor Bonaire, Sint-Eustatius en Saba (</w:t>
      </w:r>
      <w:r w:rsidRPr="0055688B">
        <w:rPr>
          <w:rFonts w:asciiTheme="minorHAnsi" w:hAnsiTheme="minorHAnsi"/>
          <w:szCs w:val="18"/>
        </w:rPr>
        <w:t>de BES-eilanden</w:t>
      </w:r>
      <w:r w:rsidRPr="0055688B" w:rsidR="0076642E">
        <w:rPr>
          <w:rFonts w:asciiTheme="minorHAnsi" w:hAnsiTheme="minorHAnsi"/>
          <w:szCs w:val="18"/>
        </w:rPr>
        <w:t>)</w:t>
      </w:r>
      <w:r w:rsidRPr="0055688B">
        <w:rPr>
          <w:rFonts w:asciiTheme="minorHAnsi" w:hAnsiTheme="minorHAnsi"/>
          <w:szCs w:val="18"/>
        </w:rPr>
        <w:t xml:space="preserve"> een </w:t>
      </w:r>
      <w:r w:rsidRPr="0055688B" w:rsidR="001F7641">
        <w:rPr>
          <w:rFonts w:asciiTheme="minorHAnsi" w:hAnsiTheme="minorHAnsi"/>
          <w:szCs w:val="18"/>
        </w:rPr>
        <w:t>depositogarantiestelsel voor Caribisch Nederland ingevoerd (DGS BES)</w:t>
      </w:r>
      <w:r w:rsidRPr="0055688B" w:rsidR="00B63DB9">
        <w:rPr>
          <w:rFonts w:asciiTheme="minorHAnsi" w:hAnsiTheme="minorHAnsi"/>
          <w:szCs w:val="18"/>
        </w:rPr>
        <w:t>.</w:t>
      </w:r>
      <w:r w:rsidRPr="0055688B">
        <w:rPr>
          <w:rFonts w:asciiTheme="minorHAnsi" w:hAnsiTheme="minorHAnsi"/>
          <w:szCs w:val="18"/>
        </w:rPr>
        <w:t xml:space="preserve"> </w:t>
      </w:r>
      <w:r w:rsidR="00671A2C">
        <w:rPr>
          <w:rFonts w:asciiTheme="minorHAnsi" w:hAnsiTheme="minorHAnsi"/>
          <w:szCs w:val="18"/>
        </w:rPr>
        <w:t>Dit stelsel is verplicht na drie jaar geëvalueerd</w:t>
      </w:r>
      <w:r w:rsidR="00173FFC">
        <w:rPr>
          <w:rFonts w:asciiTheme="minorHAnsi" w:hAnsiTheme="minorHAnsi"/>
          <w:szCs w:val="18"/>
        </w:rPr>
        <w:t>.</w:t>
      </w:r>
      <w:r w:rsidRPr="0055688B" w:rsidR="001F7641">
        <w:rPr>
          <w:rFonts w:cs="Arial" w:asciiTheme="minorHAnsi" w:hAnsiTheme="minorHAnsi"/>
          <w:szCs w:val="18"/>
        </w:rPr>
        <w:t xml:space="preserve"> </w:t>
      </w:r>
      <w:r w:rsidRPr="00671A2C" w:rsidR="001F7641">
        <w:rPr>
          <w:rFonts w:cs="Arial" w:asciiTheme="minorHAnsi" w:hAnsiTheme="minorHAnsi"/>
          <w:szCs w:val="18"/>
        </w:rPr>
        <w:t xml:space="preserve">De conclusie </w:t>
      </w:r>
      <w:r w:rsidR="00671A2C">
        <w:rPr>
          <w:rFonts w:cs="Arial" w:asciiTheme="minorHAnsi" w:hAnsiTheme="minorHAnsi"/>
          <w:szCs w:val="18"/>
        </w:rPr>
        <w:t>was</w:t>
      </w:r>
      <w:r w:rsidRPr="00671A2C" w:rsidR="001F7641">
        <w:rPr>
          <w:rFonts w:cs="Arial" w:asciiTheme="minorHAnsi" w:hAnsiTheme="minorHAnsi"/>
          <w:szCs w:val="18"/>
        </w:rPr>
        <w:t xml:space="preserve"> dat DGS BES in de </w:t>
      </w:r>
      <w:r w:rsidR="00671A2C">
        <w:rPr>
          <w:rFonts w:cs="Arial" w:asciiTheme="minorHAnsi" w:hAnsiTheme="minorHAnsi"/>
          <w:szCs w:val="18"/>
        </w:rPr>
        <w:t>vorige</w:t>
      </w:r>
      <w:r w:rsidRPr="00671A2C" w:rsidR="001F7641">
        <w:rPr>
          <w:rFonts w:cs="Arial" w:asciiTheme="minorHAnsi" w:hAnsiTheme="minorHAnsi"/>
          <w:szCs w:val="18"/>
        </w:rPr>
        <w:t xml:space="preserve"> opzet niet voldoende bijd</w:t>
      </w:r>
      <w:r w:rsidR="00671A2C">
        <w:rPr>
          <w:rFonts w:cs="Arial" w:asciiTheme="minorHAnsi" w:hAnsiTheme="minorHAnsi"/>
          <w:szCs w:val="18"/>
        </w:rPr>
        <w:t>roeg</w:t>
      </w:r>
      <w:r w:rsidR="00173FFC">
        <w:rPr>
          <w:rFonts w:cs="Arial" w:asciiTheme="minorHAnsi" w:hAnsiTheme="minorHAnsi"/>
          <w:szCs w:val="18"/>
        </w:rPr>
        <w:t xml:space="preserve"> </w:t>
      </w:r>
      <w:r w:rsidRPr="00671A2C" w:rsidR="001F7641">
        <w:rPr>
          <w:rFonts w:cs="Arial" w:asciiTheme="minorHAnsi" w:hAnsiTheme="minorHAnsi"/>
          <w:szCs w:val="18"/>
        </w:rPr>
        <w:t>aan het versterken van de financiële stabiliteit en bescherming van consumenten.</w:t>
      </w:r>
      <w:r w:rsidR="00671A2C">
        <w:rPr>
          <w:rFonts w:cs="Arial" w:asciiTheme="minorHAnsi" w:hAnsiTheme="minorHAnsi"/>
          <w:szCs w:val="18"/>
        </w:rPr>
        <w:t xml:space="preserve"> Daarom is per 1 januari 2025 een nieuw, zogeheten </w:t>
      </w:r>
      <w:r w:rsidR="00671A2C">
        <w:rPr>
          <w:rFonts w:cs="Arial" w:asciiTheme="minorHAnsi" w:hAnsiTheme="minorHAnsi"/>
          <w:i/>
          <w:iCs/>
          <w:szCs w:val="18"/>
        </w:rPr>
        <w:t>ex ante</w:t>
      </w:r>
      <w:r w:rsidR="00671A2C">
        <w:rPr>
          <w:rFonts w:cs="Arial" w:asciiTheme="minorHAnsi" w:hAnsiTheme="minorHAnsi"/>
          <w:szCs w:val="18"/>
        </w:rPr>
        <w:t>, stelsel ingevoerd. In dit stelsel draagt de sector naar rato bij aan een extern fonds</w:t>
      </w:r>
      <w:r w:rsidR="003D7D74">
        <w:rPr>
          <w:rFonts w:cs="Arial" w:asciiTheme="minorHAnsi" w:hAnsiTheme="minorHAnsi"/>
          <w:szCs w:val="18"/>
        </w:rPr>
        <w:t>, gehouden in een aparte stichting</w:t>
      </w:r>
      <w:r w:rsidR="00976887">
        <w:rPr>
          <w:rFonts w:cs="Arial" w:asciiTheme="minorHAnsi" w:hAnsiTheme="minorHAnsi"/>
          <w:szCs w:val="18"/>
        </w:rPr>
        <w:t xml:space="preserve">, waaruit in eerste instantie de betalingen worden gefinancierd bij faillissement van een bank. </w:t>
      </w:r>
      <w:r w:rsidR="003D7D74">
        <w:rPr>
          <w:rFonts w:cs="Arial" w:asciiTheme="minorHAnsi" w:hAnsiTheme="minorHAnsi"/>
          <w:szCs w:val="18"/>
        </w:rPr>
        <w:t>Het doelbedrag van dit fonds in ongeveer 12 mi</w:t>
      </w:r>
      <w:r w:rsidR="0088456C">
        <w:rPr>
          <w:rFonts w:cs="Arial" w:asciiTheme="minorHAnsi" w:hAnsiTheme="minorHAnsi"/>
          <w:szCs w:val="18"/>
        </w:rPr>
        <w:t>ljoen</w:t>
      </w:r>
      <w:r w:rsidR="003D7D74">
        <w:rPr>
          <w:rFonts w:cs="Arial" w:asciiTheme="minorHAnsi" w:hAnsiTheme="minorHAnsi"/>
          <w:szCs w:val="18"/>
        </w:rPr>
        <w:t xml:space="preserve"> USD</w:t>
      </w:r>
      <w:r w:rsidR="00173FFC">
        <w:rPr>
          <w:rFonts w:cs="Arial" w:asciiTheme="minorHAnsi" w:hAnsiTheme="minorHAnsi"/>
          <w:szCs w:val="18"/>
        </w:rPr>
        <w:t>.</w:t>
      </w:r>
      <w:r w:rsidR="003D7D74">
        <w:rPr>
          <w:rFonts w:cs="Arial" w:asciiTheme="minorHAnsi" w:hAnsiTheme="minorHAnsi"/>
          <w:szCs w:val="18"/>
        </w:rPr>
        <w:t xml:space="preserve"> </w:t>
      </w:r>
      <w:r w:rsidR="00B07D36">
        <w:rPr>
          <w:rFonts w:cs="Arial" w:asciiTheme="minorHAnsi" w:hAnsiTheme="minorHAnsi"/>
          <w:szCs w:val="18"/>
        </w:rPr>
        <w:t xml:space="preserve">DNB hecht vanuit haar resolutietaak aan het voorbereiden van </w:t>
      </w:r>
      <w:proofErr w:type="spellStart"/>
      <w:r w:rsidR="00B07D36">
        <w:rPr>
          <w:rFonts w:cs="Arial" w:asciiTheme="minorHAnsi" w:hAnsiTheme="minorHAnsi"/>
          <w:szCs w:val="18"/>
        </w:rPr>
        <w:t>achtervangfina</w:t>
      </w:r>
      <w:r w:rsidR="0088456C">
        <w:rPr>
          <w:rFonts w:cs="Arial" w:asciiTheme="minorHAnsi" w:hAnsiTheme="minorHAnsi"/>
          <w:szCs w:val="18"/>
        </w:rPr>
        <w:t>n</w:t>
      </w:r>
      <w:r w:rsidR="00B07D36">
        <w:rPr>
          <w:rFonts w:cs="Arial" w:asciiTheme="minorHAnsi" w:hAnsiTheme="minorHAnsi"/>
          <w:szCs w:val="18"/>
        </w:rPr>
        <w:t>ciering</w:t>
      </w:r>
      <w:proofErr w:type="spellEnd"/>
      <w:r w:rsidR="00B07D36">
        <w:rPr>
          <w:rFonts w:cs="Arial" w:asciiTheme="minorHAnsi" w:hAnsiTheme="minorHAnsi"/>
          <w:szCs w:val="18"/>
        </w:rPr>
        <w:t>, voor het geval een bank in Caribisch Nederland failliet gaat en de middelen uit het fonds niet volstaan. Hiervoor wordt een kredietovereenkomst voorbereid met de Belastingdienst Caribisch Nederland (BCN), inclusief een gekoppelde garantie.</w:t>
      </w:r>
    </w:p>
    <w:p w:rsidRPr="00BC378C" w:rsidR="009658E3" w:rsidP="005F36E4" w:rsidRDefault="009658E3" w14:paraId="3B426DB9" w14:textId="77777777">
      <w:pPr>
        <w:pStyle w:val="Default"/>
        <w:spacing w:line="276" w:lineRule="auto"/>
        <w:jc w:val="both"/>
        <w:rPr>
          <w:rFonts w:asciiTheme="minorHAnsi" w:hAnsiTheme="minorHAnsi"/>
          <w:sz w:val="18"/>
          <w:szCs w:val="18"/>
        </w:rPr>
      </w:pPr>
    </w:p>
    <w:p w:rsidRPr="0055688B" w:rsidR="00C53BD5" w:rsidP="00B03786" w:rsidRDefault="00C53BD5" w14:paraId="506862C3" w14:textId="5814E776">
      <w:pPr>
        <w:spacing w:after="0"/>
      </w:pPr>
      <w:r w:rsidRPr="0055688B">
        <w:rPr>
          <w:rFonts w:asciiTheme="minorHAnsi" w:hAnsiTheme="minorHAnsi"/>
          <w:b/>
          <w:szCs w:val="18"/>
        </w:rPr>
        <w:t xml:space="preserve">Probleemstelling </w:t>
      </w:r>
      <w:r w:rsidR="003E1F4C">
        <w:rPr>
          <w:rFonts w:asciiTheme="minorHAnsi" w:hAnsiTheme="minorHAnsi"/>
          <w:b/>
          <w:szCs w:val="18"/>
        </w:rPr>
        <w:t>en r</w:t>
      </w:r>
      <w:r w:rsidRPr="0055688B" w:rsidR="003E1F4C">
        <w:rPr>
          <w:rFonts w:asciiTheme="minorHAnsi" w:hAnsiTheme="minorHAnsi"/>
          <w:b/>
          <w:szCs w:val="18"/>
        </w:rPr>
        <w:t>ol van de overheid</w:t>
      </w:r>
    </w:p>
    <w:p w:rsidRPr="0055688B" w:rsidR="00C53BD5" w:rsidP="002F558A" w:rsidRDefault="0056557C" w14:paraId="4FA1A569" w14:textId="77777777">
      <w:pPr>
        <w:pStyle w:val="Default"/>
        <w:spacing w:line="276" w:lineRule="auto"/>
        <w:jc w:val="both"/>
        <w:rPr>
          <w:rFonts w:asciiTheme="minorHAnsi" w:hAnsiTheme="minorHAnsi"/>
          <w:i/>
          <w:sz w:val="18"/>
          <w:szCs w:val="18"/>
        </w:rPr>
      </w:pPr>
      <w:r w:rsidRPr="0055688B">
        <w:rPr>
          <w:rFonts w:asciiTheme="minorHAnsi" w:hAnsiTheme="minorHAnsi"/>
          <w:i/>
          <w:sz w:val="18"/>
          <w:szCs w:val="18"/>
        </w:rPr>
        <w:t xml:space="preserve">1. </w:t>
      </w:r>
      <w:r w:rsidRPr="0055688B" w:rsidR="001F7641">
        <w:rPr>
          <w:rFonts w:asciiTheme="minorHAnsi" w:hAnsiTheme="minorHAnsi"/>
          <w:i/>
          <w:sz w:val="18"/>
          <w:szCs w:val="18"/>
        </w:rPr>
        <w:t>Wat is het probleem dat aanleiding is voor het beleidsvoorstel?</w:t>
      </w:r>
    </w:p>
    <w:p w:rsidRPr="0055688B" w:rsidR="00CE7AB5" w:rsidP="002F558A" w:rsidRDefault="002D3706" w14:paraId="6EBD2754" w14:textId="034C035D">
      <w:pPr>
        <w:spacing w:after="0"/>
        <w:jc w:val="both"/>
        <w:rPr>
          <w:rFonts w:cs="Arial" w:asciiTheme="minorHAnsi" w:hAnsiTheme="minorHAnsi"/>
          <w:szCs w:val="18"/>
        </w:rPr>
      </w:pPr>
      <w:r w:rsidRPr="0055688B">
        <w:rPr>
          <w:rFonts w:cs="Arial" w:asciiTheme="minorHAnsi" w:hAnsiTheme="minorHAnsi"/>
          <w:szCs w:val="18"/>
        </w:rPr>
        <w:t>Een DGS heeft, naast de functie van bescherming van depositohouders, ook een belangrijke preventieve functie: het voorkomt een run op een bank. Indien deposito’s tot een bepaalde omvang zijn beschermd door dekking van een DGS wordt aan depositohouders een belangrijke prikkel ontnomen om in geval van enig wantrouwen in de soliditeit van de bank al te snel hun deposito’s van de bank te halen.</w:t>
      </w:r>
      <w:r w:rsidR="00040F2F">
        <w:rPr>
          <w:rFonts w:cs="Arial" w:asciiTheme="minorHAnsi" w:hAnsiTheme="minorHAnsi"/>
          <w:szCs w:val="18"/>
        </w:rPr>
        <w:t xml:space="preserve"> </w:t>
      </w:r>
      <w:r w:rsidR="00BB32DD">
        <w:rPr>
          <w:rFonts w:cs="Arial" w:asciiTheme="minorHAnsi" w:hAnsiTheme="minorHAnsi"/>
          <w:szCs w:val="18"/>
        </w:rPr>
        <w:t xml:space="preserve">Om die preventieve functie, </w:t>
      </w:r>
      <w:r w:rsidRPr="0055688B">
        <w:rPr>
          <w:rFonts w:cs="Arial" w:asciiTheme="minorHAnsi" w:hAnsiTheme="minorHAnsi"/>
          <w:szCs w:val="18"/>
        </w:rPr>
        <w:t>en indien nodig ook de functie van be</w:t>
      </w:r>
      <w:r w:rsidR="00BB32DD">
        <w:rPr>
          <w:rFonts w:cs="Arial" w:asciiTheme="minorHAnsi" w:hAnsiTheme="minorHAnsi"/>
          <w:szCs w:val="18"/>
        </w:rPr>
        <w:t xml:space="preserve">scherming van depositohouders, </w:t>
      </w:r>
      <w:r w:rsidRPr="0055688B">
        <w:rPr>
          <w:rFonts w:cs="Arial" w:asciiTheme="minorHAnsi" w:hAnsiTheme="minorHAnsi"/>
          <w:szCs w:val="18"/>
        </w:rPr>
        <w:t xml:space="preserve">ook voor de instellingen actief in de BES te kunnen laten gelden </w:t>
      </w:r>
      <w:r w:rsidRPr="0055688B" w:rsidR="00B63DB9">
        <w:rPr>
          <w:rFonts w:cs="Arial" w:asciiTheme="minorHAnsi" w:hAnsiTheme="minorHAnsi"/>
          <w:szCs w:val="18"/>
        </w:rPr>
        <w:t xml:space="preserve">is er voor gekozen </w:t>
      </w:r>
      <w:r w:rsidRPr="0055688B">
        <w:rPr>
          <w:rFonts w:cs="Arial" w:asciiTheme="minorHAnsi" w:hAnsiTheme="minorHAnsi"/>
          <w:szCs w:val="18"/>
        </w:rPr>
        <w:t>ee</w:t>
      </w:r>
      <w:r w:rsidRPr="0055688B" w:rsidR="00BC6CBB">
        <w:rPr>
          <w:rFonts w:cs="Arial" w:asciiTheme="minorHAnsi" w:hAnsiTheme="minorHAnsi"/>
          <w:szCs w:val="18"/>
        </w:rPr>
        <w:t>n DGS voor de BES in te richten.</w:t>
      </w:r>
      <w:r w:rsidRPr="0055688B" w:rsidR="00A708BB">
        <w:rPr>
          <w:rFonts w:asciiTheme="minorHAnsi" w:hAnsiTheme="minorHAnsi"/>
          <w:szCs w:val="18"/>
        </w:rPr>
        <w:t xml:space="preserve"> </w:t>
      </w:r>
    </w:p>
    <w:p w:rsidRPr="0055688B" w:rsidR="00CE7AB5" w:rsidP="002F558A" w:rsidRDefault="00CE7AB5" w14:paraId="699AAFF5" w14:textId="784493CD">
      <w:pPr>
        <w:spacing w:after="0"/>
        <w:jc w:val="both"/>
        <w:rPr>
          <w:rFonts w:cs="Arial" w:asciiTheme="minorHAnsi" w:hAnsiTheme="minorHAnsi"/>
          <w:szCs w:val="18"/>
        </w:rPr>
      </w:pPr>
    </w:p>
    <w:p w:rsidR="00AE0337" w:rsidP="00D05D40" w:rsidRDefault="00A003C5" w14:paraId="4B68C63C" w14:textId="1FB68CFB">
      <w:pPr>
        <w:spacing w:after="0"/>
        <w:contextualSpacing/>
        <w:jc w:val="both"/>
        <w:rPr>
          <w:rFonts w:asciiTheme="minorHAnsi" w:hAnsiTheme="minorHAnsi"/>
          <w:szCs w:val="18"/>
        </w:rPr>
      </w:pPr>
      <w:r w:rsidRPr="0055688B">
        <w:rPr>
          <w:rFonts w:cs="Arial" w:asciiTheme="minorHAnsi" w:hAnsiTheme="minorHAnsi"/>
          <w:szCs w:val="18"/>
        </w:rPr>
        <w:t>Bij het moment van invoering van het</w:t>
      </w:r>
      <w:r w:rsidR="00D713C3">
        <w:rPr>
          <w:rFonts w:cs="Arial" w:asciiTheme="minorHAnsi" w:hAnsiTheme="minorHAnsi"/>
          <w:szCs w:val="18"/>
        </w:rPr>
        <w:t xml:space="preserve"> </w:t>
      </w:r>
      <w:r w:rsidR="00D713C3">
        <w:rPr>
          <w:rFonts w:cs="Arial" w:asciiTheme="minorHAnsi" w:hAnsiTheme="minorHAnsi"/>
          <w:i/>
          <w:iCs/>
          <w:szCs w:val="18"/>
        </w:rPr>
        <w:t>ex ante</w:t>
      </w:r>
      <w:r w:rsidR="00D713C3">
        <w:rPr>
          <w:rFonts w:cs="Arial" w:asciiTheme="minorHAnsi" w:hAnsiTheme="minorHAnsi"/>
          <w:szCs w:val="18"/>
        </w:rPr>
        <w:t xml:space="preserve"> </w:t>
      </w:r>
      <w:r w:rsidRPr="0055688B">
        <w:rPr>
          <w:rFonts w:cs="Arial" w:asciiTheme="minorHAnsi" w:hAnsiTheme="minorHAnsi"/>
          <w:szCs w:val="18"/>
        </w:rPr>
        <w:t>DGS</w:t>
      </w:r>
      <w:r w:rsidR="00D713C3">
        <w:rPr>
          <w:rFonts w:cs="Arial" w:asciiTheme="minorHAnsi" w:hAnsiTheme="minorHAnsi"/>
          <w:szCs w:val="18"/>
        </w:rPr>
        <w:t>-systeem</w:t>
      </w:r>
      <w:r w:rsidRPr="0055688B">
        <w:rPr>
          <w:rFonts w:cs="Arial" w:asciiTheme="minorHAnsi" w:hAnsiTheme="minorHAnsi"/>
          <w:szCs w:val="18"/>
        </w:rPr>
        <w:t xml:space="preserve"> is gekozen voor een dekkingslimiet van </w:t>
      </w:r>
      <w:r w:rsidR="00D713C3">
        <w:rPr>
          <w:rFonts w:cs="Arial" w:asciiTheme="minorHAnsi" w:hAnsiTheme="minorHAnsi"/>
          <w:szCs w:val="18"/>
        </w:rPr>
        <w:t>25</w:t>
      </w:r>
      <w:r w:rsidRPr="0055688B">
        <w:rPr>
          <w:rFonts w:cs="Arial" w:asciiTheme="minorHAnsi" w:hAnsiTheme="minorHAnsi"/>
          <w:szCs w:val="18"/>
        </w:rPr>
        <w:t>.000 USD per rekening per bank. Met deze dekkingslimiet werd een dekkingsgraad van</w:t>
      </w:r>
      <w:r w:rsidR="00D713C3">
        <w:rPr>
          <w:rFonts w:cs="Arial" w:asciiTheme="minorHAnsi" w:hAnsiTheme="minorHAnsi"/>
          <w:szCs w:val="18"/>
        </w:rPr>
        <w:t xml:space="preserve"> ongeveer</w:t>
      </w:r>
      <w:r w:rsidRPr="0055688B">
        <w:rPr>
          <w:rFonts w:cs="Arial" w:asciiTheme="minorHAnsi" w:hAnsiTheme="minorHAnsi"/>
          <w:szCs w:val="18"/>
        </w:rPr>
        <w:t xml:space="preserve"> 9</w:t>
      </w:r>
      <w:r w:rsidR="00D713C3">
        <w:rPr>
          <w:rFonts w:cs="Arial" w:asciiTheme="minorHAnsi" w:hAnsiTheme="minorHAnsi"/>
          <w:szCs w:val="18"/>
        </w:rPr>
        <w:t>8%</w:t>
      </w:r>
      <w:r w:rsidRPr="0055688B">
        <w:rPr>
          <w:rFonts w:cs="Arial" w:asciiTheme="minorHAnsi" w:hAnsiTheme="minorHAnsi"/>
          <w:szCs w:val="18"/>
        </w:rPr>
        <w:t xml:space="preserve"> bereikt. </w:t>
      </w:r>
      <w:r w:rsidRPr="0055688B" w:rsidR="00300A73">
        <w:rPr>
          <w:rFonts w:cs="Arial" w:asciiTheme="minorHAnsi" w:hAnsiTheme="minorHAnsi"/>
          <w:szCs w:val="18"/>
        </w:rPr>
        <w:t xml:space="preserve">Dit is </w:t>
      </w:r>
      <w:r w:rsidR="00D713C3">
        <w:rPr>
          <w:rFonts w:cs="Arial" w:asciiTheme="minorHAnsi" w:hAnsiTheme="minorHAnsi"/>
          <w:szCs w:val="18"/>
        </w:rPr>
        <w:t>zeer vergelijkbaar met het dekkingslimiet</w:t>
      </w:r>
      <w:r w:rsidRPr="0055688B" w:rsidR="007C3467">
        <w:rPr>
          <w:rFonts w:cs="Arial" w:asciiTheme="minorHAnsi" w:hAnsiTheme="minorHAnsi"/>
          <w:szCs w:val="18"/>
        </w:rPr>
        <w:t xml:space="preserve"> </w:t>
      </w:r>
      <w:r w:rsidRPr="0055688B" w:rsidR="00300A73">
        <w:rPr>
          <w:rFonts w:cs="Arial" w:asciiTheme="minorHAnsi" w:hAnsiTheme="minorHAnsi"/>
          <w:szCs w:val="18"/>
        </w:rPr>
        <w:t xml:space="preserve">van </w:t>
      </w:r>
      <w:r w:rsidRPr="0055688B" w:rsidR="007C3467">
        <w:rPr>
          <w:rFonts w:cs="Arial" w:asciiTheme="minorHAnsi" w:hAnsiTheme="minorHAnsi"/>
          <w:szCs w:val="18"/>
        </w:rPr>
        <w:t xml:space="preserve">Europees Nederland (98%) en </w:t>
      </w:r>
      <w:r w:rsidR="00D713C3">
        <w:rPr>
          <w:rFonts w:cs="Arial" w:asciiTheme="minorHAnsi" w:hAnsiTheme="minorHAnsi"/>
          <w:szCs w:val="18"/>
        </w:rPr>
        <w:t>ligt ruim boven</w:t>
      </w:r>
      <w:r w:rsidRPr="0055688B" w:rsidR="007C3467">
        <w:rPr>
          <w:rFonts w:cs="Arial" w:asciiTheme="minorHAnsi" w:hAnsiTheme="minorHAnsi"/>
          <w:szCs w:val="18"/>
        </w:rPr>
        <w:t xml:space="preserve"> ondergrens uit de mondiale stand</w:t>
      </w:r>
      <w:r w:rsidRPr="0055688B" w:rsidR="005573EB">
        <w:rPr>
          <w:rFonts w:cs="Arial" w:asciiTheme="minorHAnsi" w:hAnsiTheme="minorHAnsi"/>
          <w:szCs w:val="18"/>
        </w:rPr>
        <w:t xml:space="preserve">aarden (90% tot 95%). </w:t>
      </w:r>
      <w:r w:rsidR="00D713C3">
        <w:rPr>
          <w:rFonts w:cs="Arial" w:asciiTheme="minorHAnsi" w:hAnsiTheme="minorHAnsi"/>
          <w:szCs w:val="18"/>
        </w:rPr>
        <w:t xml:space="preserve">Dat het dekkingslimiet van 25.000 USD sterk verschilt van het dekkingslimiet in Europees Nederland (100.000 EUR) leidt wel eens tot onbegrip in de samenleving van CN. Hierbij is het zaak om de verschillen in de structuren van de economie, de bedrijvigheid én het gelijkwaardige dekkingsniveau van 98% in ogenschouw te nemen. Rekeninghouders in CN zijn dus op vergelijkbaar niveau beschermd als de rekeninghouders in Europees Nederland. </w:t>
      </w:r>
    </w:p>
    <w:p w:rsidR="00D360BA" w:rsidP="002F558A" w:rsidRDefault="00D360BA" w14:paraId="6F900E5C" w14:textId="5313E001">
      <w:pPr>
        <w:spacing w:after="0"/>
        <w:contextualSpacing/>
        <w:rPr>
          <w:rFonts w:asciiTheme="minorHAnsi" w:hAnsiTheme="minorHAnsi"/>
          <w:szCs w:val="18"/>
        </w:rPr>
      </w:pPr>
    </w:p>
    <w:p w:rsidRPr="0055688B" w:rsidR="00C33E90" w:rsidP="002F558A" w:rsidRDefault="00290FE4" w14:paraId="6E5D4050" w14:textId="6202BFC6">
      <w:pPr>
        <w:spacing w:after="0"/>
        <w:jc w:val="both"/>
        <w:rPr>
          <w:rFonts w:cs="Arial" w:asciiTheme="minorHAnsi" w:hAnsiTheme="minorHAnsi"/>
          <w:szCs w:val="18"/>
        </w:rPr>
      </w:pPr>
      <w:r w:rsidRPr="0055688B">
        <w:rPr>
          <w:rFonts w:cs="Arial" w:asciiTheme="minorHAnsi" w:hAnsiTheme="minorHAnsi"/>
          <w:szCs w:val="18"/>
        </w:rPr>
        <w:t>Ex ante financiering heeft belangrijke voordelen ten opzichte van de systematiek van</w:t>
      </w:r>
      <w:r w:rsidR="005848BD">
        <w:rPr>
          <w:rFonts w:cs="Arial" w:asciiTheme="minorHAnsi" w:hAnsiTheme="minorHAnsi"/>
          <w:szCs w:val="18"/>
        </w:rPr>
        <w:t xml:space="preserve"> de voorheen</w:t>
      </w:r>
      <w:r w:rsidRPr="0055688B">
        <w:rPr>
          <w:rFonts w:cs="Arial" w:asciiTheme="minorHAnsi" w:hAnsiTheme="minorHAnsi"/>
          <w:szCs w:val="18"/>
        </w:rPr>
        <w:t xml:space="preserve"> ex post financiering. </w:t>
      </w:r>
      <w:r w:rsidR="00910160">
        <w:rPr>
          <w:rFonts w:cs="Arial" w:asciiTheme="minorHAnsi" w:hAnsiTheme="minorHAnsi"/>
          <w:szCs w:val="18"/>
        </w:rPr>
        <w:t>Hierbij is het doel</w:t>
      </w:r>
      <w:r w:rsidRPr="0055688B">
        <w:rPr>
          <w:rFonts w:cs="Arial" w:asciiTheme="minorHAnsi" w:hAnsiTheme="minorHAnsi"/>
          <w:szCs w:val="18"/>
        </w:rPr>
        <w:t xml:space="preserve"> dat de vormgeving van het DGS</w:t>
      </w:r>
      <w:r w:rsidR="00910160">
        <w:rPr>
          <w:rFonts w:cs="Arial" w:asciiTheme="minorHAnsi" w:hAnsiTheme="minorHAnsi"/>
          <w:szCs w:val="18"/>
        </w:rPr>
        <w:t>-</w:t>
      </w:r>
      <w:r w:rsidR="00706278">
        <w:rPr>
          <w:rFonts w:cs="Arial" w:asciiTheme="minorHAnsi" w:hAnsiTheme="minorHAnsi"/>
          <w:szCs w:val="18"/>
        </w:rPr>
        <w:t>BES</w:t>
      </w:r>
      <w:r w:rsidRPr="0055688B" w:rsidR="00706278">
        <w:rPr>
          <w:rFonts w:cs="Arial" w:asciiTheme="minorHAnsi" w:hAnsiTheme="minorHAnsi"/>
          <w:szCs w:val="18"/>
        </w:rPr>
        <w:t xml:space="preserve"> </w:t>
      </w:r>
      <w:r w:rsidRPr="0055688B">
        <w:rPr>
          <w:rFonts w:cs="Arial" w:asciiTheme="minorHAnsi" w:hAnsiTheme="minorHAnsi"/>
          <w:szCs w:val="18"/>
        </w:rPr>
        <w:t>in zijn geheel, inclusief de wijze van beheer en belegging van de middelen, zoveel mogelijk bijdraagt aan de stabiliteit van het financiële stelsel, zonder dat een beroep hoeft te worden gedaan op de Staat. Het DGS is immers voor rekening en risico van de banken.</w:t>
      </w:r>
      <w:r w:rsidRPr="0055688B" w:rsidR="001121B5">
        <w:rPr>
          <w:rFonts w:cs="Arial" w:asciiTheme="minorHAnsi" w:hAnsiTheme="minorHAnsi"/>
          <w:szCs w:val="18"/>
        </w:rPr>
        <w:t xml:space="preserve"> Uitkeringen gaan in eerste instantie ten laste van het fonds</w:t>
      </w:r>
      <w:r w:rsidR="005848BD">
        <w:rPr>
          <w:rFonts w:cs="Arial" w:asciiTheme="minorHAnsi" w:hAnsiTheme="minorHAnsi"/>
          <w:szCs w:val="18"/>
        </w:rPr>
        <w:t xml:space="preserve"> dat gevuld is door de sector zelf</w:t>
      </w:r>
      <w:r w:rsidRPr="0055688B" w:rsidR="001121B5">
        <w:rPr>
          <w:rFonts w:cs="Arial" w:asciiTheme="minorHAnsi" w:hAnsiTheme="minorHAnsi"/>
          <w:szCs w:val="18"/>
        </w:rPr>
        <w:t>.</w:t>
      </w:r>
      <w:r w:rsidR="005848BD">
        <w:rPr>
          <w:rFonts w:cs="Arial" w:asciiTheme="minorHAnsi" w:hAnsiTheme="minorHAnsi"/>
          <w:szCs w:val="18"/>
        </w:rPr>
        <w:t xml:space="preserve"> Toch zijn er scenario’s denkbaar </w:t>
      </w:r>
      <w:r w:rsidR="0088456C">
        <w:rPr>
          <w:rFonts w:cs="Arial" w:asciiTheme="minorHAnsi" w:hAnsiTheme="minorHAnsi"/>
          <w:szCs w:val="18"/>
        </w:rPr>
        <w:t>waarin</w:t>
      </w:r>
      <w:r w:rsidR="005848BD">
        <w:rPr>
          <w:rFonts w:cs="Arial" w:asciiTheme="minorHAnsi" w:hAnsiTheme="minorHAnsi"/>
          <w:szCs w:val="18"/>
        </w:rPr>
        <w:t xml:space="preserve"> de middelen in het fonds niet afdoende blijken te zijn. Het is bijvoorbeeld niet </w:t>
      </w:r>
      <w:r w:rsidR="005C14D9">
        <w:rPr>
          <w:rFonts w:cs="Arial" w:asciiTheme="minorHAnsi" w:hAnsiTheme="minorHAnsi"/>
          <w:szCs w:val="18"/>
        </w:rPr>
        <w:t>mogelijk en wenselijk</w:t>
      </w:r>
      <w:r w:rsidR="005848BD">
        <w:rPr>
          <w:rFonts w:cs="Arial" w:asciiTheme="minorHAnsi" w:hAnsiTheme="minorHAnsi"/>
          <w:szCs w:val="18"/>
        </w:rPr>
        <w:t xml:space="preserve"> voor de sector om het fonds te vullen tot het niveau dat afdoende is om alle uitkeringen te dragen bij faillissement van een bank. Dit zou ook geen nuttige allocatie zijn van middelen</w:t>
      </w:r>
      <w:r w:rsidR="005C14D9">
        <w:rPr>
          <w:rFonts w:cs="Arial" w:asciiTheme="minorHAnsi" w:hAnsiTheme="minorHAnsi"/>
          <w:szCs w:val="18"/>
        </w:rPr>
        <w:t>.</w:t>
      </w:r>
      <w:r w:rsidR="005848BD">
        <w:rPr>
          <w:rFonts w:cs="Arial" w:asciiTheme="minorHAnsi" w:hAnsiTheme="minorHAnsi"/>
          <w:szCs w:val="18"/>
        </w:rPr>
        <w:t xml:space="preserve"> Voor dergelijke gevallen zou het fonds een beroep moeten kunnen doen op een kredietlijn van 30 mi</w:t>
      </w:r>
      <w:r w:rsidR="005C14D9">
        <w:rPr>
          <w:rFonts w:cs="Arial" w:asciiTheme="minorHAnsi" w:hAnsiTheme="minorHAnsi"/>
          <w:szCs w:val="18"/>
        </w:rPr>
        <w:t>ljoen Euro</w:t>
      </w:r>
      <w:r w:rsidR="005848BD">
        <w:rPr>
          <w:rFonts w:cs="Arial" w:asciiTheme="minorHAnsi" w:hAnsiTheme="minorHAnsi"/>
          <w:szCs w:val="18"/>
        </w:rPr>
        <w:t xml:space="preserve"> bij Belastingdienst Caribisch Nederland (BCN, BCN voert veel praktische zaken uit </w:t>
      </w:r>
      <w:proofErr w:type="spellStart"/>
      <w:r w:rsidR="005848BD">
        <w:rPr>
          <w:rFonts w:cs="Arial" w:asciiTheme="minorHAnsi" w:hAnsiTheme="minorHAnsi"/>
          <w:szCs w:val="18"/>
        </w:rPr>
        <w:t>mbt</w:t>
      </w:r>
      <w:proofErr w:type="spellEnd"/>
      <w:r w:rsidR="005848BD">
        <w:rPr>
          <w:rFonts w:cs="Arial" w:asciiTheme="minorHAnsi" w:hAnsiTheme="minorHAnsi"/>
          <w:szCs w:val="18"/>
        </w:rPr>
        <w:t xml:space="preserve"> DGS-BES en heeft de beschikking over USD).</w:t>
      </w:r>
      <w:r w:rsidR="005C14D9">
        <w:rPr>
          <w:rFonts w:cs="Arial" w:asciiTheme="minorHAnsi" w:hAnsiTheme="minorHAnsi"/>
          <w:szCs w:val="18"/>
        </w:rPr>
        <w:t xml:space="preserve"> BCN verleent het krediet in USD tegen de dan geldende wisselkoers.</w:t>
      </w:r>
      <w:r w:rsidR="005848BD">
        <w:rPr>
          <w:rFonts w:cs="Arial" w:asciiTheme="minorHAnsi" w:hAnsiTheme="minorHAnsi"/>
          <w:szCs w:val="18"/>
        </w:rPr>
        <w:t xml:space="preserve"> Deze kredietmogelijkheid garandeert dat het DGS-fonds altijd over afdoende middelen beschikt om uitbetalingen te dragen en zodoende </w:t>
      </w:r>
      <w:r w:rsidR="00866CE6">
        <w:rPr>
          <w:rFonts w:cs="Arial" w:asciiTheme="minorHAnsi" w:hAnsiTheme="minorHAnsi"/>
          <w:szCs w:val="18"/>
        </w:rPr>
        <w:t>er geen twijfel hoeft te ontstaan over de soliditeit van het stelsel. Indien er een beroep gedaan wordt op deze kredietlijn</w:t>
      </w:r>
      <w:r w:rsidR="0066044F">
        <w:rPr>
          <w:rFonts w:cs="Arial" w:asciiTheme="minorHAnsi" w:hAnsiTheme="minorHAnsi"/>
          <w:szCs w:val="18"/>
        </w:rPr>
        <w:t>,</w:t>
      </w:r>
      <w:r w:rsidR="00866CE6">
        <w:rPr>
          <w:rFonts w:cs="Arial" w:asciiTheme="minorHAnsi" w:hAnsiTheme="minorHAnsi"/>
          <w:szCs w:val="18"/>
        </w:rPr>
        <w:t xml:space="preserve"> zal de sector om extra verplichte</w:t>
      </w:r>
      <w:r w:rsidR="003C6ACE">
        <w:rPr>
          <w:rFonts w:cs="Arial" w:asciiTheme="minorHAnsi" w:hAnsiTheme="minorHAnsi"/>
          <w:szCs w:val="18"/>
        </w:rPr>
        <w:t xml:space="preserve"> bijzondere</w:t>
      </w:r>
      <w:r w:rsidR="00866CE6">
        <w:rPr>
          <w:rFonts w:cs="Arial" w:asciiTheme="minorHAnsi" w:hAnsiTheme="minorHAnsi"/>
          <w:szCs w:val="18"/>
        </w:rPr>
        <w:t xml:space="preserve"> bijdragen gevraagd worden zodat het fonds het krediet van BCN kan terugbetalen. De mogelijkheid tot deze kredietlijn en het</w:t>
      </w:r>
      <w:r w:rsidR="0066044F">
        <w:rPr>
          <w:rFonts w:cs="Arial" w:asciiTheme="minorHAnsi" w:hAnsiTheme="minorHAnsi"/>
          <w:szCs w:val="18"/>
        </w:rPr>
        <w:t xml:space="preserve"> verplichte</w:t>
      </w:r>
      <w:r w:rsidR="00866CE6">
        <w:rPr>
          <w:rFonts w:cs="Arial" w:asciiTheme="minorHAnsi" w:hAnsiTheme="minorHAnsi"/>
          <w:szCs w:val="18"/>
        </w:rPr>
        <w:t xml:space="preserve"> aflossen daarvan indirect door de sector zijn geregeld in het Besluit Financiële </w:t>
      </w:r>
      <w:r w:rsidR="00866CE6">
        <w:rPr>
          <w:rFonts w:cs="Arial" w:asciiTheme="minorHAnsi" w:hAnsiTheme="minorHAnsi"/>
          <w:szCs w:val="18"/>
        </w:rPr>
        <w:lastRenderedPageBreak/>
        <w:t xml:space="preserve">Markten BES. </w:t>
      </w:r>
      <w:r w:rsidR="00AE7F83">
        <w:rPr>
          <w:rFonts w:cs="Arial" w:asciiTheme="minorHAnsi" w:hAnsiTheme="minorHAnsi"/>
          <w:szCs w:val="18"/>
        </w:rPr>
        <w:t xml:space="preserve">Om deze kredietlijn tot uitdrukking te brengen in de begroting is het voorstel om een garantie van dezelfde opvang, 30 </w:t>
      </w:r>
      <w:r w:rsidR="00AA43C5">
        <w:rPr>
          <w:rFonts w:cs="Arial" w:asciiTheme="minorHAnsi" w:hAnsiTheme="minorHAnsi"/>
          <w:szCs w:val="18"/>
        </w:rPr>
        <w:t>miljoen Euro</w:t>
      </w:r>
      <w:r w:rsidR="00AE7F83">
        <w:rPr>
          <w:rFonts w:cs="Arial" w:asciiTheme="minorHAnsi" w:hAnsiTheme="minorHAnsi"/>
          <w:szCs w:val="18"/>
        </w:rPr>
        <w:t xml:space="preserve"> op te nemen. </w:t>
      </w:r>
    </w:p>
    <w:p w:rsidRPr="0055688B" w:rsidR="003E1F4C" w:rsidP="002F558A" w:rsidRDefault="003E1F4C" w14:paraId="2EFF0F0E" w14:textId="77777777">
      <w:pPr>
        <w:spacing w:after="0"/>
        <w:jc w:val="both"/>
        <w:rPr>
          <w:rFonts w:cs="Arial" w:asciiTheme="minorHAnsi" w:hAnsiTheme="minorHAnsi"/>
          <w:szCs w:val="18"/>
        </w:rPr>
      </w:pPr>
    </w:p>
    <w:p w:rsidRPr="00B03786" w:rsidR="00BA655E" w:rsidP="00B03786" w:rsidRDefault="0056557C" w14:paraId="52547B9C" w14:textId="3FC1C6F4">
      <w:pPr>
        <w:spacing w:after="0"/>
        <w:rPr>
          <w:i/>
          <w:iCs/>
        </w:rPr>
      </w:pPr>
      <w:r w:rsidRPr="00B03786">
        <w:rPr>
          <w:i/>
          <w:iCs/>
        </w:rPr>
        <w:t xml:space="preserve">2. </w:t>
      </w:r>
      <w:r w:rsidRPr="00B03786" w:rsidR="00C53BD5">
        <w:rPr>
          <w:i/>
          <w:iCs/>
        </w:rPr>
        <w:t xml:space="preserve">Waarom rekent de </w:t>
      </w:r>
      <w:r w:rsidR="001121DC">
        <w:rPr>
          <w:i/>
          <w:iCs/>
        </w:rPr>
        <w:t xml:space="preserve">centrale </w:t>
      </w:r>
      <w:r w:rsidRPr="00B03786" w:rsidR="00C53BD5">
        <w:rPr>
          <w:i/>
          <w:iCs/>
        </w:rPr>
        <w:t>overheid het tot haar verantwoordelijkheid om het probleem op te lossen</w:t>
      </w:r>
      <w:r w:rsidRPr="00B03786" w:rsidR="00BA655E">
        <w:rPr>
          <w:i/>
          <w:iCs/>
        </w:rPr>
        <w:t>?</w:t>
      </w:r>
    </w:p>
    <w:p w:rsidR="006F4973" w:rsidP="00D05D40" w:rsidRDefault="00BA655E" w14:paraId="648E1CED" w14:textId="62240680">
      <w:pPr>
        <w:pStyle w:val="Default"/>
        <w:spacing w:line="276" w:lineRule="auto"/>
        <w:jc w:val="both"/>
        <w:rPr>
          <w:rFonts w:asciiTheme="minorHAnsi" w:hAnsiTheme="minorHAnsi"/>
          <w:sz w:val="18"/>
          <w:szCs w:val="18"/>
        </w:rPr>
      </w:pPr>
      <w:r w:rsidRPr="0055688B">
        <w:rPr>
          <w:rFonts w:asciiTheme="minorHAnsi" w:hAnsiTheme="minorHAnsi"/>
          <w:sz w:val="18"/>
          <w:szCs w:val="18"/>
        </w:rPr>
        <w:t xml:space="preserve">De minister is </w:t>
      </w:r>
      <w:bookmarkStart w:name="_Hlk222757463" w:id="0"/>
      <w:r w:rsidRPr="0055688B">
        <w:rPr>
          <w:rFonts w:asciiTheme="minorHAnsi" w:hAnsiTheme="minorHAnsi"/>
          <w:sz w:val="18"/>
          <w:szCs w:val="18"/>
        </w:rPr>
        <w:t>verantwoordelijk voor de goede werking van het betalingsverkeer en goed functionerende en integere financiële markten op de BES</w:t>
      </w:r>
      <w:r w:rsidRPr="0055688B" w:rsidR="00BC6CBB">
        <w:rPr>
          <w:rFonts w:asciiTheme="minorHAnsi" w:hAnsiTheme="minorHAnsi"/>
          <w:sz w:val="18"/>
          <w:szCs w:val="18"/>
        </w:rPr>
        <w:t>-eilanden</w:t>
      </w:r>
      <w:r w:rsidRPr="0055688B" w:rsidR="00352BC8">
        <w:rPr>
          <w:rFonts w:asciiTheme="minorHAnsi" w:hAnsiTheme="minorHAnsi"/>
          <w:sz w:val="18"/>
          <w:szCs w:val="18"/>
        </w:rPr>
        <w:t>, als onderdeel van het land Nederland</w:t>
      </w:r>
      <w:r w:rsidRPr="0055688B" w:rsidR="00274C25">
        <w:rPr>
          <w:rFonts w:asciiTheme="minorHAnsi" w:hAnsiTheme="minorHAnsi"/>
          <w:sz w:val="18"/>
          <w:szCs w:val="18"/>
        </w:rPr>
        <w:t>.</w:t>
      </w:r>
      <w:r w:rsidRPr="0055688B">
        <w:rPr>
          <w:rFonts w:asciiTheme="minorHAnsi" w:hAnsiTheme="minorHAnsi"/>
          <w:sz w:val="18"/>
          <w:szCs w:val="18"/>
        </w:rPr>
        <w:t xml:space="preserve"> </w:t>
      </w:r>
      <w:r w:rsidR="005C14D9">
        <w:rPr>
          <w:rFonts w:asciiTheme="minorHAnsi" w:hAnsiTheme="minorHAnsi"/>
          <w:sz w:val="18"/>
          <w:szCs w:val="18"/>
        </w:rPr>
        <w:t>Door middel van</w:t>
      </w:r>
      <w:r w:rsidRPr="00DB5388" w:rsidR="00DB5388">
        <w:rPr>
          <w:rFonts w:asciiTheme="minorHAnsi" w:hAnsiTheme="minorHAnsi"/>
          <w:sz w:val="18"/>
          <w:szCs w:val="18"/>
        </w:rPr>
        <w:t xml:space="preserve"> een DGS word</w:t>
      </w:r>
      <w:r w:rsidR="005C14D9">
        <w:rPr>
          <w:rFonts w:asciiTheme="minorHAnsi" w:hAnsiTheme="minorHAnsi"/>
          <w:sz w:val="18"/>
          <w:szCs w:val="18"/>
        </w:rPr>
        <w:t xml:space="preserve">t de financiële markt </w:t>
      </w:r>
      <w:r w:rsidRPr="00DB5388" w:rsidR="00DB5388">
        <w:rPr>
          <w:rFonts w:asciiTheme="minorHAnsi" w:hAnsiTheme="minorHAnsi"/>
          <w:sz w:val="18"/>
          <w:szCs w:val="18"/>
        </w:rPr>
        <w:t xml:space="preserve">weerbaarder gemaakt, zodat </w:t>
      </w:r>
      <w:r w:rsidR="005C14D9">
        <w:rPr>
          <w:rFonts w:asciiTheme="minorHAnsi" w:hAnsiTheme="minorHAnsi"/>
          <w:sz w:val="18"/>
          <w:szCs w:val="18"/>
        </w:rPr>
        <w:t>banken</w:t>
      </w:r>
      <w:r w:rsidRPr="00DB5388" w:rsidR="00DB5388">
        <w:rPr>
          <w:rFonts w:asciiTheme="minorHAnsi" w:hAnsiTheme="minorHAnsi"/>
          <w:sz w:val="18"/>
          <w:szCs w:val="18"/>
        </w:rPr>
        <w:t xml:space="preserve"> beter in staat zijn eventuele verliezen te dragen</w:t>
      </w:r>
      <w:r w:rsidR="00D33E09">
        <w:rPr>
          <w:rFonts w:asciiTheme="minorHAnsi" w:hAnsiTheme="minorHAnsi" w:cstheme="minorBidi"/>
          <w:color w:val="auto"/>
          <w:sz w:val="18"/>
          <w:szCs w:val="18"/>
        </w:rPr>
        <w:t xml:space="preserve"> en d</w:t>
      </w:r>
      <w:r w:rsidRPr="00D33E09" w:rsidR="00D33E09">
        <w:rPr>
          <w:rFonts w:asciiTheme="minorHAnsi" w:hAnsiTheme="minorHAnsi"/>
          <w:sz w:val="18"/>
          <w:szCs w:val="18"/>
        </w:rPr>
        <w:t xml:space="preserve">epositohouders </w:t>
      </w:r>
      <w:r w:rsidR="00D33E09">
        <w:rPr>
          <w:rFonts w:asciiTheme="minorHAnsi" w:hAnsiTheme="minorHAnsi"/>
          <w:sz w:val="18"/>
          <w:szCs w:val="18"/>
        </w:rPr>
        <w:t xml:space="preserve">beter </w:t>
      </w:r>
      <w:r w:rsidRPr="00D33E09" w:rsidR="00D33E09">
        <w:rPr>
          <w:rFonts w:asciiTheme="minorHAnsi" w:hAnsiTheme="minorHAnsi"/>
          <w:sz w:val="18"/>
          <w:szCs w:val="18"/>
        </w:rPr>
        <w:t>bescherm</w:t>
      </w:r>
      <w:r w:rsidR="00D33E09">
        <w:rPr>
          <w:rFonts w:asciiTheme="minorHAnsi" w:hAnsiTheme="minorHAnsi"/>
          <w:sz w:val="18"/>
          <w:szCs w:val="18"/>
        </w:rPr>
        <w:t>d zijn</w:t>
      </w:r>
      <w:bookmarkEnd w:id="0"/>
      <w:r w:rsidR="00D33E09">
        <w:rPr>
          <w:rStyle w:val="Verwijzingopmerking"/>
          <w:rFonts w:cstheme="minorBidi"/>
          <w:color w:val="auto"/>
        </w:rPr>
        <w:t>.</w:t>
      </w:r>
      <w:r w:rsidR="00820103">
        <w:rPr>
          <w:rFonts w:asciiTheme="minorHAnsi" w:hAnsiTheme="minorHAnsi"/>
          <w:sz w:val="18"/>
          <w:szCs w:val="18"/>
        </w:rPr>
        <w:t xml:space="preserve"> </w:t>
      </w:r>
      <w:r w:rsidRPr="00DB5388" w:rsidR="00DB5388">
        <w:rPr>
          <w:rFonts w:asciiTheme="minorHAnsi" w:hAnsiTheme="minorHAnsi"/>
          <w:sz w:val="18"/>
          <w:szCs w:val="18"/>
        </w:rPr>
        <w:t xml:space="preserve">Mocht </w:t>
      </w:r>
      <w:r w:rsidR="00314798">
        <w:rPr>
          <w:rFonts w:asciiTheme="minorHAnsi" w:hAnsiTheme="minorHAnsi"/>
          <w:sz w:val="18"/>
          <w:szCs w:val="18"/>
        </w:rPr>
        <w:t>er</w:t>
      </w:r>
      <w:r w:rsidRPr="00DB5388" w:rsidR="00DB5388">
        <w:rPr>
          <w:rFonts w:asciiTheme="minorHAnsi" w:hAnsiTheme="minorHAnsi"/>
          <w:sz w:val="18"/>
          <w:szCs w:val="18"/>
        </w:rPr>
        <w:t xml:space="preserve"> onverhoopt toch </w:t>
      </w:r>
      <w:r w:rsidR="00D33E09">
        <w:rPr>
          <w:rFonts w:asciiTheme="minorHAnsi" w:hAnsiTheme="minorHAnsi"/>
          <w:sz w:val="18"/>
          <w:szCs w:val="18"/>
        </w:rPr>
        <w:t xml:space="preserve">een </w:t>
      </w:r>
      <w:proofErr w:type="spellStart"/>
      <w:r w:rsidR="00D33E09">
        <w:rPr>
          <w:rFonts w:asciiTheme="minorHAnsi" w:hAnsiTheme="minorHAnsi"/>
          <w:sz w:val="18"/>
          <w:szCs w:val="18"/>
        </w:rPr>
        <w:t>bankrun</w:t>
      </w:r>
      <w:proofErr w:type="spellEnd"/>
      <w:r w:rsidR="00D33E09">
        <w:rPr>
          <w:rFonts w:asciiTheme="minorHAnsi" w:hAnsiTheme="minorHAnsi"/>
          <w:sz w:val="18"/>
          <w:szCs w:val="18"/>
        </w:rPr>
        <w:t xml:space="preserve"> ontstaan</w:t>
      </w:r>
      <w:r w:rsidRPr="00DB5388" w:rsidR="00DB5388">
        <w:rPr>
          <w:rFonts w:asciiTheme="minorHAnsi" w:hAnsiTheme="minorHAnsi"/>
          <w:sz w:val="18"/>
          <w:szCs w:val="18"/>
        </w:rPr>
        <w:t xml:space="preserve">, dan </w:t>
      </w:r>
      <w:r w:rsidR="00DB5388">
        <w:rPr>
          <w:rFonts w:asciiTheme="minorHAnsi" w:hAnsiTheme="minorHAnsi"/>
          <w:sz w:val="18"/>
          <w:szCs w:val="18"/>
        </w:rPr>
        <w:t xml:space="preserve">maakt het DGS het </w:t>
      </w:r>
      <w:r w:rsidRPr="00DB5388" w:rsidR="00DB5388">
        <w:rPr>
          <w:rFonts w:asciiTheme="minorHAnsi" w:hAnsiTheme="minorHAnsi"/>
          <w:sz w:val="18"/>
          <w:szCs w:val="18"/>
        </w:rPr>
        <w:t>makkelijker deze ordentelijk af te wikkelen zodat kritieke bancaire functies overeind blijven. Op deze manier worden de risico’s voor het financiële stelsel beperkt, evenals de afhankelijkheid van de Staat</w:t>
      </w:r>
      <w:r w:rsidR="003E1F4C">
        <w:rPr>
          <w:rFonts w:asciiTheme="minorHAnsi" w:hAnsiTheme="minorHAnsi"/>
          <w:sz w:val="18"/>
          <w:szCs w:val="18"/>
        </w:rPr>
        <w:t xml:space="preserve"> in crisistijden</w:t>
      </w:r>
      <w:r w:rsidRPr="00DB5388" w:rsidR="00DB5388">
        <w:rPr>
          <w:rFonts w:asciiTheme="minorHAnsi" w:hAnsiTheme="minorHAnsi"/>
          <w:sz w:val="18"/>
          <w:szCs w:val="18"/>
        </w:rPr>
        <w:t>.</w:t>
      </w:r>
      <w:r w:rsidR="00DB5388">
        <w:rPr>
          <w:rFonts w:asciiTheme="minorHAnsi" w:hAnsiTheme="minorHAnsi"/>
          <w:sz w:val="18"/>
          <w:szCs w:val="18"/>
        </w:rPr>
        <w:t xml:space="preserve"> Daarnaast is de minister</w:t>
      </w:r>
      <w:r w:rsidRPr="0055688B">
        <w:rPr>
          <w:rFonts w:asciiTheme="minorHAnsi" w:hAnsiTheme="minorHAnsi"/>
          <w:sz w:val="18"/>
          <w:szCs w:val="18"/>
        </w:rPr>
        <w:t xml:space="preserve"> verantwoordelijk voor het functioneren van het toezichtsysteem als geheel en voor de uitvoering van het toezicht door DNB en de AFM</w:t>
      </w:r>
      <w:r w:rsidR="00173AA3">
        <w:rPr>
          <w:rFonts w:asciiTheme="minorHAnsi" w:hAnsiTheme="minorHAnsi"/>
          <w:sz w:val="18"/>
          <w:szCs w:val="18"/>
        </w:rPr>
        <w:t>.</w:t>
      </w:r>
      <w:r w:rsidRPr="0055688B">
        <w:rPr>
          <w:rFonts w:asciiTheme="minorHAnsi" w:hAnsiTheme="minorHAnsi"/>
          <w:sz w:val="18"/>
          <w:szCs w:val="18"/>
        </w:rPr>
        <w:t xml:space="preserve"> DNB heeft op de BES</w:t>
      </w:r>
      <w:r w:rsidR="006F4973">
        <w:rPr>
          <w:rFonts w:asciiTheme="minorHAnsi" w:hAnsiTheme="minorHAnsi"/>
          <w:sz w:val="18"/>
          <w:szCs w:val="18"/>
        </w:rPr>
        <w:t>-eilanden</w:t>
      </w:r>
      <w:r w:rsidRPr="0055688B">
        <w:rPr>
          <w:rFonts w:asciiTheme="minorHAnsi" w:hAnsiTheme="minorHAnsi"/>
          <w:sz w:val="18"/>
          <w:szCs w:val="18"/>
        </w:rPr>
        <w:t xml:space="preserve"> tot taak de goede werking van het betalingsverkeer </w:t>
      </w:r>
      <w:r w:rsidR="006F4973">
        <w:rPr>
          <w:rFonts w:asciiTheme="minorHAnsi" w:hAnsiTheme="minorHAnsi"/>
          <w:sz w:val="18"/>
          <w:szCs w:val="18"/>
        </w:rPr>
        <w:t xml:space="preserve">op de BES-eilanden </w:t>
      </w:r>
      <w:r w:rsidRPr="0055688B">
        <w:rPr>
          <w:rFonts w:asciiTheme="minorHAnsi" w:hAnsiTheme="minorHAnsi"/>
          <w:sz w:val="18"/>
          <w:szCs w:val="18"/>
        </w:rPr>
        <w:t xml:space="preserve">te bevorderen, en heeft een </w:t>
      </w:r>
      <w:proofErr w:type="spellStart"/>
      <w:r w:rsidRPr="0055688B">
        <w:rPr>
          <w:rFonts w:asciiTheme="minorHAnsi" w:hAnsiTheme="minorHAnsi"/>
          <w:sz w:val="18"/>
          <w:szCs w:val="18"/>
        </w:rPr>
        <w:t>prudentiële</w:t>
      </w:r>
      <w:proofErr w:type="spellEnd"/>
      <w:r w:rsidRPr="0055688B">
        <w:rPr>
          <w:rFonts w:asciiTheme="minorHAnsi" w:hAnsiTheme="minorHAnsi"/>
          <w:sz w:val="18"/>
          <w:szCs w:val="18"/>
        </w:rPr>
        <w:t xml:space="preserve"> toezichtstaak. De AFM houdt gedragstoezicht</w:t>
      </w:r>
      <w:r w:rsidR="00B16578">
        <w:rPr>
          <w:rFonts w:asciiTheme="minorHAnsi" w:hAnsiTheme="minorHAnsi"/>
          <w:sz w:val="18"/>
          <w:szCs w:val="18"/>
        </w:rPr>
        <w:t xml:space="preserve"> op de financiële instellingen op de BES</w:t>
      </w:r>
      <w:r w:rsidRPr="0055688B">
        <w:rPr>
          <w:rFonts w:asciiTheme="minorHAnsi" w:hAnsiTheme="minorHAnsi"/>
          <w:sz w:val="18"/>
          <w:szCs w:val="18"/>
        </w:rPr>
        <w:t>.</w:t>
      </w:r>
      <w:r w:rsidRPr="0055688B" w:rsidR="00352BC8">
        <w:rPr>
          <w:rFonts w:asciiTheme="minorHAnsi" w:hAnsiTheme="minorHAnsi"/>
          <w:sz w:val="18"/>
          <w:szCs w:val="18"/>
        </w:rPr>
        <w:t xml:space="preserve"> </w:t>
      </w:r>
    </w:p>
    <w:p w:rsidR="006F4973" w:rsidP="00D05D40" w:rsidRDefault="006F4973" w14:paraId="52048D09" w14:textId="77777777">
      <w:pPr>
        <w:pStyle w:val="Default"/>
        <w:spacing w:line="276" w:lineRule="auto"/>
        <w:jc w:val="both"/>
        <w:rPr>
          <w:rFonts w:asciiTheme="minorHAnsi" w:hAnsiTheme="minorHAnsi"/>
          <w:sz w:val="18"/>
          <w:szCs w:val="18"/>
        </w:rPr>
      </w:pPr>
    </w:p>
    <w:p w:rsidR="00866CE6" w:rsidP="00D05D40" w:rsidRDefault="00866CE6" w14:paraId="382A5201" w14:textId="0AB468C1">
      <w:pPr>
        <w:pStyle w:val="Default"/>
        <w:spacing w:line="276" w:lineRule="auto"/>
        <w:jc w:val="both"/>
        <w:rPr>
          <w:rFonts w:asciiTheme="minorHAnsi" w:hAnsiTheme="minorHAnsi"/>
          <w:sz w:val="18"/>
          <w:szCs w:val="18"/>
        </w:rPr>
      </w:pPr>
      <w:bookmarkStart w:name="_Hlk222757370" w:id="1"/>
      <w:r w:rsidRPr="006F4973">
        <w:rPr>
          <w:rFonts w:asciiTheme="minorHAnsi" w:hAnsiTheme="minorHAnsi"/>
          <w:sz w:val="18"/>
          <w:szCs w:val="18"/>
        </w:rPr>
        <w:t xml:space="preserve">Een kredietovereenkomst met een commerciële partij is theoretisch mogelijk maar zeer weinig (lokale) partijen zouden dit risico kunnen/willen </w:t>
      </w:r>
      <w:r w:rsidR="00B940DE">
        <w:rPr>
          <w:rFonts w:asciiTheme="minorHAnsi" w:hAnsiTheme="minorHAnsi"/>
          <w:sz w:val="18"/>
          <w:szCs w:val="18"/>
        </w:rPr>
        <w:t>nemen</w:t>
      </w:r>
      <w:r w:rsidRPr="006F4973">
        <w:rPr>
          <w:rFonts w:asciiTheme="minorHAnsi" w:hAnsiTheme="minorHAnsi"/>
          <w:sz w:val="18"/>
          <w:szCs w:val="18"/>
        </w:rPr>
        <w:t>. Daarnaast zou een dergelijke partij een risicopremie vragen die in praktijk nauwelijks te dragen is door de sector, die zeer gering is in omvang.</w:t>
      </w:r>
      <w:r>
        <w:rPr>
          <w:rFonts w:asciiTheme="minorHAnsi" w:hAnsiTheme="minorHAnsi"/>
          <w:sz w:val="18"/>
          <w:szCs w:val="18"/>
        </w:rPr>
        <w:t xml:space="preserve">  </w:t>
      </w:r>
    </w:p>
    <w:bookmarkEnd w:id="1"/>
    <w:p w:rsidR="006E1C1D" w:rsidP="00D05D40" w:rsidRDefault="006E1C1D" w14:paraId="601BBB6F" w14:textId="77777777">
      <w:pPr>
        <w:pStyle w:val="Default"/>
        <w:spacing w:line="276" w:lineRule="auto"/>
        <w:jc w:val="both"/>
        <w:rPr>
          <w:rFonts w:asciiTheme="minorHAnsi" w:hAnsiTheme="minorHAnsi"/>
          <w:iCs/>
          <w:sz w:val="18"/>
          <w:szCs w:val="18"/>
        </w:rPr>
      </w:pPr>
    </w:p>
    <w:p w:rsidRPr="006F4973" w:rsidR="006E1C1D" w:rsidP="00D05D40" w:rsidRDefault="006E1C1D" w14:paraId="63B44758" w14:textId="7FAB0CEC">
      <w:pPr>
        <w:pStyle w:val="Default"/>
        <w:spacing w:line="276" w:lineRule="auto"/>
        <w:jc w:val="both"/>
        <w:rPr>
          <w:rFonts w:asciiTheme="minorHAnsi" w:hAnsiTheme="minorHAnsi"/>
          <w:iCs/>
          <w:sz w:val="18"/>
          <w:szCs w:val="18"/>
        </w:rPr>
      </w:pPr>
      <w:r w:rsidRPr="006F4973">
        <w:rPr>
          <w:rFonts w:asciiTheme="minorHAnsi" w:hAnsiTheme="minorHAnsi"/>
          <w:iCs/>
          <w:sz w:val="18"/>
          <w:szCs w:val="18"/>
        </w:rPr>
        <w:t xml:space="preserve">Artikel 10a:13 van het Besluit Financiële Markten BES biedt de juridische mogelijkheid voor het DGS-fonds om een kredietovereenkomst te sluiten. De minister van Financiën dient hiervoor toestemming te geven. Uit de toelichting volgt dat het in de lijn der verwachting ligt </w:t>
      </w:r>
      <w:r>
        <w:rPr>
          <w:rFonts w:asciiTheme="minorHAnsi" w:hAnsiTheme="minorHAnsi"/>
          <w:iCs/>
          <w:sz w:val="18"/>
          <w:szCs w:val="18"/>
        </w:rPr>
        <w:t>dat een dergelijke</w:t>
      </w:r>
      <w:r w:rsidRPr="006F4973">
        <w:rPr>
          <w:rFonts w:asciiTheme="minorHAnsi" w:hAnsiTheme="minorHAnsi"/>
          <w:iCs/>
          <w:sz w:val="18"/>
          <w:szCs w:val="18"/>
        </w:rPr>
        <w:t xml:space="preserve"> </w:t>
      </w:r>
      <w:r>
        <w:rPr>
          <w:rFonts w:asciiTheme="minorHAnsi" w:hAnsiTheme="minorHAnsi"/>
          <w:iCs/>
          <w:sz w:val="18"/>
          <w:szCs w:val="18"/>
        </w:rPr>
        <w:t xml:space="preserve">kredietovereenkomst wordt </w:t>
      </w:r>
      <w:r w:rsidRPr="006F4973">
        <w:rPr>
          <w:rFonts w:asciiTheme="minorHAnsi" w:hAnsiTheme="minorHAnsi"/>
          <w:iCs/>
          <w:sz w:val="18"/>
          <w:szCs w:val="18"/>
        </w:rPr>
        <w:t>af</w:t>
      </w:r>
      <w:r>
        <w:rPr>
          <w:rFonts w:asciiTheme="minorHAnsi" w:hAnsiTheme="minorHAnsi"/>
          <w:iCs/>
          <w:sz w:val="18"/>
          <w:szCs w:val="18"/>
        </w:rPr>
        <w:t xml:space="preserve">gesloten </w:t>
      </w:r>
      <w:r w:rsidRPr="006F4973">
        <w:rPr>
          <w:rFonts w:asciiTheme="minorHAnsi" w:hAnsiTheme="minorHAnsi"/>
          <w:iCs/>
          <w:sz w:val="18"/>
          <w:szCs w:val="18"/>
        </w:rPr>
        <w:t xml:space="preserve">met de Staat. </w:t>
      </w:r>
    </w:p>
    <w:p w:rsidRPr="0055688B" w:rsidR="00BA655E" w:rsidP="00B03786" w:rsidRDefault="00BA655E" w14:paraId="1F51F1C6" w14:textId="77777777">
      <w:pPr>
        <w:pStyle w:val="Default"/>
        <w:spacing w:line="276" w:lineRule="auto"/>
        <w:jc w:val="both"/>
        <w:rPr>
          <w:rFonts w:asciiTheme="minorHAnsi" w:hAnsiTheme="minorHAnsi"/>
          <w:sz w:val="18"/>
          <w:szCs w:val="18"/>
        </w:rPr>
      </w:pPr>
    </w:p>
    <w:p w:rsidRPr="001121DC" w:rsidR="001121DC" w:rsidP="001121DC" w:rsidRDefault="0056557C" w14:paraId="279B5F4A" w14:textId="4FFEA62D">
      <w:pPr>
        <w:pStyle w:val="Default"/>
        <w:jc w:val="both"/>
        <w:rPr>
          <w:rFonts w:asciiTheme="minorHAnsi" w:hAnsiTheme="minorHAnsi"/>
          <w:i/>
          <w:sz w:val="18"/>
          <w:szCs w:val="18"/>
        </w:rPr>
      </w:pPr>
      <w:r w:rsidRPr="006F4973">
        <w:rPr>
          <w:rFonts w:asciiTheme="minorHAnsi" w:hAnsiTheme="minorHAnsi"/>
          <w:i/>
          <w:sz w:val="18"/>
          <w:szCs w:val="18"/>
        </w:rPr>
        <w:t xml:space="preserve">3. </w:t>
      </w:r>
      <w:r w:rsidRPr="001121DC" w:rsidR="001121DC">
        <w:rPr>
          <w:rFonts w:asciiTheme="minorHAnsi" w:hAnsiTheme="minorHAnsi"/>
          <w:i/>
          <w:sz w:val="18"/>
          <w:szCs w:val="18"/>
        </w:rPr>
        <w:t>Is het voorstel voor de risicoregeling:</w:t>
      </w:r>
    </w:p>
    <w:p w:rsidRPr="001121DC" w:rsidR="001121DC" w:rsidP="005048B1" w:rsidRDefault="001121DC" w14:paraId="0EA36E98" w14:textId="77777777">
      <w:pPr>
        <w:pStyle w:val="Default"/>
        <w:rPr>
          <w:rFonts w:asciiTheme="minorHAnsi" w:hAnsiTheme="minorHAnsi"/>
          <w:i/>
          <w:sz w:val="18"/>
          <w:szCs w:val="18"/>
        </w:rPr>
      </w:pPr>
      <w:r w:rsidRPr="001121DC">
        <w:rPr>
          <w:rFonts w:asciiTheme="minorHAnsi" w:hAnsiTheme="minorHAnsi"/>
          <w:i/>
          <w:sz w:val="18"/>
          <w:szCs w:val="18"/>
        </w:rPr>
        <w:t>a. ter compensatie van risico’s die niet in de markt kunnen worden gedekt, en/of</w:t>
      </w:r>
    </w:p>
    <w:p w:rsidRPr="006F4973" w:rsidR="00676EDF" w:rsidP="002F558A" w:rsidRDefault="001121DC" w14:paraId="5AACA87B" w14:textId="23386CF6">
      <w:pPr>
        <w:pStyle w:val="Default"/>
        <w:spacing w:line="276" w:lineRule="auto"/>
        <w:jc w:val="both"/>
        <w:rPr>
          <w:rFonts w:asciiTheme="minorHAnsi" w:hAnsiTheme="minorHAnsi"/>
          <w:sz w:val="18"/>
          <w:szCs w:val="18"/>
        </w:rPr>
      </w:pPr>
      <w:r w:rsidRPr="001121DC">
        <w:rPr>
          <w:rFonts w:asciiTheme="minorHAnsi" w:hAnsiTheme="minorHAnsi"/>
          <w:i/>
          <w:sz w:val="18"/>
          <w:szCs w:val="18"/>
        </w:rPr>
        <w:t>b.</w:t>
      </w:r>
      <w:r>
        <w:rPr>
          <w:rFonts w:asciiTheme="minorHAnsi" w:hAnsiTheme="minorHAnsi"/>
          <w:i/>
          <w:sz w:val="18"/>
          <w:szCs w:val="18"/>
        </w:rPr>
        <w:t xml:space="preserve"> </w:t>
      </w:r>
      <w:r w:rsidRPr="001121DC">
        <w:rPr>
          <w:rFonts w:asciiTheme="minorHAnsi" w:hAnsiTheme="minorHAnsi"/>
          <w:i/>
          <w:sz w:val="18"/>
          <w:szCs w:val="18"/>
        </w:rPr>
        <w:t>het beste instrument waarmee een optimale doelmatigheidswinst kan worden bewerkstelligd ten opzichte van andere beleidsinstrumenten</w:t>
      </w:r>
      <w:r>
        <w:rPr>
          <w:rFonts w:asciiTheme="minorHAnsi" w:hAnsiTheme="minorHAnsi"/>
          <w:i/>
          <w:sz w:val="18"/>
          <w:szCs w:val="18"/>
        </w:rPr>
        <w:t>.</w:t>
      </w:r>
      <w:r w:rsidRPr="001121DC">
        <w:rPr>
          <w:rFonts w:asciiTheme="minorHAnsi" w:hAnsiTheme="minorHAnsi"/>
          <w:i/>
          <w:sz w:val="18"/>
          <w:szCs w:val="18"/>
        </w:rPr>
        <w:t xml:space="preserve"> Maak een vergelijking met alternatieve beleidsinstrumenten.</w:t>
      </w:r>
    </w:p>
    <w:p w:rsidRPr="006F4973" w:rsidR="00B63DB9" w:rsidP="002F558A" w:rsidRDefault="0077588E" w14:paraId="11E33E73" w14:textId="60BBB08D">
      <w:pPr>
        <w:pStyle w:val="Default"/>
        <w:spacing w:line="276" w:lineRule="auto"/>
        <w:jc w:val="both"/>
        <w:rPr>
          <w:rFonts w:asciiTheme="minorHAnsi" w:hAnsiTheme="minorHAnsi"/>
          <w:sz w:val="18"/>
          <w:szCs w:val="18"/>
        </w:rPr>
      </w:pPr>
      <w:r w:rsidRPr="006F4973">
        <w:rPr>
          <w:rFonts w:asciiTheme="minorHAnsi" w:hAnsiTheme="minorHAnsi"/>
          <w:sz w:val="18"/>
          <w:szCs w:val="18"/>
        </w:rPr>
        <w:t>Het DGS garandeert bepaalde tegoeden van rekeninghouders van een bank die haar verplichtingen niet meer kan nakomen</w:t>
      </w:r>
      <w:r w:rsidRPr="006F4973" w:rsidR="0050111C">
        <w:rPr>
          <w:rFonts w:asciiTheme="minorHAnsi" w:hAnsiTheme="minorHAnsi"/>
          <w:sz w:val="18"/>
          <w:szCs w:val="18"/>
        </w:rPr>
        <w:t xml:space="preserve"> en tegoeden van spaarders niet kan terugbetalen, bijvoorbeeld door faillissement</w:t>
      </w:r>
      <w:r w:rsidRPr="006F4973">
        <w:rPr>
          <w:rFonts w:asciiTheme="minorHAnsi" w:hAnsiTheme="minorHAnsi"/>
          <w:sz w:val="18"/>
          <w:szCs w:val="18"/>
        </w:rPr>
        <w:t xml:space="preserve">. </w:t>
      </w:r>
      <w:r w:rsidRPr="006F4973" w:rsidR="00D832D5">
        <w:rPr>
          <w:rFonts w:asciiTheme="minorHAnsi" w:hAnsiTheme="minorHAnsi"/>
          <w:sz w:val="18"/>
          <w:szCs w:val="18"/>
        </w:rPr>
        <w:t xml:space="preserve">Gelet op het zeer beperkte aantal banken dat op de BES actief is, zal een onmiddellijk beroep op de andere banken voor de financiering van </w:t>
      </w:r>
      <w:r w:rsidRPr="006F4973" w:rsidR="000542AA">
        <w:rPr>
          <w:rFonts w:asciiTheme="minorHAnsi" w:hAnsiTheme="minorHAnsi"/>
          <w:sz w:val="18"/>
          <w:szCs w:val="18"/>
        </w:rPr>
        <w:t>het</w:t>
      </w:r>
      <w:r w:rsidRPr="006F4973" w:rsidR="0050111C">
        <w:rPr>
          <w:rFonts w:asciiTheme="minorHAnsi" w:hAnsiTheme="minorHAnsi"/>
          <w:sz w:val="18"/>
          <w:szCs w:val="18"/>
        </w:rPr>
        <w:t xml:space="preserve"> </w:t>
      </w:r>
      <w:r w:rsidRPr="006F4973" w:rsidR="00D832D5">
        <w:rPr>
          <w:rFonts w:asciiTheme="minorHAnsi" w:hAnsiTheme="minorHAnsi"/>
          <w:sz w:val="18"/>
          <w:szCs w:val="18"/>
        </w:rPr>
        <w:t>DGS</w:t>
      </w:r>
      <w:r w:rsidRPr="006F4973">
        <w:rPr>
          <w:rFonts w:asciiTheme="minorHAnsi" w:hAnsiTheme="minorHAnsi"/>
          <w:sz w:val="18"/>
          <w:szCs w:val="18"/>
        </w:rPr>
        <w:t xml:space="preserve"> </w:t>
      </w:r>
      <w:r w:rsidRPr="006F4973" w:rsidR="002A7DE6">
        <w:rPr>
          <w:rFonts w:asciiTheme="minorHAnsi" w:hAnsiTheme="minorHAnsi"/>
          <w:sz w:val="18"/>
          <w:szCs w:val="18"/>
        </w:rPr>
        <w:t xml:space="preserve">zonder </w:t>
      </w:r>
      <w:r w:rsidRPr="006F4973" w:rsidR="0050111C">
        <w:rPr>
          <w:rFonts w:asciiTheme="minorHAnsi" w:hAnsiTheme="minorHAnsi"/>
          <w:sz w:val="18"/>
          <w:szCs w:val="18"/>
        </w:rPr>
        <w:t>garantstelling van de Staat</w:t>
      </w:r>
      <w:r w:rsidRPr="006F4973" w:rsidR="002A2A9B">
        <w:rPr>
          <w:rFonts w:asciiTheme="minorHAnsi" w:hAnsiTheme="minorHAnsi"/>
          <w:sz w:val="18"/>
          <w:szCs w:val="18"/>
        </w:rPr>
        <w:t xml:space="preserve"> </w:t>
      </w:r>
      <w:r w:rsidRPr="006F4973" w:rsidR="00D832D5">
        <w:rPr>
          <w:rFonts w:asciiTheme="minorHAnsi" w:hAnsiTheme="minorHAnsi"/>
          <w:sz w:val="18"/>
          <w:szCs w:val="18"/>
        </w:rPr>
        <w:t>naar waarschijnlijkheid leiden tot verspreiding van de financiële problemen van de falende bank via het kanaal van het DGS.</w:t>
      </w:r>
      <w:r w:rsidRPr="006F4973" w:rsidR="000542AA">
        <w:rPr>
          <w:rFonts w:asciiTheme="minorHAnsi" w:hAnsiTheme="minorHAnsi"/>
          <w:sz w:val="18"/>
          <w:szCs w:val="18"/>
        </w:rPr>
        <w:t xml:space="preserve"> Het is niet realistisch om te verwachten dat alle DGS-uitbetalingen gedragen kunnen worden door het fonds.</w:t>
      </w:r>
      <w:r w:rsidRPr="006F4973" w:rsidR="00D832D5">
        <w:rPr>
          <w:rFonts w:asciiTheme="minorHAnsi" w:hAnsiTheme="minorHAnsi"/>
          <w:sz w:val="18"/>
          <w:szCs w:val="18"/>
        </w:rPr>
        <w:t xml:space="preserve"> Voorts geldt dat de verdeling van de markt op de BES-eilanden zodanig is dat één partij een dusdanig groot aandeel heeft dat zij bij het falen van een andere (kleinere) partij steeds onmiddellijk </w:t>
      </w:r>
      <w:r w:rsidRPr="006F4973" w:rsidR="004633A8">
        <w:rPr>
          <w:rFonts w:asciiTheme="minorHAnsi" w:hAnsiTheme="minorHAnsi"/>
          <w:sz w:val="18"/>
          <w:szCs w:val="18"/>
        </w:rPr>
        <w:t>een groot deel van</w:t>
      </w:r>
      <w:r w:rsidRPr="006F4973" w:rsidR="00D832D5">
        <w:rPr>
          <w:rFonts w:asciiTheme="minorHAnsi" w:hAnsiTheme="minorHAnsi"/>
          <w:sz w:val="18"/>
          <w:szCs w:val="18"/>
        </w:rPr>
        <w:t xml:space="preserve"> de rekening zal moeten betalen ofwel dat bij haar falen de overige banken disproportioneel worden getroffen</w:t>
      </w:r>
      <w:r w:rsidRPr="006F4973" w:rsidR="000542AA">
        <w:rPr>
          <w:rFonts w:asciiTheme="minorHAnsi" w:hAnsiTheme="minorHAnsi"/>
          <w:sz w:val="18"/>
          <w:szCs w:val="18"/>
        </w:rPr>
        <w:t xml:space="preserve">. </w:t>
      </w:r>
      <w:r w:rsidRPr="006F4973" w:rsidR="007F5644">
        <w:rPr>
          <w:rFonts w:asciiTheme="minorHAnsi" w:hAnsiTheme="minorHAnsi"/>
          <w:sz w:val="18"/>
          <w:szCs w:val="18"/>
        </w:rPr>
        <w:t xml:space="preserve"> </w:t>
      </w:r>
    </w:p>
    <w:p w:rsidRPr="006F4973" w:rsidR="00676EDF" w:rsidP="002F558A" w:rsidRDefault="00676EDF" w14:paraId="2CD95667" w14:textId="22E3FCCC">
      <w:pPr>
        <w:pStyle w:val="Default"/>
        <w:spacing w:line="276" w:lineRule="auto"/>
        <w:jc w:val="both"/>
        <w:rPr>
          <w:rFonts w:asciiTheme="minorHAnsi" w:hAnsiTheme="minorHAnsi"/>
          <w:sz w:val="18"/>
          <w:szCs w:val="18"/>
        </w:rPr>
      </w:pPr>
    </w:p>
    <w:p w:rsidRPr="006E1C1D" w:rsidR="006E1C1D" w:rsidP="006E1C1D" w:rsidRDefault="00836A22" w14:paraId="0E3EB65A" w14:textId="0B46FC16">
      <w:pPr>
        <w:pStyle w:val="Default"/>
        <w:jc w:val="both"/>
        <w:rPr>
          <w:rFonts w:asciiTheme="minorHAnsi" w:hAnsiTheme="minorHAnsi"/>
          <w:i/>
          <w:sz w:val="18"/>
          <w:szCs w:val="18"/>
        </w:rPr>
      </w:pPr>
      <w:r w:rsidRPr="006F4973">
        <w:rPr>
          <w:rFonts w:asciiTheme="minorHAnsi" w:hAnsiTheme="minorHAnsi"/>
          <w:i/>
          <w:sz w:val="18"/>
          <w:szCs w:val="18"/>
        </w:rPr>
        <w:t xml:space="preserve">4. </w:t>
      </w:r>
      <w:r w:rsidRPr="006E1C1D" w:rsidR="006E1C1D">
        <w:rPr>
          <w:rFonts w:asciiTheme="minorHAnsi" w:hAnsiTheme="minorHAnsi"/>
          <w:i/>
          <w:sz w:val="18"/>
          <w:szCs w:val="18"/>
        </w:rPr>
        <w:t xml:space="preserve">Op welke wijze wordt het nieuw aan te </w:t>
      </w:r>
      <w:proofErr w:type="spellStart"/>
      <w:r w:rsidRPr="006E1C1D" w:rsidR="006E1C1D">
        <w:rPr>
          <w:rFonts w:asciiTheme="minorHAnsi" w:hAnsiTheme="minorHAnsi"/>
          <w:i/>
          <w:sz w:val="18"/>
          <w:szCs w:val="18"/>
        </w:rPr>
        <w:t>gane</w:t>
      </w:r>
      <w:proofErr w:type="spellEnd"/>
      <w:r w:rsidRPr="006E1C1D" w:rsidR="006E1C1D">
        <w:rPr>
          <w:rFonts w:asciiTheme="minorHAnsi" w:hAnsiTheme="minorHAnsi"/>
          <w:i/>
          <w:sz w:val="18"/>
          <w:szCs w:val="18"/>
        </w:rPr>
        <w:t xml:space="preserve"> risico gecompenseerd door risico’s vanuit andere</w:t>
      </w:r>
    </w:p>
    <w:p w:rsidR="000C0E91" w:rsidP="002F558A" w:rsidRDefault="006E1C1D" w14:paraId="1FCEE22B" w14:textId="77777777">
      <w:pPr>
        <w:pStyle w:val="Default"/>
        <w:spacing w:line="276" w:lineRule="auto"/>
        <w:jc w:val="both"/>
        <w:rPr>
          <w:rFonts w:asciiTheme="minorHAnsi" w:hAnsiTheme="minorHAnsi"/>
          <w:i/>
          <w:sz w:val="18"/>
          <w:szCs w:val="18"/>
        </w:rPr>
      </w:pPr>
      <w:r w:rsidRPr="006E1C1D">
        <w:rPr>
          <w:rFonts w:asciiTheme="minorHAnsi" w:hAnsiTheme="minorHAnsi"/>
          <w:i/>
          <w:sz w:val="18"/>
          <w:szCs w:val="18"/>
        </w:rPr>
        <w:t>risicoregelingen binnen de begroting te verminderen?</w:t>
      </w:r>
    </w:p>
    <w:p w:rsidR="00C53BD5" w:rsidP="002F558A" w:rsidRDefault="00C639C8" w14:paraId="63491242" w14:textId="4AF200C6">
      <w:pPr>
        <w:pStyle w:val="Default"/>
        <w:spacing w:line="276" w:lineRule="auto"/>
        <w:jc w:val="both"/>
        <w:rPr>
          <w:rFonts w:asciiTheme="minorHAnsi" w:hAnsiTheme="minorHAnsi"/>
          <w:iCs/>
          <w:sz w:val="18"/>
          <w:szCs w:val="18"/>
        </w:rPr>
      </w:pPr>
      <w:r>
        <w:rPr>
          <w:rFonts w:asciiTheme="minorHAnsi" w:hAnsiTheme="minorHAnsi"/>
          <w:iCs/>
          <w:sz w:val="18"/>
          <w:szCs w:val="18"/>
        </w:rPr>
        <w:t>Als gevolg van de stelselwijziging is de</w:t>
      </w:r>
      <w:r w:rsidR="006E1C1D">
        <w:rPr>
          <w:rFonts w:asciiTheme="minorHAnsi" w:hAnsiTheme="minorHAnsi"/>
          <w:iCs/>
          <w:sz w:val="18"/>
          <w:szCs w:val="18"/>
        </w:rPr>
        <w:t xml:space="preserve"> </w:t>
      </w:r>
      <w:r w:rsidR="00F90384">
        <w:rPr>
          <w:rFonts w:asciiTheme="minorHAnsi" w:hAnsiTheme="minorHAnsi"/>
          <w:iCs/>
          <w:sz w:val="18"/>
          <w:szCs w:val="18"/>
        </w:rPr>
        <w:t>vorige garantie</w:t>
      </w:r>
      <w:r w:rsidR="006E1C1D">
        <w:rPr>
          <w:rFonts w:asciiTheme="minorHAnsi" w:hAnsiTheme="minorHAnsi"/>
          <w:iCs/>
          <w:sz w:val="18"/>
          <w:szCs w:val="18"/>
        </w:rPr>
        <w:t xml:space="preserve"> DGS BES gesloten en vervallen á 72 mln. </w:t>
      </w:r>
      <w:r w:rsidR="00AA43C5">
        <w:rPr>
          <w:rFonts w:asciiTheme="minorHAnsi" w:hAnsiTheme="minorHAnsi"/>
          <w:iCs/>
          <w:sz w:val="18"/>
          <w:szCs w:val="18"/>
        </w:rPr>
        <w:t>E</w:t>
      </w:r>
      <w:r w:rsidR="006E1C1D">
        <w:rPr>
          <w:rFonts w:asciiTheme="minorHAnsi" w:hAnsiTheme="minorHAnsi"/>
          <w:iCs/>
          <w:sz w:val="18"/>
          <w:szCs w:val="18"/>
        </w:rPr>
        <w:t>uro. Nieuwe regeling wordt opgezet ter vervanging van het oude stelsel. Omvang van de nieuwe regeling is kleiner (30 mln.)</w:t>
      </w:r>
      <w:r>
        <w:rPr>
          <w:rFonts w:asciiTheme="minorHAnsi" w:hAnsiTheme="minorHAnsi"/>
          <w:iCs/>
          <w:sz w:val="18"/>
          <w:szCs w:val="18"/>
        </w:rPr>
        <w:t>, onder meer vanwege het fonds dat de Stichting aanhoudt en als eerste wordt aangesproken in het geval dat er over gegaan moet worden tot uitkeringen</w:t>
      </w:r>
      <w:r w:rsidR="006E1C1D">
        <w:rPr>
          <w:rFonts w:asciiTheme="minorHAnsi" w:hAnsiTheme="minorHAnsi"/>
          <w:iCs/>
          <w:sz w:val="18"/>
          <w:szCs w:val="18"/>
        </w:rPr>
        <w:t xml:space="preserve">. </w:t>
      </w:r>
    </w:p>
    <w:p w:rsidRPr="006F4973" w:rsidR="00B07D36" w:rsidP="002F558A" w:rsidRDefault="00B07D36" w14:paraId="0AFF29F2" w14:textId="77777777">
      <w:pPr>
        <w:pStyle w:val="Default"/>
        <w:spacing w:line="276" w:lineRule="auto"/>
        <w:jc w:val="both"/>
        <w:rPr>
          <w:rFonts w:asciiTheme="minorHAnsi" w:hAnsiTheme="minorHAnsi"/>
          <w:sz w:val="18"/>
          <w:szCs w:val="18"/>
        </w:rPr>
      </w:pPr>
    </w:p>
    <w:p w:rsidRPr="006F4973" w:rsidR="00C53BD5" w:rsidP="002F558A" w:rsidRDefault="00C53BD5" w14:paraId="054E61AB" w14:textId="77777777">
      <w:pPr>
        <w:pStyle w:val="Default"/>
        <w:spacing w:line="276" w:lineRule="auto"/>
        <w:jc w:val="both"/>
        <w:rPr>
          <w:rFonts w:asciiTheme="minorHAnsi" w:hAnsiTheme="minorHAnsi"/>
          <w:b/>
          <w:sz w:val="18"/>
          <w:szCs w:val="18"/>
        </w:rPr>
      </w:pPr>
      <w:r w:rsidRPr="006F4973">
        <w:rPr>
          <w:rFonts w:asciiTheme="minorHAnsi" w:hAnsiTheme="minorHAnsi"/>
          <w:b/>
          <w:sz w:val="18"/>
          <w:szCs w:val="18"/>
        </w:rPr>
        <w:t xml:space="preserve">Risico’s en risicobeheersing </w:t>
      </w:r>
    </w:p>
    <w:p w:rsidRPr="006F4973" w:rsidR="00C53BD5" w:rsidP="002F558A" w:rsidRDefault="00836A22" w14:paraId="2B05A1FB" w14:textId="1664D121">
      <w:pPr>
        <w:pStyle w:val="Default"/>
        <w:spacing w:line="276" w:lineRule="auto"/>
        <w:jc w:val="both"/>
        <w:rPr>
          <w:rFonts w:asciiTheme="minorHAnsi" w:hAnsiTheme="minorHAnsi"/>
          <w:i/>
          <w:sz w:val="18"/>
          <w:szCs w:val="18"/>
        </w:rPr>
      </w:pPr>
      <w:r w:rsidRPr="006F4973">
        <w:rPr>
          <w:rFonts w:asciiTheme="minorHAnsi" w:hAnsiTheme="minorHAnsi"/>
          <w:i/>
          <w:sz w:val="18"/>
          <w:szCs w:val="18"/>
        </w:rPr>
        <w:t xml:space="preserve">5. </w:t>
      </w:r>
      <w:r w:rsidRPr="006F4973" w:rsidR="00C53BD5">
        <w:rPr>
          <w:rFonts w:asciiTheme="minorHAnsi" w:hAnsiTheme="minorHAnsi"/>
          <w:i/>
          <w:sz w:val="18"/>
          <w:szCs w:val="18"/>
        </w:rPr>
        <w:t>Wat zi</w:t>
      </w:r>
      <w:r w:rsidRPr="006F4973" w:rsidR="00CA46BE">
        <w:rPr>
          <w:rFonts w:asciiTheme="minorHAnsi" w:hAnsiTheme="minorHAnsi"/>
          <w:i/>
          <w:sz w:val="18"/>
          <w:szCs w:val="18"/>
        </w:rPr>
        <w:t>jn de risico’s van de regeling</w:t>
      </w:r>
      <w:r w:rsidR="0001022B">
        <w:rPr>
          <w:rFonts w:asciiTheme="minorHAnsi" w:hAnsiTheme="minorHAnsi"/>
          <w:i/>
          <w:sz w:val="18"/>
          <w:szCs w:val="18"/>
        </w:rPr>
        <w:t xml:space="preserve"> voor het Rijk?</w:t>
      </w:r>
    </w:p>
    <w:p w:rsidRPr="006F4973" w:rsidR="00AC7519" w:rsidP="002F558A" w:rsidRDefault="00AC7519" w14:paraId="07EB00A4" w14:textId="3087982C">
      <w:pPr>
        <w:pStyle w:val="Default"/>
        <w:spacing w:line="276" w:lineRule="auto"/>
        <w:jc w:val="both"/>
        <w:rPr>
          <w:rFonts w:asciiTheme="minorHAnsi" w:hAnsiTheme="minorHAnsi"/>
          <w:i/>
          <w:sz w:val="18"/>
          <w:szCs w:val="18"/>
        </w:rPr>
      </w:pPr>
      <w:r w:rsidRPr="006F4973">
        <w:rPr>
          <w:rFonts w:asciiTheme="minorHAnsi" w:hAnsiTheme="minorHAnsi"/>
          <w:i/>
          <w:sz w:val="18"/>
          <w:szCs w:val="18"/>
        </w:rPr>
        <w:t xml:space="preserve">a. Wat is het totaalrisico van de regeling op jaarbasis? Kent de regeling een totaalplafond? </w:t>
      </w:r>
    </w:p>
    <w:p w:rsidRPr="0055688B" w:rsidR="00AC7519" w:rsidP="002F558A" w:rsidRDefault="00AC7519" w14:paraId="5D8445A1" w14:textId="1DAA526D">
      <w:pPr>
        <w:pStyle w:val="Default"/>
        <w:spacing w:line="276" w:lineRule="auto"/>
        <w:jc w:val="both"/>
        <w:rPr>
          <w:rFonts w:asciiTheme="minorHAnsi" w:hAnsiTheme="minorHAnsi"/>
          <w:sz w:val="18"/>
          <w:szCs w:val="18"/>
        </w:rPr>
      </w:pPr>
      <w:r w:rsidRPr="006F4973">
        <w:rPr>
          <w:rFonts w:asciiTheme="minorHAnsi" w:hAnsiTheme="minorHAnsi"/>
          <w:sz w:val="18"/>
          <w:szCs w:val="18"/>
        </w:rPr>
        <w:t>Het DGS keert enkel uit in de situatie dat een bank</w:t>
      </w:r>
      <w:r w:rsidRPr="006F4973" w:rsidR="005746FD">
        <w:rPr>
          <w:rFonts w:asciiTheme="minorHAnsi" w:hAnsiTheme="minorHAnsi"/>
          <w:sz w:val="18"/>
          <w:szCs w:val="18"/>
        </w:rPr>
        <w:t xml:space="preserve"> </w:t>
      </w:r>
      <w:r w:rsidRPr="006F4973">
        <w:rPr>
          <w:rFonts w:asciiTheme="minorHAnsi" w:hAnsiTheme="minorHAnsi"/>
          <w:sz w:val="18"/>
          <w:szCs w:val="18"/>
        </w:rPr>
        <w:t>door</w:t>
      </w:r>
      <w:r w:rsidRPr="0055688B">
        <w:rPr>
          <w:rFonts w:asciiTheme="minorHAnsi" w:hAnsiTheme="minorHAnsi"/>
          <w:sz w:val="18"/>
          <w:szCs w:val="18"/>
        </w:rPr>
        <w:t xml:space="preserve"> faillissement tegoeden van spaarders niet kan terugbetalen. Dat maakt dat enkel in de uitzonderlijke situatie van een faillissement van een bank een beroep zal worden gedaan op </w:t>
      </w:r>
      <w:r w:rsidR="000542AA">
        <w:rPr>
          <w:rFonts w:asciiTheme="minorHAnsi" w:hAnsiTheme="minorHAnsi"/>
          <w:sz w:val="18"/>
          <w:szCs w:val="18"/>
        </w:rPr>
        <w:t>het DGS-fonds.</w:t>
      </w:r>
      <w:r w:rsidRPr="0055688B">
        <w:rPr>
          <w:rFonts w:asciiTheme="minorHAnsi" w:hAnsiTheme="minorHAnsi"/>
          <w:sz w:val="18"/>
          <w:szCs w:val="18"/>
        </w:rPr>
        <w:t xml:space="preserve"> </w:t>
      </w:r>
      <w:r w:rsidR="003C6ACE">
        <w:rPr>
          <w:rFonts w:asciiTheme="minorHAnsi" w:hAnsiTheme="minorHAnsi"/>
          <w:sz w:val="18"/>
          <w:szCs w:val="18"/>
        </w:rPr>
        <w:t xml:space="preserve">Alleen in de gevallen dat het gehouden </w:t>
      </w:r>
      <w:r w:rsidR="003C6ACE">
        <w:rPr>
          <w:rFonts w:asciiTheme="minorHAnsi" w:hAnsiTheme="minorHAnsi"/>
          <w:sz w:val="18"/>
          <w:szCs w:val="18"/>
        </w:rPr>
        <w:lastRenderedPageBreak/>
        <w:t>vermogen van dit fonds niet voldoende is om alle uitkeringen uit hoofde van het DGS te dragen</w:t>
      </w:r>
      <w:r w:rsidR="00C639C8">
        <w:rPr>
          <w:rFonts w:asciiTheme="minorHAnsi" w:hAnsiTheme="minorHAnsi"/>
          <w:sz w:val="18"/>
          <w:szCs w:val="18"/>
        </w:rPr>
        <w:t>,</w:t>
      </w:r>
      <w:r w:rsidR="003C6ACE">
        <w:rPr>
          <w:rFonts w:asciiTheme="minorHAnsi" w:hAnsiTheme="minorHAnsi"/>
          <w:sz w:val="18"/>
          <w:szCs w:val="18"/>
        </w:rPr>
        <w:t xml:space="preserve"> zal gebruik worden gemaakt van de kredietlijn van maximaal</w:t>
      </w:r>
      <w:r w:rsidR="00B07D36">
        <w:rPr>
          <w:rFonts w:asciiTheme="minorHAnsi" w:hAnsiTheme="minorHAnsi"/>
          <w:sz w:val="18"/>
          <w:szCs w:val="18"/>
        </w:rPr>
        <w:t xml:space="preserve"> </w:t>
      </w:r>
      <w:r w:rsidR="003C6ACE">
        <w:rPr>
          <w:rFonts w:asciiTheme="minorHAnsi" w:hAnsiTheme="minorHAnsi"/>
          <w:sz w:val="18"/>
          <w:szCs w:val="18"/>
        </w:rPr>
        <w:t xml:space="preserve">30 </w:t>
      </w:r>
      <w:r w:rsidR="00AA43C5">
        <w:rPr>
          <w:rFonts w:asciiTheme="minorHAnsi" w:hAnsiTheme="minorHAnsi"/>
          <w:sz w:val="18"/>
          <w:szCs w:val="18"/>
        </w:rPr>
        <w:t>miljoen Euro</w:t>
      </w:r>
      <w:r w:rsidR="003C6ACE">
        <w:rPr>
          <w:rFonts w:asciiTheme="minorHAnsi" w:hAnsiTheme="minorHAnsi"/>
          <w:sz w:val="18"/>
          <w:szCs w:val="18"/>
        </w:rPr>
        <w:t xml:space="preserve">. Dit bedrag is afdoende om </w:t>
      </w:r>
      <w:r w:rsidR="00CC4B18">
        <w:rPr>
          <w:rFonts w:asciiTheme="minorHAnsi" w:hAnsiTheme="minorHAnsi"/>
          <w:sz w:val="18"/>
          <w:szCs w:val="18"/>
        </w:rPr>
        <w:t>de vergoeding</w:t>
      </w:r>
      <w:r w:rsidR="003C6ACE">
        <w:rPr>
          <w:rFonts w:asciiTheme="minorHAnsi" w:hAnsiTheme="minorHAnsi"/>
          <w:sz w:val="18"/>
          <w:szCs w:val="18"/>
        </w:rPr>
        <w:t xml:space="preserve"> van deposito’s van het faillissement van één van de kleinere banken te dragen. </w:t>
      </w:r>
    </w:p>
    <w:p w:rsidRPr="0055688B" w:rsidR="00AC7519" w:rsidP="002F558A" w:rsidRDefault="00AC7519" w14:paraId="36701837" w14:textId="77777777">
      <w:pPr>
        <w:pStyle w:val="Default"/>
        <w:spacing w:line="276" w:lineRule="auto"/>
        <w:ind w:left="567"/>
        <w:jc w:val="both"/>
        <w:rPr>
          <w:rFonts w:asciiTheme="minorHAnsi" w:hAnsiTheme="minorHAnsi"/>
          <w:sz w:val="18"/>
          <w:szCs w:val="18"/>
        </w:rPr>
      </w:pPr>
    </w:p>
    <w:p w:rsidR="000B48D7" w:rsidP="002F558A" w:rsidRDefault="00AC7519" w14:paraId="628D8CE2" w14:textId="64B4B7C1">
      <w:pPr>
        <w:pStyle w:val="Default"/>
        <w:spacing w:line="276" w:lineRule="auto"/>
        <w:jc w:val="both"/>
        <w:rPr>
          <w:rFonts w:asciiTheme="minorHAnsi" w:hAnsiTheme="minorHAnsi"/>
          <w:sz w:val="18"/>
          <w:szCs w:val="18"/>
        </w:rPr>
      </w:pPr>
      <w:r w:rsidRPr="0055688B">
        <w:rPr>
          <w:rFonts w:asciiTheme="minorHAnsi" w:hAnsiTheme="minorHAnsi"/>
          <w:sz w:val="18"/>
          <w:szCs w:val="18"/>
        </w:rPr>
        <w:t xml:space="preserve">Ten aanzien van een totaalplafond geldt dat in het hoogst uitzonderlijke en extreme scenario dat </w:t>
      </w:r>
      <w:r w:rsidRPr="0055688B">
        <w:rPr>
          <w:rFonts w:asciiTheme="minorHAnsi" w:hAnsiTheme="minorHAnsi"/>
          <w:i/>
          <w:sz w:val="18"/>
          <w:szCs w:val="18"/>
        </w:rPr>
        <w:t xml:space="preserve">alle </w:t>
      </w:r>
      <w:r w:rsidRPr="0055688B">
        <w:rPr>
          <w:rFonts w:asciiTheme="minorHAnsi" w:hAnsiTheme="minorHAnsi"/>
          <w:sz w:val="18"/>
          <w:szCs w:val="18"/>
        </w:rPr>
        <w:t>banken actief op de BES min of meer gelijktijdig falen</w:t>
      </w:r>
      <w:r w:rsidRPr="0055688B" w:rsidR="003D3377">
        <w:rPr>
          <w:rFonts w:asciiTheme="minorHAnsi" w:hAnsiTheme="minorHAnsi"/>
          <w:sz w:val="18"/>
          <w:szCs w:val="18"/>
        </w:rPr>
        <w:t>,</w:t>
      </w:r>
      <w:r w:rsidRPr="0055688B">
        <w:rPr>
          <w:rFonts w:asciiTheme="minorHAnsi" w:hAnsiTheme="minorHAnsi"/>
          <w:sz w:val="18"/>
          <w:szCs w:val="18"/>
        </w:rPr>
        <w:t xml:space="preserve"> alle spaartegoeden </w:t>
      </w:r>
      <w:r w:rsidRPr="0055688B" w:rsidR="005A1AC8">
        <w:rPr>
          <w:rFonts w:asciiTheme="minorHAnsi" w:hAnsiTheme="minorHAnsi"/>
          <w:sz w:val="18"/>
          <w:szCs w:val="18"/>
        </w:rPr>
        <w:t>tot een bedrag van 2</w:t>
      </w:r>
      <w:r w:rsidR="000B48D7">
        <w:rPr>
          <w:rFonts w:asciiTheme="minorHAnsi" w:hAnsiTheme="minorHAnsi"/>
          <w:sz w:val="18"/>
          <w:szCs w:val="18"/>
        </w:rPr>
        <w:t>5</w:t>
      </w:r>
      <w:r w:rsidRPr="0055688B">
        <w:rPr>
          <w:rFonts w:asciiTheme="minorHAnsi" w:hAnsiTheme="minorHAnsi"/>
          <w:sz w:val="18"/>
          <w:szCs w:val="18"/>
        </w:rPr>
        <w:t xml:space="preserve">.000 USD voor vergoeding op grond van het </w:t>
      </w:r>
      <w:r w:rsidRPr="0055688B" w:rsidR="003D3377">
        <w:rPr>
          <w:rFonts w:asciiTheme="minorHAnsi" w:hAnsiTheme="minorHAnsi"/>
          <w:sz w:val="18"/>
          <w:szCs w:val="18"/>
        </w:rPr>
        <w:t>DGS</w:t>
      </w:r>
      <w:r w:rsidR="00AE7237">
        <w:rPr>
          <w:rFonts w:asciiTheme="minorHAnsi" w:hAnsiTheme="minorHAnsi"/>
          <w:sz w:val="18"/>
          <w:szCs w:val="18"/>
        </w:rPr>
        <w:t xml:space="preserve"> in aanmerking komen. De o</w:t>
      </w:r>
      <w:r w:rsidRPr="00AE7237" w:rsidR="00AE7237">
        <w:rPr>
          <w:rFonts w:asciiTheme="minorHAnsi" w:hAnsiTheme="minorHAnsi"/>
          <w:sz w:val="18"/>
          <w:szCs w:val="18"/>
        </w:rPr>
        <w:t>mvang</w:t>
      </w:r>
      <w:r w:rsidR="0066044F">
        <w:rPr>
          <w:rFonts w:asciiTheme="minorHAnsi" w:hAnsiTheme="minorHAnsi"/>
          <w:sz w:val="18"/>
          <w:szCs w:val="18"/>
        </w:rPr>
        <w:t xml:space="preserve"> van de</w:t>
      </w:r>
      <w:r w:rsidRPr="00AE7237" w:rsidR="00AE7237">
        <w:rPr>
          <w:rFonts w:asciiTheme="minorHAnsi" w:hAnsiTheme="minorHAnsi"/>
          <w:sz w:val="18"/>
          <w:szCs w:val="18"/>
        </w:rPr>
        <w:t xml:space="preserve"> gegarandeerde deposito’s is circa </w:t>
      </w:r>
      <w:r w:rsidR="000B48D7">
        <w:rPr>
          <w:rFonts w:asciiTheme="minorHAnsi" w:hAnsiTheme="minorHAnsi"/>
          <w:sz w:val="18"/>
          <w:szCs w:val="18"/>
        </w:rPr>
        <w:t>200</w:t>
      </w:r>
      <w:r w:rsidRPr="00AE7237" w:rsidR="00AE7237">
        <w:rPr>
          <w:rFonts w:asciiTheme="minorHAnsi" w:hAnsiTheme="minorHAnsi"/>
          <w:sz w:val="18"/>
          <w:szCs w:val="18"/>
        </w:rPr>
        <w:t xml:space="preserve"> </w:t>
      </w:r>
      <w:proofErr w:type="spellStart"/>
      <w:r w:rsidRPr="00AE7237" w:rsidR="00AE7237">
        <w:rPr>
          <w:rFonts w:asciiTheme="minorHAnsi" w:hAnsiTheme="minorHAnsi"/>
          <w:sz w:val="18"/>
          <w:szCs w:val="18"/>
        </w:rPr>
        <w:t>mln</w:t>
      </w:r>
      <w:proofErr w:type="spellEnd"/>
      <w:r w:rsidRPr="00AE7237" w:rsidR="00AE7237">
        <w:rPr>
          <w:rFonts w:asciiTheme="minorHAnsi" w:hAnsiTheme="minorHAnsi"/>
          <w:sz w:val="18"/>
          <w:szCs w:val="18"/>
        </w:rPr>
        <w:t xml:space="preserve"> USD op grond van de analyse van DNB in 2020.</w:t>
      </w:r>
      <w:r w:rsidR="00AE7237">
        <w:rPr>
          <w:rFonts w:asciiTheme="minorHAnsi" w:hAnsiTheme="minorHAnsi"/>
          <w:sz w:val="18"/>
          <w:szCs w:val="18"/>
        </w:rPr>
        <w:t xml:space="preserve"> </w:t>
      </w:r>
      <w:r w:rsidR="000B48D7">
        <w:rPr>
          <w:rFonts w:asciiTheme="minorHAnsi" w:hAnsiTheme="minorHAnsi"/>
          <w:sz w:val="18"/>
          <w:szCs w:val="18"/>
        </w:rPr>
        <w:t>Indien de kredietlijn onvoldoende blijkt te zijn</w:t>
      </w:r>
      <w:r w:rsidR="00E7160B">
        <w:rPr>
          <w:rFonts w:asciiTheme="minorHAnsi" w:hAnsiTheme="minorHAnsi"/>
          <w:sz w:val="18"/>
          <w:szCs w:val="18"/>
        </w:rPr>
        <w:t>,</w:t>
      </w:r>
      <w:r w:rsidR="000B48D7">
        <w:rPr>
          <w:rFonts w:asciiTheme="minorHAnsi" w:hAnsiTheme="minorHAnsi"/>
          <w:sz w:val="18"/>
          <w:szCs w:val="18"/>
        </w:rPr>
        <w:t xml:space="preserve"> is het mogelijk dat het fon</w:t>
      </w:r>
      <w:r w:rsidR="00227051">
        <w:rPr>
          <w:rFonts w:asciiTheme="minorHAnsi" w:hAnsiTheme="minorHAnsi"/>
          <w:sz w:val="18"/>
          <w:szCs w:val="18"/>
        </w:rPr>
        <w:t xml:space="preserve">ds de minister zal verzoeken om aanvullend krediet. Dit zal de minister </w:t>
      </w:r>
      <w:r w:rsidR="00B940DE">
        <w:rPr>
          <w:rFonts w:asciiTheme="minorHAnsi" w:hAnsiTheme="minorHAnsi"/>
          <w:sz w:val="18"/>
          <w:szCs w:val="18"/>
        </w:rPr>
        <w:t>t.z.t.</w:t>
      </w:r>
      <w:r w:rsidR="00227051">
        <w:rPr>
          <w:rFonts w:asciiTheme="minorHAnsi" w:hAnsiTheme="minorHAnsi"/>
          <w:sz w:val="18"/>
          <w:szCs w:val="18"/>
        </w:rPr>
        <w:t xml:space="preserve"> moeten afwegen en eventueel vertrouwelijk aan de Kamer dienen voor te leggen. </w:t>
      </w:r>
      <w:r w:rsidR="00C639C8">
        <w:rPr>
          <w:rFonts w:asciiTheme="minorHAnsi" w:hAnsiTheme="minorHAnsi"/>
          <w:sz w:val="18"/>
          <w:szCs w:val="18"/>
        </w:rPr>
        <w:t xml:space="preserve">Dit valt buiten de reikwijdte van de garantie. </w:t>
      </w:r>
    </w:p>
    <w:p w:rsidR="006F4973" w:rsidP="002F558A" w:rsidRDefault="006F4973" w14:paraId="2FC701C9" w14:textId="77777777">
      <w:pPr>
        <w:pStyle w:val="Default"/>
        <w:spacing w:line="276" w:lineRule="auto"/>
        <w:jc w:val="both"/>
        <w:rPr>
          <w:rFonts w:asciiTheme="minorHAnsi" w:hAnsiTheme="minorHAnsi"/>
          <w:sz w:val="18"/>
          <w:szCs w:val="18"/>
        </w:rPr>
      </w:pPr>
    </w:p>
    <w:p w:rsidRPr="0055688B" w:rsidR="00991DE0" w:rsidP="002F558A" w:rsidRDefault="00991DE0" w14:paraId="6E3BCF5C" w14:textId="437AC9AF">
      <w:pPr>
        <w:pStyle w:val="Default"/>
        <w:spacing w:line="276" w:lineRule="auto"/>
        <w:jc w:val="both"/>
        <w:rPr>
          <w:rFonts w:asciiTheme="minorHAnsi" w:hAnsiTheme="minorHAnsi"/>
          <w:sz w:val="18"/>
          <w:szCs w:val="18"/>
        </w:rPr>
      </w:pPr>
      <w:r w:rsidRPr="0055688B">
        <w:rPr>
          <w:rFonts w:asciiTheme="minorHAnsi" w:hAnsiTheme="minorHAnsi"/>
          <w:sz w:val="18"/>
          <w:szCs w:val="18"/>
        </w:rPr>
        <w:t xml:space="preserve">Naarmate de omvang van de deposito’s van onder de </w:t>
      </w:r>
      <w:r w:rsidR="00E7160B">
        <w:rPr>
          <w:rFonts w:asciiTheme="minorHAnsi" w:hAnsiTheme="minorHAnsi"/>
          <w:sz w:val="18"/>
          <w:szCs w:val="18"/>
        </w:rPr>
        <w:t xml:space="preserve">USD </w:t>
      </w:r>
      <w:r w:rsidRPr="0055688B">
        <w:rPr>
          <w:rFonts w:asciiTheme="minorHAnsi" w:hAnsiTheme="minorHAnsi"/>
          <w:sz w:val="18"/>
          <w:szCs w:val="18"/>
        </w:rPr>
        <w:t>2</w:t>
      </w:r>
      <w:r w:rsidR="000B48D7">
        <w:rPr>
          <w:rFonts w:asciiTheme="minorHAnsi" w:hAnsiTheme="minorHAnsi"/>
          <w:sz w:val="18"/>
          <w:szCs w:val="18"/>
        </w:rPr>
        <w:t>5</w:t>
      </w:r>
      <w:r w:rsidRPr="0055688B">
        <w:rPr>
          <w:rFonts w:asciiTheme="minorHAnsi" w:hAnsiTheme="minorHAnsi"/>
          <w:sz w:val="18"/>
          <w:szCs w:val="18"/>
        </w:rPr>
        <w:t>.000 toeneemt</w:t>
      </w:r>
      <w:r w:rsidR="00A307D3">
        <w:rPr>
          <w:rFonts w:asciiTheme="minorHAnsi" w:hAnsiTheme="minorHAnsi"/>
          <w:sz w:val="18"/>
          <w:szCs w:val="18"/>
        </w:rPr>
        <w:t>, neemt de blootstelling in het extreemste scenario toe</w:t>
      </w:r>
      <w:r w:rsidRPr="0055688B">
        <w:rPr>
          <w:rFonts w:asciiTheme="minorHAnsi" w:hAnsiTheme="minorHAnsi"/>
          <w:sz w:val="18"/>
          <w:szCs w:val="18"/>
        </w:rPr>
        <w:t xml:space="preserve">. </w:t>
      </w:r>
      <w:r w:rsidRPr="0055688B" w:rsidR="00FF78A8">
        <w:rPr>
          <w:rFonts w:asciiTheme="minorHAnsi" w:hAnsiTheme="minorHAnsi"/>
          <w:sz w:val="18"/>
          <w:szCs w:val="18"/>
        </w:rPr>
        <w:t xml:space="preserve">De schade moet aangetoond kunnen worden op basis van de administratie van de getroffen instelling: DNB heeft </w:t>
      </w:r>
      <w:r w:rsidRPr="0055688B" w:rsidR="00274C25">
        <w:rPr>
          <w:rFonts w:asciiTheme="minorHAnsi" w:hAnsiTheme="minorHAnsi"/>
          <w:sz w:val="18"/>
          <w:szCs w:val="18"/>
        </w:rPr>
        <w:t xml:space="preserve">op grond van de </w:t>
      </w:r>
      <w:proofErr w:type="spellStart"/>
      <w:r w:rsidRPr="0055688B" w:rsidR="00274C25">
        <w:rPr>
          <w:rFonts w:asciiTheme="minorHAnsi" w:hAnsiTheme="minorHAnsi"/>
          <w:sz w:val="18"/>
          <w:szCs w:val="18"/>
        </w:rPr>
        <w:t>Wfm</w:t>
      </w:r>
      <w:proofErr w:type="spellEnd"/>
      <w:r w:rsidRPr="0055688B" w:rsidR="00274C25">
        <w:rPr>
          <w:rFonts w:asciiTheme="minorHAnsi" w:hAnsiTheme="minorHAnsi"/>
          <w:sz w:val="18"/>
          <w:szCs w:val="18"/>
        </w:rPr>
        <w:t xml:space="preserve"> BES </w:t>
      </w:r>
      <w:r w:rsidRPr="0055688B" w:rsidR="00FF78A8">
        <w:rPr>
          <w:rFonts w:asciiTheme="minorHAnsi" w:hAnsiTheme="minorHAnsi"/>
          <w:sz w:val="18"/>
          <w:szCs w:val="18"/>
        </w:rPr>
        <w:t>de bevoegdheid de administratie op te vragen.</w:t>
      </w:r>
      <w:r w:rsidRPr="0055688B">
        <w:rPr>
          <w:rFonts w:asciiTheme="minorHAnsi" w:hAnsiTheme="minorHAnsi"/>
          <w:sz w:val="18"/>
          <w:szCs w:val="18"/>
        </w:rPr>
        <w:t xml:space="preserve"> </w:t>
      </w:r>
    </w:p>
    <w:p w:rsidRPr="0055688B" w:rsidR="00AC7519" w:rsidP="002F558A" w:rsidRDefault="00AC7519" w14:paraId="7B259B05" w14:textId="6C3A1810">
      <w:pPr>
        <w:pStyle w:val="Default"/>
        <w:spacing w:line="276" w:lineRule="auto"/>
        <w:jc w:val="both"/>
        <w:rPr>
          <w:rFonts w:asciiTheme="minorHAnsi" w:hAnsiTheme="minorHAnsi"/>
          <w:sz w:val="18"/>
          <w:szCs w:val="18"/>
        </w:rPr>
      </w:pPr>
    </w:p>
    <w:p w:rsidRPr="0055688B" w:rsidR="00AC7519" w:rsidP="002F558A" w:rsidRDefault="00AC7519" w14:paraId="6CB8F71D" w14:textId="69133F43">
      <w:pPr>
        <w:pStyle w:val="Default"/>
        <w:spacing w:line="276" w:lineRule="auto"/>
        <w:jc w:val="both"/>
        <w:rPr>
          <w:rFonts w:asciiTheme="minorHAnsi" w:hAnsiTheme="minorHAnsi"/>
          <w:i/>
          <w:sz w:val="18"/>
          <w:szCs w:val="18"/>
        </w:rPr>
      </w:pPr>
      <w:r w:rsidRPr="0055688B">
        <w:rPr>
          <w:rFonts w:asciiTheme="minorHAnsi" w:hAnsiTheme="minorHAnsi"/>
          <w:i/>
          <w:sz w:val="18"/>
          <w:szCs w:val="18"/>
        </w:rPr>
        <w:t>b. Hoe staan risico en rendement van de regeling tot elkaar in verhouding?</w:t>
      </w:r>
    </w:p>
    <w:p w:rsidR="00A3654C" w:rsidP="002F558A" w:rsidRDefault="00A3654C" w14:paraId="5AF5793F" w14:textId="692A5E64">
      <w:pPr>
        <w:pStyle w:val="Default"/>
        <w:spacing w:line="276" w:lineRule="auto"/>
        <w:jc w:val="both"/>
        <w:rPr>
          <w:rFonts w:asciiTheme="minorHAnsi" w:hAnsiTheme="minorHAnsi"/>
          <w:sz w:val="18"/>
          <w:szCs w:val="18"/>
        </w:rPr>
      </w:pPr>
      <w:r w:rsidRPr="00784F1E">
        <w:rPr>
          <w:rFonts w:asciiTheme="minorHAnsi" w:hAnsiTheme="minorHAnsi"/>
          <w:sz w:val="18"/>
          <w:szCs w:val="18"/>
        </w:rPr>
        <w:t>Het</w:t>
      </w:r>
      <w:r w:rsidR="00227051">
        <w:rPr>
          <w:rFonts w:asciiTheme="minorHAnsi" w:hAnsiTheme="minorHAnsi"/>
          <w:sz w:val="18"/>
          <w:szCs w:val="18"/>
        </w:rPr>
        <w:t xml:space="preserve"> </w:t>
      </w:r>
      <w:r w:rsidRPr="00784F1E">
        <w:rPr>
          <w:rFonts w:asciiTheme="minorHAnsi" w:hAnsiTheme="minorHAnsi"/>
          <w:sz w:val="18"/>
          <w:szCs w:val="18"/>
        </w:rPr>
        <w:t>depositogarantiestelsel op de BES-eilanden is ingevoerd om depositohouders te beschermen</w:t>
      </w:r>
      <w:r>
        <w:rPr>
          <w:rFonts w:asciiTheme="minorHAnsi" w:hAnsiTheme="minorHAnsi"/>
          <w:sz w:val="18"/>
          <w:szCs w:val="18"/>
        </w:rPr>
        <w:t xml:space="preserve">, </w:t>
      </w:r>
      <w:r w:rsidRPr="00784F1E">
        <w:rPr>
          <w:rFonts w:asciiTheme="minorHAnsi" w:hAnsiTheme="minorHAnsi"/>
          <w:sz w:val="18"/>
          <w:szCs w:val="18"/>
        </w:rPr>
        <w:t xml:space="preserve">het risico op een </w:t>
      </w:r>
      <w:proofErr w:type="spellStart"/>
      <w:r w:rsidRPr="00784F1E">
        <w:rPr>
          <w:rFonts w:asciiTheme="minorHAnsi" w:hAnsiTheme="minorHAnsi"/>
          <w:sz w:val="18"/>
          <w:szCs w:val="18"/>
        </w:rPr>
        <w:t>bankrun</w:t>
      </w:r>
      <w:proofErr w:type="spellEnd"/>
      <w:r w:rsidRPr="00784F1E">
        <w:rPr>
          <w:rFonts w:asciiTheme="minorHAnsi" w:hAnsiTheme="minorHAnsi"/>
          <w:sz w:val="18"/>
          <w:szCs w:val="18"/>
        </w:rPr>
        <w:t xml:space="preserve"> te verkleinen</w:t>
      </w:r>
      <w:r>
        <w:rPr>
          <w:rFonts w:asciiTheme="minorHAnsi" w:hAnsiTheme="minorHAnsi"/>
          <w:sz w:val="18"/>
          <w:szCs w:val="18"/>
        </w:rPr>
        <w:t xml:space="preserve"> en daarmee de financiële stabiliteit te vergroten</w:t>
      </w:r>
      <w:r w:rsidRPr="00784F1E">
        <w:rPr>
          <w:rFonts w:asciiTheme="minorHAnsi" w:hAnsiTheme="minorHAnsi"/>
          <w:sz w:val="18"/>
          <w:szCs w:val="18"/>
        </w:rPr>
        <w:t>.</w:t>
      </w:r>
      <w:r>
        <w:rPr>
          <w:rFonts w:asciiTheme="minorHAnsi" w:hAnsiTheme="minorHAnsi"/>
          <w:sz w:val="18"/>
          <w:szCs w:val="18"/>
        </w:rPr>
        <w:t xml:space="preserve"> </w:t>
      </w:r>
      <w:r w:rsidRPr="0055688B">
        <w:rPr>
          <w:rFonts w:cs="Arial" w:asciiTheme="minorHAnsi" w:hAnsiTheme="minorHAnsi"/>
          <w:sz w:val="18"/>
          <w:szCs w:val="18"/>
        </w:rPr>
        <w:t>Indien deposito’s tot een bepaalde omvang zijn beschermd door dekking van een DGS wordt aan depositohouders een belangrijke prikkel ontnomen om in geval van enig wantrouwen in de soliditeit van de bank al te snel hun deposito’s van de bank te halen.</w:t>
      </w:r>
      <w:r w:rsidR="00227051">
        <w:rPr>
          <w:rFonts w:cs="Arial" w:asciiTheme="minorHAnsi" w:hAnsiTheme="minorHAnsi"/>
          <w:sz w:val="18"/>
          <w:szCs w:val="18"/>
        </w:rPr>
        <w:t xml:space="preserve"> </w:t>
      </w:r>
      <w:r w:rsidRPr="0055688B">
        <w:rPr>
          <w:rFonts w:cs="Arial" w:asciiTheme="minorHAnsi" w:hAnsiTheme="minorHAnsi"/>
          <w:sz w:val="18"/>
          <w:szCs w:val="18"/>
        </w:rPr>
        <w:t xml:space="preserve"> </w:t>
      </w:r>
      <w:r w:rsidR="00CC4B18">
        <w:rPr>
          <w:rFonts w:asciiTheme="minorHAnsi" w:hAnsiTheme="minorHAnsi"/>
          <w:sz w:val="18"/>
          <w:szCs w:val="18"/>
        </w:rPr>
        <w:t xml:space="preserve">Door het </w:t>
      </w:r>
      <w:r w:rsidR="00227051">
        <w:rPr>
          <w:rFonts w:asciiTheme="minorHAnsi" w:hAnsiTheme="minorHAnsi"/>
          <w:sz w:val="18"/>
          <w:szCs w:val="18"/>
        </w:rPr>
        <w:t>afsluiten van de kredietovereenkomst door het DGS-fonds bij BCN en deze tot uitdrukking te brengen in een nieuwe garantieregeling</w:t>
      </w:r>
      <w:r w:rsidR="00CC4B18">
        <w:rPr>
          <w:rFonts w:asciiTheme="minorHAnsi" w:hAnsiTheme="minorHAnsi"/>
          <w:sz w:val="18"/>
          <w:szCs w:val="18"/>
        </w:rPr>
        <w:t>,</w:t>
      </w:r>
      <w:r w:rsidRPr="00784F1E">
        <w:rPr>
          <w:rFonts w:asciiTheme="minorHAnsi" w:hAnsiTheme="minorHAnsi"/>
          <w:sz w:val="18"/>
          <w:szCs w:val="18"/>
        </w:rPr>
        <w:t xml:space="preserve"> </w:t>
      </w:r>
      <w:r w:rsidR="00CC4B18">
        <w:rPr>
          <w:rFonts w:asciiTheme="minorHAnsi" w:hAnsiTheme="minorHAnsi"/>
          <w:sz w:val="18"/>
          <w:szCs w:val="18"/>
        </w:rPr>
        <w:t>worden</w:t>
      </w:r>
      <w:r w:rsidRPr="00784F1E" w:rsidR="00BA273E">
        <w:rPr>
          <w:rFonts w:asciiTheme="minorHAnsi" w:hAnsiTheme="minorHAnsi"/>
          <w:sz w:val="18"/>
          <w:szCs w:val="18"/>
        </w:rPr>
        <w:t xml:space="preserve"> </w:t>
      </w:r>
      <w:r>
        <w:rPr>
          <w:rFonts w:asciiTheme="minorHAnsi" w:hAnsiTheme="minorHAnsi"/>
          <w:sz w:val="18"/>
          <w:szCs w:val="18"/>
        </w:rPr>
        <w:t>de zekerheid en effectiviteit van het stelsel vergroot</w:t>
      </w:r>
      <w:r w:rsidR="00227051">
        <w:rPr>
          <w:rFonts w:asciiTheme="minorHAnsi" w:hAnsiTheme="minorHAnsi"/>
          <w:sz w:val="18"/>
          <w:szCs w:val="18"/>
        </w:rPr>
        <w:t xml:space="preserve"> en geldt</w:t>
      </w:r>
      <w:r w:rsidR="00CC4B18">
        <w:rPr>
          <w:rFonts w:asciiTheme="minorHAnsi" w:hAnsiTheme="minorHAnsi"/>
          <w:sz w:val="18"/>
          <w:szCs w:val="18"/>
        </w:rPr>
        <w:t xml:space="preserve"> tevens</w:t>
      </w:r>
      <w:r w:rsidR="00227051">
        <w:rPr>
          <w:rFonts w:asciiTheme="minorHAnsi" w:hAnsiTheme="minorHAnsi"/>
          <w:sz w:val="18"/>
          <w:szCs w:val="18"/>
        </w:rPr>
        <w:t xml:space="preserve"> als sluitstuk van </w:t>
      </w:r>
      <w:r w:rsidR="00CC4B18">
        <w:rPr>
          <w:rFonts w:asciiTheme="minorHAnsi" w:hAnsiTheme="minorHAnsi"/>
          <w:sz w:val="18"/>
          <w:szCs w:val="18"/>
        </w:rPr>
        <w:t xml:space="preserve">het </w:t>
      </w:r>
      <w:r w:rsidR="00227051">
        <w:rPr>
          <w:rFonts w:asciiTheme="minorHAnsi" w:hAnsiTheme="minorHAnsi"/>
          <w:sz w:val="18"/>
          <w:szCs w:val="18"/>
        </w:rPr>
        <w:t xml:space="preserve">solide systeem. </w:t>
      </w:r>
      <w:r>
        <w:rPr>
          <w:rFonts w:asciiTheme="minorHAnsi" w:hAnsiTheme="minorHAnsi"/>
          <w:sz w:val="18"/>
          <w:szCs w:val="18"/>
        </w:rPr>
        <w:t xml:space="preserve"> </w:t>
      </w:r>
      <w:r w:rsidRPr="00784F1E">
        <w:rPr>
          <w:rFonts w:asciiTheme="minorHAnsi" w:hAnsiTheme="minorHAnsi"/>
          <w:sz w:val="18"/>
          <w:szCs w:val="18"/>
        </w:rPr>
        <w:t xml:space="preserve"> </w:t>
      </w:r>
    </w:p>
    <w:p w:rsidRPr="0055688B" w:rsidR="00F54FAE" w:rsidP="002F558A" w:rsidRDefault="00F54FAE" w14:paraId="5F6E9FF6" w14:textId="5A36D3C0">
      <w:pPr>
        <w:spacing w:after="0"/>
        <w:jc w:val="both"/>
        <w:rPr>
          <w:rFonts w:asciiTheme="minorHAnsi" w:hAnsiTheme="minorHAnsi"/>
          <w:szCs w:val="18"/>
        </w:rPr>
      </w:pPr>
    </w:p>
    <w:p w:rsidRPr="00340280" w:rsidR="006B696E" w:rsidP="002F558A" w:rsidRDefault="00AC7519" w14:paraId="33B85DEE" w14:textId="68577371">
      <w:pPr>
        <w:pStyle w:val="Default"/>
        <w:spacing w:line="276" w:lineRule="auto"/>
        <w:jc w:val="both"/>
        <w:rPr>
          <w:rFonts w:asciiTheme="minorHAnsi" w:hAnsiTheme="minorHAnsi"/>
          <w:i/>
          <w:sz w:val="18"/>
          <w:szCs w:val="18"/>
        </w:rPr>
      </w:pPr>
      <w:r w:rsidRPr="0055688B">
        <w:rPr>
          <w:rFonts w:asciiTheme="minorHAnsi" w:hAnsiTheme="minorHAnsi"/>
          <w:i/>
          <w:sz w:val="18"/>
          <w:szCs w:val="18"/>
        </w:rPr>
        <w:t xml:space="preserve">c. Wat is de inschatting van het risico op waarschijnlijkheid, impact, blootstellingduur en </w:t>
      </w:r>
      <w:proofErr w:type="spellStart"/>
      <w:r w:rsidRPr="0055688B">
        <w:rPr>
          <w:rFonts w:asciiTheme="minorHAnsi" w:hAnsiTheme="minorHAnsi"/>
          <w:i/>
          <w:sz w:val="18"/>
          <w:szCs w:val="18"/>
        </w:rPr>
        <w:t>beheersingsmate</w:t>
      </w:r>
      <w:proofErr w:type="spellEnd"/>
      <w:r w:rsidRPr="0055688B">
        <w:rPr>
          <w:rFonts w:asciiTheme="minorHAnsi" w:hAnsiTheme="minorHAnsi"/>
          <w:i/>
          <w:sz w:val="18"/>
          <w:szCs w:val="18"/>
        </w:rPr>
        <w:t xml:space="preserve">? </w:t>
      </w:r>
    </w:p>
    <w:p w:rsidR="00340280" w:rsidP="002F558A" w:rsidRDefault="00600A7A" w14:paraId="2052A416" w14:textId="6E54AE97">
      <w:pPr>
        <w:spacing w:after="0"/>
        <w:jc w:val="both"/>
        <w:rPr>
          <w:rFonts w:asciiTheme="minorHAnsi" w:hAnsiTheme="minorHAnsi"/>
          <w:szCs w:val="18"/>
        </w:rPr>
      </w:pPr>
      <w:r>
        <w:rPr>
          <w:rFonts w:asciiTheme="minorHAnsi" w:hAnsiTheme="minorHAnsi"/>
          <w:szCs w:val="18"/>
        </w:rPr>
        <w:t xml:space="preserve">Er zijn op dit moment geen signalen over zorgen over de soliditeit van op de BES actieve banken. </w:t>
      </w:r>
      <w:r w:rsidRPr="00600A7A">
        <w:rPr>
          <w:rFonts w:asciiTheme="minorHAnsi" w:hAnsiTheme="minorHAnsi"/>
          <w:szCs w:val="18"/>
        </w:rPr>
        <w:t xml:space="preserve">Daarnaast is een belangrijk gegeven dat de grootste instelling (70%) van deposito’s onder zich heeft en bekend staat als solide en </w:t>
      </w:r>
      <w:r w:rsidR="00777A39">
        <w:rPr>
          <w:rFonts w:asciiTheme="minorHAnsi" w:hAnsiTheme="minorHAnsi"/>
          <w:szCs w:val="18"/>
        </w:rPr>
        <w:t>momenteel fungeert als de bank</w:t>
      </w:r>
      <w:r w:rsidRPr="00600A7A">
        <w:rPr>
          <w:rFonts w:asciiTheme="minorHAnsi" w:hAnsiTheme="minorHAnsi"/>
          <w:szCs w:val="18"/>
        </w:rPr>
        <w:t xml:space="preserve"> van </w:t>
      </w:r>
      <w:r w:rsidR="00777A39">
        <w:rPr>
          <w:rFonts w:asciiTheme="minorHAnsi" w:hAnsiTheme="minorHAnsi"/>
          <w:szCs w:val="18"/>
        </w:rPr>
        <w:t xml:space="preserve">de </w:t>
      </w:r>
      <w:r>
        <w:rPr>
          <w:rFonts w:asciiTheme="minorHAnsi" w:hAnsiTheme="minorHAnsi"/>
          <w:szCs w:val="18"/>
        </w:rPr>
        <w:t>R</w:t>
      </w:r>
      <w:r w:rsidRPr="00600A7A">
        <w:rPr>
          <w:rFonts w:asciiTheme="minorHAnsi" w:hAnsiTheme="minorHAnsi"/>
          <w:szCs w:val="18"/>
        </w:rPr>
        <w:t>ijksdienst Caribisch</w:t>
      </w:r>
      <w:r>
        <w:rPr>
          <w:rFonts w:asciiTheme="minorHAnsi" w:hAnsiTheme="minorHAnsi"/>
          <w:szCs w:val="18"/>
        </w:rPr>
        <w:t xml:space="preserve"> Nederland.</w:t>
      </w:r>
      <w:r w:rsidR="007E7962">
        <w:rPr>
          <w:rFonts w:asciiTheme="minorHAnsi" w:hAnsiTheme="minorHAnsi"/>
          <w:szCs w:val="18"/>
        </w:rPr>
        <w:t xml:space="preserve"> Bovendien houdt DNB </w:t>
      </w:r>
      <w:proofErr w:type="spellStart"/>
      <w:r w:rsidR="007E7962">
        <w:rPr>
          <w:rFonts w:asciiTheme="minorHAnsi" w:hAnsiTheme="minorHAnsi"/>
          <w:szCs w:val="18"/>
        </w:rPr>
        <w:t>prudentieel</w:t>
      </w:r>
      <w:proofErr w:type="spellEnd"/>
      <w:r w:rsidR="007E7962">
        <w:rPr>
          <w:rFonts w:asciiTheme="minorHAnsi" w:hAnsiTheme="minorHAnsi"/>
          <w:szCs w:val="18"/>
        </w:rPr>
        <w:t xml:space="preserve"> toezicht op deze bank. </w:t>
      </w:r>
    </w:p>
    <w:p w:rsidRPr="0055688B" w:rsidR="005746FD" w:rsidP="002F558A" w:rsidRDefault="005746FD" w14:paraId="701EBC40" w14:textId="1CB4721B">
      <w:pPr>
        <w:spacing w:after="0"/>
        <w:jc w:val="both"/>
        <w:rPr>
          <w:rFonts w:asciiTheme="minorHAnsi" w:hAnsiTheme="minorHAnsi"/>
          <w:szCs w:val="18"/>
        </w:rPr>
      </w:pPr>
    </w:p>
    <w:p w:rsidRPr="0055688B" w:rsidR="00AC7519" w:rsidP="002F558A" w:rsidRDefault="00194B10" w14:paraId="6628D537" w14:textId="18021AEF">
      <w:pPr>
        <w:pStyle w:val="Default"/>
        <w:spacing w:line="276" w:lineRule="auto"/>
        <w:jc w:val="both"/>
        <w:rPr>
          <w:rFonts w:asciiTheme="minorHAnsi" w:hAnsiTheme="minorHAnsi"/>
          <w:i/>
          <w:sz w:val="18"/>
          <w:szCs w:val="18"/>
        </w:rPr>
      </w:pPr>
      <w:r w:rsidRPr="0055688B">
        <w:rPr>
          <w:rFonts w:asciiTheme="minorHAnsi" w:hAnsiTheme="minorHAnsi"/>
          <w:i/>
          <w:sz w:val="18"/>
          <w:szCs w:val="18"/>
        </w:rPr>
        <w:t xml:space="preserve">6. </w:t>
      </w:r>
      <w:r w:rsidRPr="0055688B" w:rsidR="00AC7519">
        <w:rPr>
          <w:rFonts w:asciiTheme="minorHAnsi" w:hAnsiTheme="minorHAnsi"/>
          <w:i/>
          <w:sz w:val="18"/>
          <w:szCs w:val="18"/>
        </w:rPr>
        <w:t xml:space="preserve">Welke </w:t>
      </w:r>
      <w:proofErr w:type="spellStart"/>
      <w:r w:rsidRPr="0055688B" w:rsidR="00AC7519">
        <w:rPr>
          <w:rFonts w:asciiTheme="minorHAnsi" w:hAnsiTheme="minorHAnsi"/>
          <w:i/>
          <w:sz w:val="18"/>
          <w:szCs w:val="18"/>
        </w:rPr>
        <w:t>risicobeheersende</w:t>
      </w:r>
      <w:proofErr w:type="spellEnd"/>
      <w:r w:rsidRPr="0055688B" w:rsidR="00AC7519">
        <w:rPr>
          <w:rFonts w:asciiTheme="minorHAnsi" w:hAnsiTheme="minorHAnsi"/>
          <w:i/>
          <w:sz w:val="18"/>
          <w:szCs w:val="18"/>
        </w:rPr>
        <w:t xml:space="preserve"> en </w:t>
      </w:r>
      <w:proofErr w:type="spellStart"/>
      <w:r w:rsidRPr="0055688B" w:rsidR="00AC7519">
        <w:rPr>
          <w:rFonts w:asciiTheme="minorHAnsi" w:hAnsiTheme="minorHAnsi"/>
          <w:i/>
          <w:sz w:val="18"/>
          <w:szCs w:val="18"/>
        </w:rPr>
        <w:t>risicomitigerende</w:t>
      </w:r>
      <w:proofErr w:type="spellEnd"/>
      <w:r w:rsidRPr="0055688B" w:rsidR="00AC7519">
        <w:rPr>
          <w:rFonts w:asciiTheme="minorHAnsi" w:hAnsiTheme="minorHAnsi"/>
          <w:i/>
          <w:sz w:val="18"/>
          <w:szCs w:val="18"/>
        </w:rPr>
        <w:t xml:space="preserve"> maatregelen worden getroffen</w:t>
      </w:r>
      <w:r w:rsidR="001121DC">
        <w:rPr>
          <w:rFonts w:asciiTheme="minorHAnsi" w:hAnsiTheme="minorHAnsi"/>
          <w:i/>
          <w:sz w:val="18"/>
          <w:szCs w:val="18"/>
        </w:rPr>
        <w:t xml:space="preserve"> om het risico voor het Rijk te minimaliseren</w:t>
      </w:r>
      <w:r w:rsidRPr="0055688B" w:rsidR="00AC7519">
        <w:rPr>
          <w:rFonts w:asciiTheme="minorHAnsi" w:hAnsiTheme="minorHAnsi"/>
          <w:i/>
          <w:sz w:val="18"/>
          <w:szCs w:val="18"/>
        </w:rPr>
        <w:t xml:space="preserve">? </w:t>
      </w:r>
      <w:r w:rsidRPr="00247E3B" w:rsidR="00247E3B">
        <w:rPr>
          <w:rFonts w:asciiTheme="minorHAnsi" w:hAnsiTheme="minorHAnsi"/>
          <w:i/>
          <w:sz w:val="18"/>
          <w:szCs w:val="18"/>
        </w:rPr>
        <w:t>Heeft de budgettair verantwoordelijke minister voldoende mogelijkheden tot beheersing van de risico’s, ook als de regeling op afstand van het Rijk wordt uitgevoerd?</w:t>
      </w:r>
    </w:p>
    <w:p w:rsidR="00AC7519" w:rsidP="002F558A" w:rsidRDefault="006831F9" w14:paraId="47888376" w14:textId="79C24C56">
      <w:pPr>
        <w:pStyle w:val="Default"/>
        <w:spacing w:line="276" w:lineRule="auto"/>
        <w:jc w:val="both"/>
        <w:rPr>
          <w:rFonts w:asciiTheme="minorHAnsi" w:hAnsiTheme="minorHAnsi"/>
          <w:sz w:val="18"/>
          <w:szCs w:val="18"/>
        </w:rPr>
      </w:pPr>
      <w:r>
        <w:rPr>
          <w:rFonts w:asciiTheme="minorHAnsi" w:hAnsiTheme="minorHAnsi"/>
          <w:sz w:val="18"/>
          <w:szCs w:val="18"/>
        </w:rPr>
        <w:t xml:space="preserve">De grootste bank met 70% marktaandeel staat reeds onder volledig </w:t>
      </w:r>
      <w:proofErr w:type="spellStart"/>
      <w:r>
        <w:rPr>
          <w:rFonts w:asciiTheme="minorHAnsi" w:hAnsiTheme="minorHAnsi"/>
          <w:sz w:val="18"/>
          <w:szCs w:val="18"/>
        </w:rPr>
        <w:t>prudentieel</w:t>
      </w:r>
      <w:proofErr w:type="spellEnd"/>
      <w:r>
        <w:rPr>
          <w:rFonts w:asciiTheme="minorHAnsi" w:hAnsiTheme="minorHAnsi"/>
          <w:sz w:val="18"/>
          <w:szCs w:val="18"/>
        </w:rPr>
        <w:t xml:space="preserve"> toezicht van DNB.</w:t>
      </w:r>
      <w:r w:rsidRPr="00104A4B">
        <w:rPr>
          <w:rFonts w:asciiTheme="minorHAnsi" w:hAnsiTheme="minorHAnsi"/>
          <w:sz w:val="18"/>
          <w:szCs w:val="18"/>
        </w:rPr>
        <w:t xml:space="preserve">  </w:t>
      </w:r>
      <w:r w:rsidR="007E7962">
        <w:rPr>
          <w:rFonts w:asciiTheme="minorHAnsi" w:hAnsiTheme="minorHAnsi"/>
          <w:sz w:val="18"/>
          <w:szCs w:val="18"/>
        </w:rPr>
        <w:t xml:space="preserve"> De overige banken zijn bijkantoren van banken op Curaçao en Sint Maarten. D</w:t>
      </w:r>
      <w:r w:rsidRPr="00104A4B" w:rsidR="00AC7519">
        <w:rPr>
          <w:rFonts w:asciiTheme="minorHAnsi" w:hAnsiTheme="minorHAnsi"/>
          <w:sz w:val="18"/>
          <w:szCs w:val="18"/>
        </w:rPr>
        <w:t>e handhavingsmogelijkheden</w:t>
      </w:r>
      <w:r w:rsidR="007E7962">
        <w:rPr>
          <w:rFonts w:asciiTheme="minorHAnsi" w:hAnsiTheme="minorHAnsi"/>
          <w:sz w:val="18"/>
          <w:szCs w:val="18"/>
        </w:rPr>
        <w:t xml:space="preserve"> door DNB</w:t>
      </w:r>
      <w:r w:rsidRPr="00104A4B" w:rsidR="00AC7519">
        <w:rPr>
          <w:rFonts w:asciiTheme="minorHAnsi" w:hAnsiTheme="minorHAnsi"/>
          <w:sz w:val="18"/>
          <w:szCs w:val="18"/>
        </w:rPr>
        <w:t xml:space="preserve"> bij bijkantoren zijn naar </w:t>
      </w:r>
      <w:r w:rsidRPr="00104A4B" w:rsidR="008F2810">
        <w:rPr>
          <w:rFonts w:asciiTheme="minorHAnsi" w:hAnsiTheme="minorHAnsi"/>
          <w:sz w:val="18"/>
          <w:szCs w:val="18"/>
        </w:rPr>
        <w:t>hun</w:t>
      </w:r>
      <w:r w:rsidRPr="00104A4B" w:rsidR="00AC7519">
        <w:rPr>
          <w:rFonts w:asciiTheme="minorHAnsi" w:hAnsiTheme="minorHAnsi"/>
          <w:sz w:val="18"/>
          <w:szCs w:val="18"/>
        </w:rPr>
        <w:t xml:space="preserve"> aard</w:t>
      </w:r>
      <w:r w:rsidR="00683152">
        <w:rPr>
          <w:rFonts w:asciiTheme="minorHAnsi" w:hAnsiTheme="minorHAnsi"/>
          <w:sz w:val="18"/>
          <w:szCs w:val="18"/>
        </w:rPr>
        <w:t xml:space="preserve"> </w:t>
      </w:r>
      <w:r w:rsidRPr="00104A4B" w:rsidR="00AC7519">
        <w:rPr>
          <w:rFonts w:asciiTheme="minorHAnsi" w:hAnsiTheme="minorHAnsi"/>
          <w:sz w:val="18"/>
          <w:szCs w:val="18"/>
        </w:rPr>
        <w:t>beperkt.</w:t>
      </w:r>
      <w:r w:rsidR="00777A39">
        <w:rPr>
          <w:rFonts w:asciiTheme="minorHAnsi" w:hAnsiTheme="minorHAnsi"/>
          <w:sz w:val="18"/>
          <w:szCs w:val="18"/>
        </w:rPr>
        <w:t xml:space="preserve"> </w:t>
      </w:r>
      <w:r w:rsidR="007E7962">
        <w:rPr>
          <w:rFonts w:asciiTheme="minorHAnsi" w:hAnsiTheme="minorHAnsi"/>
          <w:sz w:val="18"/>
          <w:szCs w:val="18"/>
        </w:rPr>
        <w:t xml:space="preserve">Wel vallen deze banken onder het </w:t>
      </w:r>
      <w:proofErr w:type="spellStart"/>
      <w:r w:rsidR="007E7962">
        <w:rPr>
          <w:rFonts w:asciiTheme="minorHAnsi" w:hAnsiTheme="minorHAnsi"/>
          <w:sz w:val="18"/>
          <w:szCs w:val="18"/>
        </w:rPr>
        <w:t>prudentieel</w:t>
      </w:r>
      <w:proofErr w:type="spellEnd"/>
      <w:r w:rsidR="007E7962">
        <w:rPr>
          <w:rFonts w:asciiTheme="minorHAnsi" w:hAnsiTheme="minorHAnsi"/>
          <w:sz w:val="18"/>
          <w:szCs w:val="18"/>
        </w:rPr>
        <w:t xml:space="preserve"> toezicht van de Centrale Bank van Curaçao en Sint Maarten (CBCS). DNB heeft een goede werkrelatie met de CBCS en detacheert regelmatig personeel aldaar. </w:t>
      </w:r>
    </w:p>
    <w:p w:rsidR="00D05D40" w:rsidP="002F558A" w:rsidRDefault="00D05D40" w14:paraId="0D426A83" w14:textId="77777777">
      <w:pPr>
        <w:pStyle w:val="Default"/>
        <w:spacing w:line="276" w:lineRule="auto"/>
        <w:jc w:val="both"/>
        <w:rPr>
          <w:rFonts w:asciiTheme="minorHAnsi" w:hAnsiTheme="minorHAnsi"/>
          <w:sz w:val="18"/>
          <w:szCs w:val="18"/>
        </w:rPr>
      </w:pPr>
    </w:p>
    <w:p w:rsidRPr="00104A4B" w:rsidR="007E7962" w:rsidP="002F558A" w:rsidRDefault="007E7962" w14:paraId="07AAEF27" w14:textId="7F8BECF5">
      <w:pPr>
        <w:pStyle w:val="Default"/>
        <w:spacing w:line="276" w:lineRule="auto"/>
        <w:jc w:val="both"/>
        <w:rPr>
          <w:rFonts w:asciiTheme="minorHAnsi" w:hAnsiTheme="minorHAnsi"/>
          <w:sz w:val="18"/>
          <w:szCs w:val="18"/>
        </w:rPr>
      </w:pPr>
      <w:r>
        <w:rPr>
          <w:rFonts w:asciiTheme="minorHAnsi" w:hAnsiTheme="minorHAnsi"/>
          <w:sz w:val="18"/>
          <w:szCs w:val="18"/>
        </w:rPr>
        <w:t xml:space="preserve">Verder heeft </w:t>
      </w:r>
      <w:r w:rsidR="00BA273E">
        <w:rPr>
          <w:rFonts w:asciiTheme="minorHAnsi" w:hAnsiTheme="minorHAnsi"/>
          <w:sz w:val="18"/>
          <w:szCs w:val="18"/>
        </w:rPr>
        <w:t>de minister van Financiën</w:t>
      </w:r>
      <w:r>
        <w:rPr>
          <w:rFonts w:asciiTheme="minorHAnsi" w:hAnsiTheme="minorHAnsi"/>
          <w:sz w:val="18"/>
          <w:szCs w:val="18"/>
        </w:rPr>
        <w:t xml:space="preserve"> de mogelijkheid om voor te schrijven waar de banken hun (tijdelijke) surplus deposito’s dienen te stallen. </w:t>
      </w:r>
      <w:r w:rsidR="00BA273E">
        <w:rPr>
          <w:rFonts w:asciiTheme="minorHAnsi" w:hAnsiTheme="minorHAnsi"/>
          <w:sz w:val="18"/>
          <w:szCs w:val="18"/>
        </w:rPr>
        <w:t>De minister van Financiën</w:t>
      </w:r>
      <w:r>
        <w:rPr>
          <w:rFonts w:asciiTheme="minorHAnsi" w:hAnsiTheme="minorHAnsi"/>
          <w:sz w:val="18"/>
          <w:szCs w:val="18"/>
        </w:rPr>
        <w:t xml:space="preserve"> maakt gebruik van deze mogelijkheid en schrijft voor dat dit gebeurt in US </w:t>
      </w:r>
      <w:proofErr w:type="spellStart"/>
      <w:r>
        <w:rPr>
          <w:rFonts w:asciiTheme="minorHAnsi" w:hAnsiTheme="minorHAnsi"/>
          <w:sz w:val="18"/>
          <w:szCs w:val="18"/>
        </w:rPr>
        <w:t>Treasury</w:t>
      </w:r>
      <w:proofErr w:type="spellEnd"/>
      <w:r>
        <w:rPr>
          <w:rFonts w:asciiTheme="minorHAnsi" w:hAnsiTheme="minorHAnsi"/>
          <w:sz w:val="18"/>
          <w:szCs w:val="18"/>
        </w:rPr>
        <w:t xml:space="preserve"> </w:t>
      </w:r>
      <w:proofErr w:type="spellStart"/>
      <w:r>
        <w:rPr>
          <w:rFonts w:asciiTheme="minorHAnsi" w:hAnsiTheme="minorHAnsi"/>
          <w:sz w:val="18"/>
          <w:szCs w:val="18"/>
        </w:rPr>
        <w:t>Bonds</w:t>
      </w:r>
      <w:proofErr w:type="spellEnd"/>
      <w:r>
        <w:rPr>
          <w:rFonts w:asciiTheme="minorHAnsi" w:hAnsiTheme="minorHAnsi"/>
          <w:sz w:val="18"/>
          <w:szCs w:val="18"/>
        </w:rPr>
        <w:t xml:space="preserve"> met een korte looptijd, gezien de verhandelbaarheid en stabiliteit van deze instrumenten. </w:t>
      </w:r>
    </w:p>
    <w:p w:rsidR="00247E3B" w:rsidP="00247E3B" w:rsidRDefault="00247E3B" w14:paraId="100869BB" w14:textId="77777777">
      <w:pPr>
        <w:spacing w:after="0"/>
        <w:jc w:val="both"/>
        <w:rPr>
          <w:rFonts w:asciiTheme="minorHAnsi" w:hAnsiTheme="minorHAnsi"/>
          <w:szCs w:val="18"/>
        </w:rPr>
      </w:pPr>
    </w:p>
    <w:p w:rsidRPr="0055688B" w:rsidR="00247E3B" w:rsidP="00247E3B" w:rsidRDefault="00247E3B" w14:paraId="642C26BA" w14:textId="156D0150">
      <w:pPr>
        <w:spacing w:after="0"/>
        <w:jc w:val="both"/>
        <w:rPr>
          <w:rFonts w:asciiTheme="minorHAnsi" w:hAnsiTheme="minorHAnsi"/>
          <w:szCs w:val="18"/>
        </w:rPr>
      </w:pPr>
      <w:r w:rsidRPr="0055688B">
        <w:rPr>
          <w:rFonts w:asciiTheme="minorHAnsi" w:hAnsiTheme="minorHAnsi"/>
          <w:szCs w:val="18"/>
        </w:rPr>
        <w:t>De minister is verantwoordelijk voor het stelsel van toezicht op de financiële markten in Nederland, waaronder ook in Caribisch Nederland. DNB is als toezichthouder verantwoordelijk voor de daadwerkelijke uitvoering van het toezicht en daarmee rechtstreeks verantwoordelijk voor het toezicht op de financiële soliditeit van banken in de BES. De minister heeft aldus beperkt</w:t>
      </w:r>
      <w:r w:rsidR="00AA43C5">
        <w:rPr>
          <w:rFonts w:asciiTheme="minorHAnsi" w:hAnsiTheme="minorHAnsi"/>
          <w:szCs w:val="18"/>
        </w:rPr>
        <w:t>e</w:t>
      </w:r>
      <w:r w:rsidRPr="0055688B">
        <w:rPr>
          <w:rFonts w:asciiTheme="minorHAnsi" w:hAnsiTheme="minorHAnsi"/>
          <w:szCs w:val="18"/>
        </w:rPr>
        <w:t xml:space="preserve"> mogelijkheden om in concrete gevallen een beroep op deze regeling (lees: het falen van een bank) te voorkomen of het risico daarop te beheersen. Wel is in dit verband hetgeen hierboven (onder 6) is genoemd van belang. De minister heeft wel de mogelijkheden te komen tot verbetering </w:t>
      </w:r>
      <w:r>
        <w:rPr>
          <w:rFonts w:asciiTheme="minorHAnsi" w:hAnsiTheme="minorHAnsi"/>
          <w:szCs w:val="18"/>
        </w:rPr>
        <w:t xml:space="preserve">van het </w:t>
      </w:r>
      <w:r>
        <w:rPr>
          <w:rFonts w:asciiTheme="minorHAnsi" w:hAnsiTheme="minorHAnsi"/>
          <w:szCs w:val="18"/>
        </w:rPr>
        <w:lastRenderedPageBreak/>
        <w:t xml:space="preserve">toezicht op de </w:t>
      </w:r>
      <w:r w:rsidRPr="0055688B">
        <w:rPr>
          <w:rFonts w:asciiTheme="minorHAnsi" w:hAnsiTheme="minorHAnsi"/>
          <w:szCs w:val="18"/>
        </w:rPr>
        <w:t>in de BES actieve banken, hetgeen onmiddellijk bijdraagt aan een beperking van de risico’s die met deze regeling gemoeid zijn.</w:t>
      </w:r>
      <w:r>
        <w:rPr>
          <w:rFonts w:asciiTheme="minorHAnsi" w:hAnsiTheme="minorHAnsi"/>
          <w:szCs w:val="18"/>
        </w:rPr>
        <w:t xml:space="preserve"> Daarnaast ontstaat er door het bijdragen van de sector aan het fonds, en de bijzondere bijdrage indien er krediet opgenomen door het fonds bij BCN, </w:t>
      </w:r>
      <w:r w:rsidRPr="00025F11">
        <w:rPr>
          <w:rFonts w:asciiTheme="minorHAnsi" w:hAnsiTheme="minorHAnsi"/>
          <w:szCs w:val="18"/>
        </w:rPr>
        <w:t xml:space="preserve">een prikkel </w:t>
      </w:r>
      <w:r>
        <w:rPr>
          <w:rFonts w:asciiTheme="minorHAnsi" w:hAnsiTheme="minorHAnsi"/>
          <w:szCs w:val="18"/>
        </w:rPr>
        <w:t xml:space="preserve">voor de sector </w:t>
      </w:r>
      <w:r w:rsidRPr="00025F11">
        <w:rPr>
          <w:rFonts w:asciiTheme="minorHAnsi" w:hAnsiTheme="minorHAnsi"/>
          <w:szCs w:val="18"/>
        </w:rPr>
        <w:t>om geen overmatige risico’s te nemen met deposito’s</w:t>
      </w:r>
      <w:r>
        <w:rPr>
          <w:rFonts w:asciiTheme="minorHAnsi" w:hAnsiTheme="minorHAnsi"/>
          <w:szCs w:val="18"/>
        </w:rPr>
        <w:t xml:space="preserve">. </w:t>
      </w:r>
    </w:p>
    <w:p w:rsidRPr="0055688B" w:rsidR="00AC7519" w:rsidP="00B03786" w:rsidRDefault="00AC7519" w14:paraId="5B280F98" w14:textId="77777777">
      <w:pPr>
        <w:pStyle w:val="Default"/>
        <w:spacing w:line="276" w:lineRule="auto"/>
        <w:jc w:val="both"/>
        <w:rPr>
          <w:rFonts w:asciiTheme="minorHAnsi" w:hAnsiTheme="minorHAnsi"/>
          <w:sz w:val="18"/>
          <w:szCs w:val="18"/>
          <w:highlight w:val="yellow"/>
        </w:rPr>
      </w:pPr>
    </w:p>
    <w:p w:rsidR="00247E3B" w:rsidP="002F558A" w:rsidRDefault="0021378F" w14:paraId="076C0A19" w14:textId="77777777">
      <w:pPr>
        <w:spacing w:after="0"/>
        <w:rPr>
          <w:rFonts w:cs="Verdana" w:asciiTheme="minorHAnsi" w:hAnsiTheme="minorHAnsi"/>
          <w:i/>
          <w:color w:val="000000"/>
          <w:szCs w:val="18"/>
        </w:rPr>
      </w:pPr>
      <w:r w:rsidRPr="0055688B">
        <w:rPr>
          <w:rFonts w:cs="Verdana" w:asciiTheme="minorHAnsi" w:hAnsiTheme="minorHAnsi"/>
          <w:i/>
          <w:color w:val="000000"/>
          <w:szCs w:val="18"/>
        </w:rPr>
        <w:t xml:space="preserve">7. </w:t>
      </w:r>
      <w:r w:rsidRPr="00247E3B" w:rsidR="00247E3B">
        <w:rPr>
          <w:rFonts w:cs="Verdana" w:asciiTheme="minorHAnsi" w:hAnsiTheme="minorHAnsi"/>
          <w:i/>
          <w:color w:val="000000"/>
          <w:szCs w:val="18"/>
        </w:rPr>
        <w:t>Bij complexe risico's</w:t>
      </w:r>
      <w:r w:rsidR="00247E3B">
        <w:rPr>
          <w:rFonts w:cs="Verdana" w:asciiTheme="minorHAnsi" w:hAnsiTheme="minorHAnsi"/>
          <w:i/>
          <w:color w:val="000000"/>
          <w:szCs w:val="18"/>
        </w:rPr>
        <w:t>:</w:t>
      </w:r>
      <w:r w:rsidRPr="00247E3B" w:rsidR="00247E3B">
        <w:rPr>
          <w:rFonts w:cs="Verdana" w:asciiTheme="minorHAnsi" w:hAnsiTheme="minorHAnsi"/>
          <w:i/>
          <w:color w:val="000000"/>
          <w:szCs w:val="18"/>
        </w:rPr>
        <w:t xml:space="preserve"> hoe beoordeelt een onafhankelijke expert het risico van het voorstel en de </w:t>
      </w:r>
      <w:proofErr w:type="spellStart"/>
      <w:r w:rsidRPr="00247E3B" w:rsidR="00247E3B">
        <w:rPr>
          <w:rFonts w:cs="Verdana" w:asciiTheme="minorHAnsi" w:hAnsiTheme="minorHAnsi"/>
          <w:i/>
          <w:color w:val="000000"/>
          <w:szCs w:val="18"/>
        </w:rPr>
        <w:t>risicobeheersende</w:t>
      </w:r>
      <w:proofErr w:type="spellEnd"/>
      <w:r w:rsidRPr="00247E3B" w:rsidR="00247E3B">
        <w:rPr>
          <w:rFonts w:cs="Verdana" w:asciiTheme="minorHAnsi" w:hAnsiTheme="minorHAnsi"/>
          <w:i/>
          <w:color w:val="000000"/>
          <w:szCs w:val="18"/>
        </w:rPr>
        <w:t xml:space="preserve"> en </w:t>
      </w:r>
      <w:proofErr w:type="spellStart"/>
      <w:r w:rsidRPr="00247E3B" w:rsidR="00247E3B">
        <w:rPr>
          <w:rFonts w:cs="Verdana" w:asciiTheme="minorHAnsi" w:hAnsiTheme="minorHAnsi"/>
          <w:i/>
          <w:color w:val="000000"/>
          <w:szCs w:val="18"/>
        </w:rPr>
        <w:t>risicomitigerende</w:t>
      </w:r>
      <w:proofErr w:type="spellEnd"/>
      <w:r w:rsidRPr="00247E3B" w:rsidR="00247E3B">
        <w:rPr>
          <w:rFonts w:cs="Verdana" w:asciiTheme="minorHAnsi" w:hAnsiTheme="minorHAnsi"/>
          <w:i/>
          <w:color w:val="000000"/>
          <w:szCs w:val="18"/>
        </w:rPr>
        <w:t xml:space="preserve"> maatregelen van Rijk?</w:t>
      </w:r>
    </w:p>
    <w:p w:rsidRPr="00AA43C5" w:rsidR="00C16890" w:rsidP="002F558A" w:rsidRDefault="00247E3B" w14:paraId="035967F1" w14:textId="2226F7A1">
      <w:pPr>
        <w:spacing w:after="0"/>
        <w:jc w:val="both"/>
        <w:rPr>
          <w:rFonts w:cs="Verdana" w:asciiTheme="minorHAnsi" w:hAnsiTheme="minorHAnsi"/>
          <w:iCs/>
          <w:color w:val="000000"/>
          <w:szCs w:val="18"/>
        </w:rPr>
      </w:pPr>
      <w:r w:rsidRPr="00AA43C5">
        <w:rPr>
          <w:rFonts w:cs="Verdana" w:asciiTheme="minorHAnsi" w:hAnsiTheme="minorHAnsi"/>
          <w:iCs/>
          <w:color w:val="000000"/>
          <w:szCs w:val="18"/>
        </w:rPr>
        <w:t>N.v.t.</w:t>
      </w:r>
    </w:p>
    <w:p w:rsidRPr="0055688B" w:rsidR="0066044F" w:rsidP="002F558A" w:rsidRDefault="0066044F" w14:paraId="051FA94C" w14:textId="77777777">
      <w:pPr>
        <w:spacing w:after="0"/>
        <w:jc w:val="both"/>
        <w:rPr>
          <w:rFonts w:asciiTheme="minorHAnsi" w:hAnsiTheme="minorHAnsi"/>
          <w:szCs w:val="18"/>
        </w:rPr>
      </w:pPr>
    </w:p>
    <w:p w:rsidRPr="0055688B" w:rsidR="00C53BD5" w:rsidP="002F558A" w:rsidRDefault="00C53BD5" w14:paraId="17F52E78" w14:textId="77777777">
      <w:pPr>
        <w:spacing w:after="0"/>
        <w:jc w:val="both"/>
        <w:rPr>
          <w:rFonts w:cs="Verdana" w:asciiTheme="minorHAnsi" w:hAnsiTheme="minorHAnsi"/>
          <w:b/>
          <w:color w:val="000000"/>
          <w:szCs w:val="18"/>
        </w:rPr>
      </w:pPr>
      <w:r w:rsidRPr="0055688B">
        <w:rPr>
          <w:rFonts w:cs="Verdana" w:asciiTheme="minorHAnsi" w:hAnsiTheme="minorHAnsi"/>
          <w:b/>
          <w:color w:val="000000"/>
          <w:szCs w:val="18"/>
        </w:rPr>
        <w:t>Vormgeving</w:t>
      </w:r>
    </w:p>
    <w:p w:rsidRPr="0055688B" w:rsidR="00C53BD5" w:rsidP="002F558A" w:rsidRDefault="009F47EB" w14:paraId="0E55B638" w14:textId="2E413E42">
      <w:pPr>
        <w:spacing w:after="0"/>
        <w:jc w:val="both"/>
        <w:rPr>
          <w:rFonts w:cs="Verdana" w:asciiTheme="minorHAnsi" w:hAnsiTheme="minorHAnsi"/>
          <w:i/>
          <w:color w:val="000000"/>
          <w:szCs w:val="18"/>
        </w:rPr>
      </w:pPr>
      <w:r w:rsidRPr="0055688B">
        <w:rPr>
          <w:rFonts w:cs="Verdana" w:asciiTheme="minorHAnsi" w:hAnsiTheme="minorHAnsi"/>
          <w:i/>
          <w:color w:val="000000"/>
          <w:szCs w:val="18"/>
        </w:rPr>
        <w:t xml:space="preserve">8. </w:t>
      </w:r>
      <w:r w:rsidRPr="00247E3B" w:rsidR="00247E3B">
        <w:rPr>
          <w:rFonts w:cs="Verdana" w:asciiTheme="minorHAnsi" w:hAnsiTheme="minorHAnsi"/>
          <w:i/>
          <w:color w:val="000000"/>
          <w:szCs w:val="18"/>
        </w:rPr>
        <w:t>Welke premie wordt voorgesteld en hoeveel wordt doorberekend aan de eindgebruiker</w:t>
      </w:r>
      <w:r w:rsidR="00247E3B">
        <w:rPr>
          <w:rFonts w:cs="Verdana" w:asciiTheme="minorHAnsi" w:hAnsiTheme="minorHAnsi"/>
          <w:i/>
          <w:color w:val="000000"/>
          <w:szCs w:val="18"/>
        </w:rPr>
        <w:t>?</w:t>
      </w:r>
      <w:r w:rsidRPr="00247E3B" w:rsidR="00247E3B">
        <w:rPr>
          <w:rFonts w:cs="Verdana" w:asciiTheme="minorHAnsi" w:hAnsiTheme="minorHAnsi"/>
          <w:i/>
          <w:color w:val="000000"/>
          <w:szCs w:val="18"/>
        </w:rPr>
        <w:t xml:space="preserve"> Is deze premie kostendekkend en marktconform</w:t>
      </w:r>
      <w:r w:rsidR="00247E3B">
        <w:rPr>
          <w:rFonts w:cs="Verdana" w:asciiTheme="minorHAnsi" w:hAnsiTheme="minorHAnsi"/>
          <w:i/>
          <w:color w:val="000000"/>
          <w:szCs w:val="18"/>
        </w:rPr>
        <w:t>?</w:t>
      </w:r>
      <w:r w:rsidRPr="00247E3B" w:rsidR="00247E3B">
        <w:rPr>
          <w:rFonts w:cs="Verdana" w:asciiTheme="minorHAnsi" w:hAnsiTheme="minorHAnsi"/>
          <w:i/>
          <w:color w:val="000000"/>
          <w:szCs w:val="18"/>
        </w:rPr>
        <w:t xml:space="preserve"> Zo nee, hoeveel budgettaire ruimte wordt door het vakdepartement specifiek ingezet?</w:t>
      </w:r>
    </w:p>
    <w:p w:rsidR="00247E3B" w:rsidP="00247E3B" w:rsidRDefault="00247E3B" w14:paraId="41DC674D" w14:textId="6ABDEEB3">
      <w:pPr>
        <w:spacing w:after="0"/>
        <w:jc w:val="both"/>
      </w:pPr>
      <w:bookmarkStart w:name="_Hlk224290823" w:id="2"/>
      <w:r w:rsidRPr="00623B2B">
        <w:t xml:space="preserve">Uitkeringen gaan in eerste instantie ten laste van het fonds. Het kan zijn dat deze ex </w:t>
      </w:r>
      <w:r w:rsidR="0066044F">
        <w:t>ante</w:t>
      </w:r>
      <w:r w:rsidRPr="00623B2B">
        <w:t xml:space="preserve"> bijdragen niet volledig of niet snel genoeg beschikbaar zijn, zodat het DGS BES</w:t>
      </w:r>
      <w:r w:rsidR="0066044F">
        <w:t xml:space="preserve"> fonds</w:t>
      </w:r>
      <w:r w:rsidRPr="00623B2B">
        <w:t xml:space="preserve"> een liquiditeitstekort heeft. Pas als extra financiering nodig is, worden de </w:t>
      </w:r>
      <w:r w:rsidR="0066044F">
        <w:t>be</w:t>
      </w:r>
      <w:r w:rsidRPr="00623B2B">
        <w:t>nodigde financiële middelen in de vorm van een voorschot ten laste van ’s Rijksschatkist gebracht</w:t>
      </w:r>
      <w:r>
        <w:t xml:space="preserve"> door middel van de voorgestelde kredietfaciliteit.</w:t>
      </w:r>
      <w:r w:rsidR="009A1363">
        <w:t xml:space="preserve"> </w:t>
      </w:r>
      <w:r w:rsidR="00683C18">
        <w:t xml:space="preserve">Dat er een premie tegenover deze garantie staat is een belangrijk uitgangspunt. Bij een zeer vergelijkbare garantie, de </w:t>
      </w:r>
      <w:r w:rsidRPr="00683C18" w:rsidR="00683C18">
        <w:t>garantie ten behoeve van brugfinanciering voor het gemeenschappelijk afwikkelingsfonds</w:t>
      </w:r>
      <w:r w:rsidR="00683C18">
        <w:t xml:space="preserve">, is een premie van 0,1% van de garantie als uitgangspunt genomen. De premie voor deze garantie zou dan uitkomen op 30.000 Euro per jaar. </w:t>
      </w:r>
      <w:r w:rsidRPr="00683C18" w:rsidR="00683C18">
        <w:t xml:space="preserve">Deze premie is daarmee erg beperkt. </w:t>
      </w:r>
      <w:r w:rsidR="00683C18">
        <w:t>D</w:t>
      </w:r>
      <w:r w:rsidRPr="00683C18" w:rsidR="00683C18">
        <w:t xml:space="preserve">e administratieve kosten van het innen van deze lage premie </w:t>
      </w:r>
      <w:r w:rsidR="00683C18">
        <w:t xml:space="preserve">wegen </w:t>
      </w:r>
      <w:r w:rsidRPr="00683C18" w:rsidR="00683C18">
        <w:t>niet op tegen de baten.</w:t>
      </w:r>
      <w:r w:rsidR="00683C18">
        <w:t xml:space="preserve"> Daarom zal in dit uitzonderlijke geval worden afgezien van het vragen van een premie voor deze garantie. </w:t>
      </w:r>
    </w:p>
    <w:bookmarkEnd w:id="2"/>
    <w:p w:rsidR="00D05D40" w:rsidP="00247E3B" w:rsidRDefault="00D05D40" w14:paraId="260721DE" w14:textId="77777777">
      <w:pPr>
        <w:spacing w:after="0"/>
        <w:jc w:val="both"/>
      </w:pPr>
    </w:p>
    <w:p w:rsidR="009A1363" w:rsidP="00247E3B" w:rsidRDefault="000A733F" w14:paraId="00CA43E9" w14:textId="39B3014E">
      <w:pPr>
        <w:spacing w:after="0"/>
        <w:jc w:val="both"/>
        <w:rPr>
          <w:rFonts w:cs="Verdana" w:asciiTheme="minorHAnsi" w:hAnsiTheme="minorHAnsi"/>
          <w:color w:val="000000"/>
          <w:szCs w:val="18"/>
        </w:rPr>
      </w:pPr>
      <w:r>
        <w:t>Ook</w:t>
      </w:r>
      <w:r w:rsidR="009A1363">
        <w:t xml:space="preserve"> is voorzien van een rente die de Stichting, en dus indirect de sector, betaalt indien er gebruik gemaakt moet worden van de kredietlijn. Dit om enerzijds de Staat te compenseren voor de kosten van de uitgeleende middelen en anderzijds om de sector een aanvullende prikkel te geven geen overbodige risico’s te nemen. De rente wordt geheven over het daadwerkelijk uitgeleende bedrag en het rentepercentage bedraagt het op dat moment geldende </w:t>
      </w:r>
      <w:r w:rsidR="00995E73">
        <w:t>10</w:t>
      </w:r>
      <w:r>
        <w:t>-</w:t>
      </w:r>
      <w:r w:rsidR="00995E73">
        <w:t xml:space="preserve">jaars US </w:t>
      </w:r>
      <w:proofErr w:type="spellStart"/>
      <w:r w:rsidR="00995E73">
        <w:t>Treasury</w:t>
      </w:r>
      <w:proofErr w:type="spellEnd"/>
      <w:r w:rsidR="00995E73">
        <w:t xml:space="preserve"> rente plus een risico-opslag van </w:t>
      </w:r>
      <w:r w:rsidR="002921EF">
        <w:t xml:space="preserve">50 basispunten. </w:t>
      </w:r>
      <w:r w:rsidR="00AA43C5">
        <w:t xml:space="preserve">Met het kiezen voor het rentetarief verbonden aan de USD wordt de eventuele uitgave van banken gekoppeld aan het rentetarief waaruit hun omzet afkomstig is.  </w:t>
      </w:r>
      <w:r w:rsidR="00995E73">
        <w:t xml:space="preserve"> </w:t>
      </w:r>
    </w:p>
    <w:p w:rsidRPr="0055688B" w:rsidR="005E2E40" w:rsidP="002F558A" w:rsidRDefault="005E2E40" w14:paraId="696612CE" w14:textId="77777777">
      <w:pPr>
        <w:spacing w:after="0"/>
        <w:jc w:val="both"/>
        <w:rPr>
          <w:rFonts w:cs="Verdana" w:asciiTheme="minorHAnsi" w:hAnsiTheme="minorHAnsi"/>
          <w:i/>
          <w:color w:val="000000"/>
          <w:szCs w:val="18"/>
        </w:rPr>
      </w:pPr>
    </w:p>
    <w:p w:rsidR="00C53BD5" w:rsidP="002F558A" w:rsidRDefault="009F47EB" w14:paraId="0BEC47D0" w14:textId="7C904E61">
      <w:pPr>
        <w:spacing w:after="0"/>
        <w:jc w:val="both"/>
        <w:rPr>
          <w:rFonts w:cs="Verdana" w:asciiTheme="minorHAnsi" w:hAnsiTheme="minorHAnsi"/>
          <w:i/>
          <w:color w:val="000000"/>
          <w:szCs w:val="18"/>
        </w:rPr>
      </w:pPr>
      <w:r w:rsidRPr="0055688B">
        <w:rPr>
          <w:rFonts w:cs="Verdana" w:asciiTheme="minorHAnsi" w:hAnsiTheme="minorHAnsi"/>
          <w:i/>
          <w:color w:val="000000"/>
          <w:szCs w:val="18"/>
        </w:rPr>
        <w:t xml:space="preserve">9. </w:t>
      </w:r>
      <w:r w:rsidRPr="00247E3B" w:rsidR="00247E3B">
        <w:rPr>
          <w:rFonts w:cs="Verdana" w:asciiTheme="minorHAnsi" w:hAnsiTheme="minorHAnsi"/>
          <w:i/>
          <w:color w:val="000000"/>
          <w:szCs w:val="18"/>
        </w:rPr>
        <w:t>Hoe wordt de risicovoorziening vormgegeven?</w:t>
      </w:r>
    </w:p>
    <w:p w:rsidR="00623B2B" w:rsidP="002F558A" w:rsidRDefault="00247E3B" w14:paraId="562A8EF2" w14:textId="3C8A7E8F">
      <w:pPr>
        <w:spacing w:after="0"/>
        <w:jc w:val="both"/>
      </w:pPr>
      <w:r>
        <w:t>De nieuwe regeling voor het DGS BES betreft een regeling zonder begrote schade. Conform het beleidskader risicoregelingen wordt er voor deze regeling geen risicovoorziening opgezet.</w:t>
      </w:r>
    </w:p>
    <w:p w:rsidRPr="0055688B" w:rsidR="00435E5B" w:rsidP="002F558A" w:rsidRDefault="00435E5B" w14:paraId="30D722C4" w14:textId="77777777">
      <w:pPr>
        <w:spacing w:after="0"/>
        <w:jc w:val="both"/>
        <w:rPr>
          <w:rFonts w:cs="Verdana" w:asciiTheme="minorHAnsi" w:hAnsiTheme="minorHAnsi"/>
          <w:i/>
          <w:color w:val="000000"/>
          <w:szCs w:val="18"/>
        </w:rPr>
      </w:pPr>
    </w:p>
    <w:p w:rsidRPr="0055688B" w:rsidR="00C53BD5" w:rsidP="002F558A" w:rsidRDefault="009F47EB" w14:paraId="2140F1EE" w14:textId="42C94EEC">
      <w:pPr>
        <w:spacing w:after="0"/>
        <w:jc w:val="both"/>
        <w:rPr>
          <w:rFonts w:cs="Verdana" w:asciiTheme="minorHAnsi" w:hAnsiTheme="minorHAnsi"/>
          <w:i/>
          <w:color w:val="000000"/>
          <w:szCs w:val="18"/>
        </w:rPr>
      </w:pPr>
      <w:r w:rsidRPr="0055688B">
        <w:rPr>
          <w:rFonts w:cs="Verdana" w:asciiTheme="minorHAnsi" w:hAnsiTheme="minorHAnsi"/>
          <w:i/>
          <w:color w:val="000000"/>
          <w:szCs w:val="18"/>
        </w:rPr>
        <w:t xml:space="preserve">10. </w:t>
      </w:r>
      <w:r w:rsidRPr="00247E3B" w:rsidR="00247E3B">
        <w:rPr>
          <w:rFonts w:cs="Verdana" w:asciiTheme="minorHAnsi" w:hAnsiTheme="minorHAnsi"/>
          <w:i/>
          <w:color w:val="000000"/>
          <w:szCs w:val="18"/>
        </w:rPr>
        <w:t>Welke horizonbepaling wordt gehanteerd (standaardtermijn is maximaal 5 jaar)?</w:t>
      </w:r>
    </w:p>
    <w:p w:rsidR="008A3F61" w:rsidP="002F558A" w:rsidRDefault="00EC291F" w14:paraId="6D72D538" w14:textId="78C04347">
      <w:pPr>
        <w:spacing w:after="0"/>
        <w:jc w:val="both"/>
        <w:rPr>
          <w:rFonts w:asciiTheme="minorHAnsi" w:hAnsiTheme="minorHAnsi"/>
          <w:szCs w:val="18"/>
        </w:rPr>
      </w:pPr>
      <w:r>
        <w:rPr>
          <w:rFonts w:asciiTheme="minorHAnsi" w:hAnsiTheme="minorHAnsi"/>
          <w:szCs w:val="18"/>
        </w:rPr>
        <w:t xml:space="preserve">Gezien de sterkte economische ontwikkelingen van de BES-eilanden en het mogelijk veranderende banklandschap met de komst van een Europese bank naar de Bovenwinden, is het goed om de garantieregeling over 5 jaar te evalueren en te bezien of de hoogte nog steeds afdoende dekkend is. </w:t>
      </w:r>
    </w:p>
    <w:p w:rsidRPr="0055688B" w:rsidR="00EC291F" w:rsidP="002F558A" w:rsidRDefault="00EC291F" w14:paraId="6B215E24" w14:textId="77777777">
      <w:pPr>
        <w:spacing w:after="0"/>
        <w:jc w:val="both"/>
        <w:rPr>
          <w:rFonts w:asciiTheme="minorHAnsi" w:hAnsiTheme="minorHAnsi"/>
          <w:szCs w:val="18"/>
        </w:rPr>
      </w:pPr>
    </w:p>
    <w:p w:rsidR="00986D61" w:rsidP="00247E3B" w:rsidRDefault="009724C2" w14:paraId="0ABEB4F9" w14:textId="4229444A">
      <w:pPr>
        <w:spacing w:after="0"/>
        <w:jc w:val="both"/>
        <w:rPr>
          <w:rFonts w:cs="Verdana" w:asciiTheme="minorHAnsi" w:hAnsiTheme="minorHAnsi"/>
          <w:color w:val="000000"/>
          <w:szCs w:val="18"/>
        </w:rPr>
      </w:pPr>
      <w:r w:rsidRPr="0055688B">
        <w:rPr>
          <w:rFonts w:cs="Verdana" w:asciiTheme="minorHAnsi" w:hAnsiTheme="minorHAnsi"/>
          <w:i/>
          <w:color w:val="000000"/>
          <w:szCs w:val="18"/>
        </w:rPr>
        <w:t xml:space="preserve">11. </w:t>
      </w:r>
      <w:r w:rsidRPr="00247E3B" w:rsidR="00247E3B">
        <w:rPr>
          <w:rFonts w:cs="Verdana" w:asciiTheme="minorHAnsi" w:hAnsiTheme="minorHAnsi"/>
          <w:i/>
          <w:color w:val="000000"/>
          <w:szCs w:val="18"/>
        </w:rPr>
        <w:t>Wie voert de risicoregeling uit en wat zijn de uitvoeringskosten van de regeling?</w:t>
      </w:r>
      <w:r w:rsidR="00247E3B">
        <w:rPr>
          <w:rFonts w:cs="Verdana" w:asciiTheme="minorHAnsi" w:hAnsiTheme="minorHAnsi"/>
          <w:i/>
          <w:color w:val="000000"/>
          <w:szCs w:val="18"/>
        </w:rPr>
        <w:t xml:space="preserve"> </w:t>
      </w:r>
    </w:p>
    <w:p w:rsidRPr="0055688B" w:rsidR="0066044F" w:rsidP="00247E3B" w:rsidRDefault="0066044F" w14:paraId="24A24F90" w14:textId="75BB7C0D">
      <w:pPr>
        <w:spacing w:after="0"/>
        <w:jc w:val="both"/>
        <w:rPr>
          <w:rFonts w:cs="Verdana" w:asciiTheme="minorHAnsi" w:hAnsiTheme="minorHAnsi"/>
          <w:color w:val="000000"/>
          <w:szCs w:val="18"/>
        </w:rPr>
      </w:pPr>
      <w:r>
        <w:rPr>
          <w:rFonts w:cs="Verdana" w:asciiTheme="minorHAnsi" w:hAnsiTheme="minorHAnsi"/>
          <w:color w:val="000000"/>
          <w:szCs w:val="18"/>
        </w:rPr>
        <w:t>DNB en de Stichting voeren het DGS BES uit. De jaarlijkse kosten hiervoor staan op de FM-begroting.</w:t>
      </w:r>
    </w:p>
    <w:p w:rsidRPr="0055688B" w:rsidR="00986D61" w:rsidP="002F558A" w:rsidRDefault="00986D61" w14:paraId="70FC9B84" w14:textId="77777777">
      <w:pPr>
        <w:pStyle w:val="Lijstalinea"/>
        <w:spacing w:after="0"/>
        <w:ind w:left="502"/>
        <w:jc w:val="both"/>
        <w:rPr>
          <w:rFonts w:cs="Verdana" w:asciiTheme="minorHAnsi" w:hAnsiTheme="minorHAnsi"/>
          <w:i/>
          <w:color w:val="000000"/>
          <w:szCs w:val="18"/>
        </w:rPr>
      </w:pPr>
    </w:p>
    <w:p w:rsidRPr="0055688B" w:rsidR="000E6041" w:rsidP="002F558A" w:rsidRDefault="009724C2" w14:paraId="25E71955" w14:textId="26852B03">
      <w:pPr>
        <w:spacing w:after="0"/>
        <w:jc w:val="both"/>
        <w:rPr>
          <w:rFonts w:cs="Verdana" w:asciiTheme="minorHAnsi" w:hAnsiTheme="minorHAnsi"/>
          <w:i/>
          <w:color w:val="000000"/>
          <w:szCs w:val="18"/>
        </w:rPr>
      </w:pPr>
      <w:r w:rsidRPr="0055688B">
        <w:rPr>
          <w:rFonts w:cs="Verdana" w:asciiTheme="minorHAnsi" w:hAnsiTheme="minorHAnsi"/>
          <w:i/>
          <w:color w:val="000000"/>
          <w:szCs w:val="18"/>
        </w:rPr>
        <w:t xml:space="preserve">12. </w:t>
      </w:r>
      <w:r w:rsidRPr="00247E3B" w:rsidR="00247E3B">
        <w:rPr>
          <w:rFonts w:cs="Verdana" w:asciiTheme="minorHAnsi" w:hAnsiTheme="minorHAnsi"/>
          <w:i/>
          <w:color w:val="000000"/>
          <w:szCs w:val="18"/>
        </w:rPr>
        <w:t>Hoe wordt de regeling geëvalueerd, welke informatie is daarvoor relevant evaluatie en hoe wordt een deugdelijke evaluatie geborgd?</w:t>
      </w:r>
    </w:p>
    <w:p w:rsidRPr="0055688B" w:rsidR="00986D61" w:rsidP="003D7D74" w:rsidRDefault="00986D61" w14:paraId="73650542" w14:textId="54D76F8B">
      <w:pPr>
        <w:spacing w:after="0"/>
        <w:rPr>
          <w:rFonts w:cs="Verdana" w:asciiTheme="minorHAnsi" w:hAnsiTheme="minorHAnsi"/>
          <w:color w:val="000000"/>
          <w:szCs w:val="18"/>
        </w:rPr>
      </w:pPr>
      <w:r w:rsidRPr="0055688B">
        <w:rPr>
          <w:rFonts w:cs="Verdana" w:asciiTheme="minorHAnsi" w:hAnsiTheme="minorHAnsi"/>
          <w:color w:val="000000"/>
          <w:szCs w:val="18"/>
        </w:rPr>
        <w:t xml:space="preserve">De informatie die nodig is om de evaluatie van de regeling te kunnen uitvoeren zal worden verkregen uit informatie van DNB en van de bij het DGS BES aangesloten partijen (o.a. jaarverslagen). </w:t>
      </w:r>
      <w:r w:rsidR="001845E5">
        <w:rPr>
          <w:rFonts w:cs="Verdana" w:asciiTheme="minorHAnsi" w:hAnsiTheme="minorHAnsi"/>
          <w:color w:val="000000"/>
          <w:szCs w:val="18"/>
        </w:rPr>
        <w:t xml:space="preserve">Iedere </w:t>
      </w:r>
      <w:r w:rsidR="00247E3B">
        <w:rPr>
          <w:rFonts w:cs="Verdana" w:asciiTheme="minorHAnsi" w:hAnsiTheme="minorHAnsi"/>
          <w:color w:val="000000"/>
          <w:szCs w:val="18"/>
        </w:rPr>
        <w:t>5 jaar vindt er een evaluatie plaats.</w:t>
      </w:r>
    </w:p>
    <w:p w:rsidRPr="0055688B" w:rsidR="00BE6859" w:rsidP="002F558A" w:rsidRDefault="00BE6859" w14:paraId="42135953" w14:textId="77777777">
      <w:pPr>
        <w:spacing w:after="0"/>
        <w:jc w:val="both"/>
        <w:rPr>
          <w:rFonts w:asciiTheme="minorHAnsi" w:hAnsiTheme="minorHAnsi"/>
          <w:szCs w:val="18"/>
        </w:rPr>
      </w:pPr>
    </w:p>
    <w:sectPr w:rsidRPr="0055688B" w:rsidR="00BE6859"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9343" w14:textId="77777777" w:rsidR="003A732B" w:rsidRDefault="003A732B" w:rsidP="00041FFA">
      <w:pPr>
        <w:spacing w:after="0" w:line="240" w:lineRule="auto"/>
      </w:pPr>
      <w:r>
        <w:separator/>
      </w:r>
    </w:p>
  </w:endnote>
  <w:endnote w:type="continuationSeparator" w:id="0">
    <w:p w14:paraId="69A351C3" w14:textId="77777777" w:rsidR="003A732B" w:rsidRDefault="003A732B" w:rsidP="0004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2C2B" w14:textId="77777777" w:rsidR="003A732B" w:rsidRDefault="003A732B" w:rsidP="00041FFA">
      <w:pPr>
        <w:spacing w:after="0" w:line="240" w:lineRule="auto"/>
      </w:pPr>
      <w:r>
        <w:separator/>
      </w:r>
    </w:p>
  </w:footnote>
  <w:footnote w:type="continuationSeparator" w:id="0">
    <w:p w14:paraId="363E72DB" w14:textId="77777777" w:rsidR="003A732B" w:rsidRDefault="003A732B" w:rsidP="00041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046CDBE2"/>
    <w:lvl w:ilvl="0" w:tplc="58C635DC">
      <w:start w:val="1"/>
      <w:numFmt w:val="bullet"/>
      <w:lvlText w:val="·"/>
      <w:lvlJc w:val="left"/>
      <w:pPr>
        <w:ind w:left="360" w:hanging="360"/>
      </w:pPr>
      <w:rPr>
        <w:rFonts w:ascii="Symbol" w:eastAsia="Symbol" w:hAnsi="Symbol"/>
        <w:w w:val="100"/>
        <w:sz w:val="20"/>
        <w:szCs w:val="20"/>
        <w:shd w:val="clear" w:color="auto" w:fill="auto"/>
      </w:rPr>
    </w:lvl>
    <w:lvl w:ilvl="1" w:tplc="C54C9036">
      <w:start w:val="1"/>
      <w:numFmt w:val="bullet"/>
      <w:lvlText w:val="o"/>
      <w:lvlJc w:val="left"/>
      <w:pPr>
        <w:ind w:left="1080" w:hanging="360"/>
      </w:pPr>
      <w:rPr>
        <w:rFonts w:ascii="Courier New" w:eastAsia="Courier New" w:hAnsi="Courier New"/>
        <w:w w:val="100"/>
        <w:sz w:val="20"/>
        <w:szCs w:val="20"/>
        <w:shd w:val="clear" w:color="auto" w:fill="auto"/>
      </w:rPr>
    </w:lvl>
    <w:lvl w:ilvl="2" w:tplc="DA30DC62">
      <w:start w:val="1"/>
      <w:numFmt w:val="bullet"/>
      <w:lvlText w:val="§"/>
      <w:lvlJc w:val="left"/>
      <w:pPr>
        <w:ind w:left="1800" w:hanging="360"/>
      </w:pPr>
      <w:rPr>
        <w:rFonts w:ascii="Wingdings" w:eastAsia="Wingdings" w:hAnsi="Wingdings"/>
        <w:w w:val="100"/>
        <w:sz w:val="20"/>
        <w:szCs w:val="20"/>
        <w:shd w:val="clear" w:color="auto" w:fill="auto"/>
      </w:rPr>
    </w:lvl>
    <w:lvl w:ilvl="3" w:tplc="33EE7D9E">
      <w:start w:val="1"/>
      <w:numFmt w:val="bullet"/>
      <w:lvlText w:val="·"/>
      <w:lvlJc w:val="left"/>
      <w:pPr>
        <w:ind w:left="2520" w:hanging="360"/>
      </w:pPr>
      <w:rPr>
        <w:rFonts w:ascii="Symbol" w:eastAsia="Symbol" w:hAnsi="Symbol"/>
        <w:w w:val="100"/>
        <w:sz w:val="20"/>
        <w:szCs w:val="20"/>
        <w:shd w:val="clear" w:color="auto" w:fill="auto"/>
      </w:rPr>
    </w:lvl>
    <w:lvl w:ilvl="4" w:tplc="A6DAA9B2">
      <w:start w:val="1"/>
      <w:numFmt w:val="bullet"/>
      <w:lvlText w:val="o"/>
      <w:lvlJc w:val="left"/>
      <w:pPr>
        <w:ind w:left="3240" w:hanging="360"/>
      </w:pPr>
      <w:rPr>
        <w:rFonts w:ascii="Courier New" w:eastAsia="Courier New" w:hAnsi="Courier New"/>
        <w:w w:val="100"/>
        <w:sz w:val="20"/>
        <w:szCs w:val="20"/>
        <w:shd w:val="clear" w:color="auto" w:fill="auto"/>
      </w:rPr>
    </w:lvl>
    <w:lvl w:ilvl="5" w:tplc="88DCF45E">
      <w:start w:val="1"/>
      <w:numFmt w:val="bullet"/>
      <w:lvlText w:val="§"/>
      <w:lvlJc w:val="left"/>
      <w:pPr>
        <w:ind w:left="3960" w:hanging="360"/>
      </w:pPr>
      <w:rPr>
        <w:rFonts w:ascii="Wingdings" w:eastAsia="Wingdings" w:hAnsi="Wingdings"/>
        <w:w w:val="100"/>
        <w:sz w:val="20"/>
        <w:szCs w:val="20"/>
        <w:shd w:val="clear" w:color="auto" w:fill="auto"/>
      </w:rPr>
    </w:lvl>
    <w:lvl w:ilvl="6" w:tplc="598A8F86">
      <w:start w:val="1"/>
      <w:numFmt w:val="bullet"/>
      <w:lvlText w:val="·"/>
      <w:lvlJc w:val="left"/>
      <w:pPr>
        <w:ind w:left="4680" w:hanging="360"/>
      </w:pPr>
      <w:rPr>
        <w:rFonts w:ascii="Symbol" w:eastAsia="Symbol" w:hAnsi="Symbol"/>
        <w:w w:val="100"/>
        <w:sz w:val="20"/>
        <w:szCs w:val="20"/>
        <w:shd w:val="clear" w:color="auto" w:fill="auto"/>
      </w:rPr>
    </w:lvl>
    <w:lvl w:ilvl="7" w:tplc="8EFA762A">
      <w:start w:val="1"/>
      <w:numFmt w:val="bullet"/>
      <w:lvlText w:val="o"/>
      <w:lvlJc w:val="left"/>
      <w:pPr>
        <w:ind w:left="5400" w:hanging="360"/>
      </w:pPr>
      <w:rPr>
        <w:rFonts w:ascii="Courier New" w:eastAsia="Courier New" w:hAnsi="Courier New"/>
        <w:w w:val="100"/>
        <w:sz w:val="20"/>
        <w:szCs w:val="20"/>
        <w:shd w:val="clear" w:color="auto" w:fill="auto"/>
      </w:rPr>
    </w:lvl>
    <w:lvl w:ilvl="8" w:tplc="C44C0A3C">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1" w15:restartNumberingAfterBreak="0">
    <w:nsid w:val="04E449C6"/>
    <w:multiLevelType w:val="hybridMultilevel"/>
    <w:tmpl w:val="24CCF26C"/>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2E6C8E"/>
    <w:multiLevelType w:val="hybridMultilevel"/>
    <w:tmpl w:val="DD1E8A24"/>
    <w:lvl w:ilvl="0" w:tplc="19C26D4E">
      <w:start w:val="8"/>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D774DF"/>
    <w:multiLevelType w:val="hybridMultilevel"/>
    <w:tmpl w:val="CD6AF2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AB674A2"/>
    <w:multiLevelType w:val="hybridMultilevel"/>
    <w:tmpl w:val="A58A12EE"/>
    <w:lvl w:ilvl="0" w:tplc="D71CD548">
      <w:start w:val="1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CA319D"/>
    <w:multiLevelType w:val="hybridMultilevel"/>
    <w:tmpl w:val="23ACFA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4F6B19"/>
    <w:multiLevelType w:val="hybridMultilevel"/>
    <w:tmpl w:val="669869AE"/>
    <w:lvl w:ilvl="0" w:tplc="A35CA786">
      <w:start w:val="1"/>
      <w:numFmt w:val="bullet"/>
      <w:lvlText w:val=""/>
      <w:lvlJc w:val="left"/>
      <w:pPr>
        <w:ind w:left="360" w:hanging="360"/>
      </w:pPr>
      <w:rPr>
        <w:rFonts w:ascii="Symbol" w:hAnsi="Symbol" w:hint="default"/>
        <w:sz w:val="18"/>
        <w:szCs w:val="18"/>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DD1701B"/>
    <w:multiLevelType w:val="hybridMultilevel"/>
    <w:tmpl w:val="D9BEE3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33A15415"/>
    <w:multiLevelType w:val="hybridMultilevel"/>
    <w:tmpl w:val="E17016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392448"/>
    <w:multiLevelType w:val="hybridMultilevel"/>
    <w:tmpl w:val="2BC6AA00"/>
    <w:lvl w:ilvl="0" w:tplc="C0B0BB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1F1EBB"/>
    <w:multiLevelType w:val="hybridMultilevel"/>
    <w:tmpl w:val="451255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C255295"/>
    <w:multiLevelType w:val="hybridMultilevel"/>
    <w:tmpl w:val="1722EE04"/>
    <w:lvl w:ilvl="0" w:tplc="0413000F">
      <w:start w:val="7"/>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5F94099D"/>
    <w:multiLevelType w:val="hybridMultilevel"/>
    <w:tmpl w:val="0678A0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75566233">
    <w:abstractNumId w:val="8"/>
  </w:num>
  <w:num w:numId="2" w16cid:durableId="1191453513">
    <w:abstractNumId w:val="5"/>
  </w:num>
  <w:num w:numId="3" w16cid:durableId="9912959">
    <w:abstractNumId w:val="11"/>
  </w:num>
  <w:num w:numId="4" w16cid:durableId="862326669">
    <w:abstractNumId w:val="1"/>
  </w:num>
  <w:num w:numId="5" w16cid:durableId="707803613">
    <w:abstractNumId w:val="6"/>
  </w:num>
  <w:num w:numId="6" w16cid:durableId="1980256689">
    <w:abstractNumId w:val="0"/>
  </w:num>
  <w:num w:numId="7" w16cid:durableId="1415277077">
    <w:abstractNumId w:val="12"/>
  </w:num>
  <w:num w:numId="8" w16cid:durableId="968822428">
    <w:abstractNumId w:val="3"/>
  </w:num>
  <w:num w:numId="9" w16cid:durableId="2083864803">
    <w:abstractNumId w:val="9"/>
  </w:num>
  <w:num w:numId="10" w16cid:durableId="1007398">
    <w:abstractNumId w:val="2"/>
  </w:num>
  <w:num w:numId="11" w16cid:durableId="232544594">
    <w:abstractNumId w:val="10"/>
  </w:num>
  <w:num w:numId="12" w16cid:durableId="1986277929">
    <w:abstractNumId w:val="4"/>
  </w:num>
  <w:num w:numId="13" w16cid:durableId="373427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FA"/>
    <w:rsid w:val="00005D44"/>
    <w:rsid w:val="000100D7"/>
    <w:rsid w:val="0001022B"/>
    <w:rsid w:val="00024A60"/>
    <w:rsid w:val="00025F11"/>
    <w:rsid w:val="000264C6"/>
    <w:rsid w:val="00031692"/>
    <w:rsid w:val="00033B4E"/>
    <w:rsid w:val="000403F6"/>
    <w:rsid w:val="00040F2F"/>
    <w:rsid w:val="00041FFA"/>
    <w:rsid w:val="00042061"/>
    <w:rsid w:val="0004348E"/>
    <w:rsid w:val="000542AA"/>
    <w:rsid w:val="000736F2"/>
    <w:rsid w:val="00083E9D"/>
    <w:rsid w:val="00085B15"/>
    <w:rsid w:val="00093FEE"/>
    <w:rsid w:val="00097F02"/>
    <w:rsid w:val="000A733F"/>
    <w:rsid w:val="000B48D7"/>
    <w:rsid w:val="000C042D"/>
    <w:rsid w:val="000C0E91"/>
    <w:rsid w:val="000C1FC0"/>
    <w:rsid w:val="000C4E07"/>
    <w:rsid w:val="000D4647"/>
    <w:rsid w:val="000D4CC3"/>
    <w:rsid w:val="000D5C75"/>
    <w:rsid w:val="000D7BE1"/>
    <w:rsid w:val="000E6041"/>
    <w:rsid w:val="000E79DD"/>
    <w:rsid w:val="000F142B"/>
    <w:rsid w:val="001044A1"/>
    <w:rsid w:val="00104A4B"/>
    <w:rsid w:val="001121B5"/>
    <w:rsid w:val="001121DC"/>
    <w:rsid w:val="001179E5"/>
    <w:rsid w:val="001211DA"/>
    <w:rsid w:val="00122D48"/>
    <w:rsid w:val="0013155C"/>
    <w:rsid w:val="00151E4B"/>
    <w:rsid w:val="00152F92"/>
    <w:rsid w:val="001554FB"/>
    <w:rsid w:val="00160734"/>
    <w:rsid w:val="00173AA3"/>
    <w:rsid w:val="00173FFC"/>
    <w:rsid w:val="00181B13"/>
    <w:rsid w:val="0018437F"/>
    <w:rsid w:val="001845E5"/>
    <w:rsid w:val="00194B10"/>
    <w:rsid w:val="00196F6A"/>
    <w:rsid w:val="001C61CA"/>
    <w:rsid w:val="001C75AE"/>
    <w:rsid w:val="001C7D31"/>
    <w:rsid w:val="001D02C9"/>
    <w:rsid w:val="001E28CC"/>
    <w:rsid w:val="001F3980"/>
    <w:rsid w:val="001F7641"/>
    <w:rsid w:val="001F7EDF"/>
    <w:rsid w:val="002107E6"/>
    <w:rsid w:val="002118DA"/>
    <w:rsid w:val="00211D4B"/>
    <w:rsid w:val="0021378F"/>
    <w:rsid w:val="00214057"/>
    <w:rsid w:val="0021771B"/>
    <w:rsid w:val="00226406"/>
    <w:rsid w:val="00227051"/>
    <w:rsid w:val="0023732A"/>
    <w:rsid w:val="00243BD8"/>
    <w:rsid w:val="00247E3B"/>
    <w:rsid w:val="00253312"/>
    <w:rsid w:val="002542A6"/>
    <w:rsid w:val="00261569"/>
    <w:rsid w:val="00262E3D"/>
    <w:rsid w:val="00267F47"/>
    <w:rsid w:val="00274528"/>
    <w:rsid w:val="00274C25"/>
    <w:rsid w:val="00281668"/>
    <w:rsid w:val="00284D0C"/>
    <w:rsid w:val="00290FE4"/>
    <w:rsid w:val="002921EF"/>
    <w:rsid w:val="00296FF5"/>
    <w:rsid w:val="002A2A9B"/>
    <w:rsid w:val="002A7DE6"/>
    <w:rsid w:val="002B155E"/>
    <w:rsid w:val="002B3C80"/>
    <w:rsid w:val="002B3DF2"/>
    <w:rsid w:val="002B7FD8"/>
    <w:rsid w:val="002C0216"/>
    <w:rsid w:val="002C0967"/>
    <w:rsid w:val="002C0A67"/>
    <w:rsid w:val="002C3835"/>
    <w:rsid w:val="002C4E0B"/>
    <w:rsid w:val="002D3706"/>
    <w:rsid w:val="002E6EEE"/>
    <w:rsid w:val="002F0B7C"/>
    <w:rsid w:val="002F3721"/>
    <w:rsid w:val="002F558A"/>
    <w:rsid w:val="00300A73"/>
    <w:rsid w:val="0031205E"/>
    <w:rsid w:val="00314798"/>
    <w:rsid w:val="00315EA3"/>
    <w:rsid w:val="00322AC4"/>
    <w:rsid w:val="00323D9E"/>
    <w:rsid w:val="003261B8"/>
    <w:rsid w:val="0033513D"/>
    <w:rsid w:val="0033731B"/>
    <w:rsid w:val="00340280"/>
    <w:rsid w:val="003402A6"/>
    <w:rsid w:val="003470EC"/>
    <w:rsid w:val="00352BC8"/>
    <w:rsid w:val="00360BF9"/>
    <w:rsid w:val="00384543"/>
    <w:rsid w:val="0038664A"/>
    <w:rsid w:val="0039116A"/>
    <w:rsid w:val="00391D46"/>
    <w:rsid w:val="00391F83"/>
    <w:rsid w:val="0039406A"/>
    <w:rsid w:val="003A176A"/>
    <w:rsid w:val="003A33F5"/>
    <w:rsid w:val="003A60EE"/>
    <w:rsid w:val="003A732B"/>
    <w:rsid w:val="003B005A"/>
    <w:rsid w:val="003B434F"/>
    <w:rsid w:val="003B4583"/>
    <w:rsid w:val="003C1F2A"/>
    <w:rsid w:val="003C2096"/>
    <w:rsid w:val="003C6ACE"/>
    <w:rsid w:val="003D3377"/>
    <w:rsid w:val="003D7CF3"/>
    <w:rsid w:val="003D7D74"/>
    <w:rsid w:val="003E1F4C"/>
    <w:rsid w:val="003E3C79"/>
    <w:rsid w:val="003F5DE5"/>
    <w:rsid w:val="004039FA"/>
    <w:rsid w:val="00405DD6"/>
    <w:rsid w:val="0041392D"/>
    <w:rsid w:val="0041487B"/>
    <w:rsid w:val="00421EEC"/>
    <w:rsid w:val="00430E61"/>
    <w:rsid w:val="00431A3F"/>
    <w:rsid w:val="00435E5B"/>
    <w:rsid w:val="00437572"/>
    <w:rsid w:val="004377D2"/>
    <w:rsid w:val="00441A07"/>
    <w:rsid w:val="004531AB"/>
    <w:rsid w:val="0046306E"/>
    <w:rsid w:val="004633A8"/>
    <w:rsid w:val="004713C5"/>
    <w:rsid w:val="00491D06"/>
    <w:rsid w:val="00494C1A"/>
    <w:rsid w:val="004963AB"/>
    <w:rsid w:val="004971AB"/>
    <w:rsid w:val="004B4A39"/>
    <w:rsid w:val="004C0015"/>
    <w:rsid w:val="004C6BD0"/>
    <w:rsid w:val="004D01DD"/>
    <w:rsid w:val="004D349D"/>
    <w:rsid w:val="004D4CC9"/>
    <w:rsid w:val="004E1BD1"/>
    <w:rsid w:val="004E1DCE"/>
    <w:rsid w:val="004F3A04"/>
    <w:rsid w:val="004F4DE5"/>
    <w:rsid w:val="004F6385"/>
    <w:rsid w:val="0050111C"/>
    <w:rsid w:val="0050365F"/>
    <w:rsid w:val="005048B1"/>
    <w:rsid w:val="00505F5D"/>
    <w:rsid w:val="005117F0"/>
    <w:rsid w:val="00516CDA"/>
    <w:rsid w:val="00520CC4"/>
    <w:rsid w:val="00521DE0"/>
    <w:rsid w:val="00523526"/>
    <w:rsid w:val="005314CE"/>
    <w:rsid w:val="0053166A"/>
    <w:rsid w:val="00536253"/>
    <w:rsid w:val="005365FC"/>
    <w:rsid w:val="00542183"/>
    <w:rsid w:val="00554286"/>
    <w:rsid w:val="00555566"/>
    <w:rsid w:val="0055688B"/>
    <w:rsid w:val="00556B52"/>
    <w:rsid w:val="005573EB"/>
    <w:rsid w:val="005613CD"/>
    <w:rsid w:val="0056557C"/>
    <w:rsid w:val="00570ADB"/>
    <w:rsid w:val="00571B38"/>
    <w:rsid w:val="00571D72"/>
    <w:rsid w:val="005725A9"/>
    <w:rsid w:val="00573CFC"/>
    <w:rsid w:val="005746FD"/>
    <w:rsid w:val="005812E4"/>
    <w:rsid w:val="005848BD"/>
    <w:rsid w:val="00587EF0"/>
    <w:rsid w:val="00591E90"/>
    <w:rsid w:val="00595CBC"/>
    <w:rsid w:val="005A0E24"/>
    <w:rsid w:val="005A17C4"/>
    <w:rsid w:val="005A1AC8"/>
    <w:rsid w:val="005A30BF"/>
    <w:rsid w:val="005A64C0"/>
    <w:rsid w:val="005B4B7A"/>
    <w:rsid w:val="005C0A0E"/>
    <w:rsid w:val="005C14D9"/>
    <w:rsid w:val="005C2391"/>
    <w:rsid w:val="005C7CFD"/>
    <w:rsid w:val="005D0231"/>
    <w:rsid w:val="005D42F3"/>
    <w:rsid w:val="005D7B38"/>
    <w:rsid w:val="005E132A"/>
    <w:rsid w:val="005E2097"/>
    <w:rsid w:val="005E2E40"/>
    <w:rsid w:val="005E5ABF"/>
    <w:rsid w:val="005F36E4"/>
    <w:rsid w:val="005F5923"/>
    <w:rsid w:val="006008A8"/>
    <w:rsid w:val="00600A7A"/>
    <w:rsid w:val="00605C63"/>
    <w:rsid w:val="00605E87"/>
    <w:rsid w:val="00607457"/>
    <w:rsid w:val="006117C5"/>
    <w:rsid w:val="00611F01"/>
    <w:rsid w:val="00620058"/>
    <w:rsid w:val="00621D47"/>
    <w:rsid w:val="00622C8B"/>
    <w:rsid w:val="00623B2B"/>
    <w:rsid w:val="00626AF3"/>
    <w:rsid w:val="00634BBA"/>
    <w:rsid w:val="00644FD2"/>
    <w:rsid w:val="00645E6A"/>
    <w:rsid w:val="00652487"/>
    <w:rsid w:val="00656368"/>
    <w:rsid w:val="00656E39"/>
    <w:rsid w:val="0066044F"/>
    <w:rsid w:val="00671A2C"/>
    <w:rsid w:val="00675073"/>
    <w:rsid w:val="00676EDF"/>
    <w:rsid w:val="00682010"/>
    <w:rsid w:val="00683152"/>
    <w:rsid w:val="006831F9"/>
    <w:rsid w:val="00683C18"/>
    <w:rsid w:val="00686FAF"/>
    <w:rsid w:val="00687DA8"/>
    <w:rsid w:val="006900A0"/>
    <w:rsid w:val="00690D51"/>
    <w:rsid w:val="006917A1"/>
    <w:rsid w:val="006936EE"/>
    <w:rsid w:val="006943F3"/>
    <w:rsid w:val="006A0128"/>
    <w:rsid w:val="006B22FD"/>
    <w:rsid w:val="006B5866"/>
    <w:rsid w:val="006B696E"/>
    <w:rsid w:val="006C26E5"/>
    <w:rsid w:val="006C3748"/>
    <w:rsid w:val="006D6CD0"/>
    <w:rsid w:val="006E0EC8"/>
    <w:rsid w:val="006E1C1D"/>
    <w:rsid w:val="006E2C62"/>
    <w:rsid w:val="006F1F0A"/>
    <w:rsid w:val="006F2FD9"/>
    <w:rsid w:val="006F4973"/>
    <w:rsid w:val="00706278"/>
    <w:rsid w:val="00706EFC"/>
    <w:rsid w:val="00706F9E"/>
    <w:rsid w:val="00707767"/>
    <w:rsid w:val="00707A96"/>
    <w:rsid w:val="00713253"/>
    <w:rsid w:val="007248B0"/>
    <w:rsid w:val="00724B04"/>
    <w:rsid w:val="00745870"/>
    <w:rsid w:val="00754F2E"/>
    <w:rsid w:val="00756389"/>
    <w:rsid w:val="0076127D"/>
    <w:rsid w:val="0076642E"/>
    <w:rsid w:val="00774F28"/>
    <w:rsid w:val="0077588E"/>
    <w:rsid w:val="00777A39"/>
    <w:rsid w:val="00780D24"/>
    <w:rsid w:val="00784F1E"/>
    <w:rsid w:val="007A21DB"/>
    <w:rsid w:val="007A3C37"/>
    <w:rsid w:val="007C3467"/>
    <w:rsid w:val="007C5567"/>
    <w:rsid w:val="007D42AA"/>
    <w:rsid w:val="007E07BF"/>
    <w:rsid w:val="007E7962"/>
    <w:rsid w:val="007F5644"/>
    <w:rsid w:val="00811D3E"/>
    <w:rsid w:val="00812DEA"/>
    <w:rsid w:val="00813344"/>
    <w:rsid w:val="00820103"/>
    <w:rsid w:val="008277DC"/>
    <w:rsid w:val="00836A22"/>
    <w:rsid w:val="008475B2"/>
    <w:rsid w:val="00851198"/>
    <w:rsid w:val="00854AB2"/>
    <w:rsid w:val="00861927"/>
    <w:rsid w:val="008663A6"/>
    <w:rsid w:val="00866CE6"/>
    <w:rsid w:val="00873165"/>
    <w:rsid w:val="0088456C"/>
    <w:rsid w:val="00886043"/>
    <w:rsid w:val="008917E3"/>
    <w:rsid w:val="00894F99"/>
    <w:rsid w:val="00895768"/>
    <w:rsid w:val="008A3F61"/>
    <w:rsid w:val="008A41A7"/>
    <w:rsid w:val="008A5E41"/>
    <w:rsid w:val="008A7B35"/>
    <w:rsid w:val="008B676D"/>
    <w:rsid w:val="008C1295"/>
    <w:rsid w:val="008D6BA7"/>
    <w:rsid w:val="008E6B33"/>
    <w:rsid w:val="008F2810"/>
    <w:rsid w:val="009044F3"/>
    <w:rsid w:val="00905545"/>
    <w:rsid w:val="00910160"/>
    <w:rsid w:val="0091229B"/>
    <w:rsid w:val="00912E2F"/>
    <w:rsid w:val="00943621"/>
    <w:rsid w:val="00951263"/>
    <w:rsid w:val="0095703F"/>
    <w:rsid w:val="0096020A"/>
    <w:rsid w:val="00963924"/>
    <w:rsid w:val="00963BC3"/>
    <w:rsid w:val="009658E3"/>
    <w:rsid w:val="009724C2"/>
    <w:rsid w:val="00976416"/>
    <w:rsid w:val="00976887"/>
    <w:rsid w:val="00986D61"/>
    <w:rsid w:val="00991907"/>
    <w:rsid w:val="00991DE0"/>
    <w:rsid w:val="009929FC"/>
    <w:rsid w:val="00993C9B"/>
    <w:rsid w:val="00995E73"/>
    <w:rsid w:val="009A1363"/>
    <w:rsid w:val="009A49F0"/>
    <w:rsid w:val="009A64E9"/>
    <w:rsid w:val="009B019E"/>
    <w:rsid w:val="009B2A84"/>
    <w:rsid w:val="009B2D5F"/>
    <w:rsid w:val="009B7AF4"/>
    <w:rsid w:val="009C1810"/>
    <w:rsid w:val="009C1945"/>
    <w:rsid w:val="009C2606"/>
    <w:rsid w:val="009C2F9E"/>
    <w:rsid w:val="009C5751"/>
    <w:rsid w:val="009D1872"/>
    <w:rsid w:val="009F47EB"/>
    <w:rsid w:val="00A003C5"/>
    <w:rsid w:val="00A106CC"/>
    <w:rsid w:val="00A17A08"/>
    <w:rsid w:val="00A17C6E"/>
    <w:rsid w:val="00A2095C"/>
    <w:rsid w:val="00A24F7A"/>
    <w:rsid w:val="00A307D3"/>
    <w:rsid w:val="00A3654C"/>
    <w:rsid w:val="00A3733D"/>
    <w:rsid w:val="00A40C51"/>
    <w:rsid w:val="00A4369A"/>
    <w:rsid w:val="00A53EB4"/>
    <w:rsid w:val="00A55FC3"/>
    <w:rsid w:val="00A5715A"/>
    <w:rsid w:val="00A708BB"/>
    <w:rsid w:val="00A70A78"/>
    <w:rsid w:val="00A7118D"/>
    <w:rsid w:val="00A72080"/>
    <w:rsid w:val="00A73539"/>
    <w:rsid w:val="00A77CB0"/>
    <w:rsid w:val="00A94C62"/>
    <w:rsid w:val="00AA0CDF"/>
    <w:rsid w:val="00AA2C20"/>
    <w:rsid w:val="00AA3C02"/>
    <w:rsid w:val="00AA43C5"/>
    <w:rsid w:val="00AA4B99"/>
    <w:rsid w:val="00AA668A"/>
    <w:rsid w:val="00AB000B"/>
    <w:rsid w:val="00AB6A68"/>
    <w:rsid w:val="00AC74FF"/>
    <w:rsid w:val="00AC7519"/>
    <w:rsid w:val="00AD44CD"/>
    <w:rsid w:val="00AE0337"/>
    <w:rsid w:val="00AE7237"/>
    <w:rsid w:val="00AE7F83"/>
    <w:rsid w:val="00AF5EAE"/>
    <w:rsid w:val="00B03786"/>
    <w:rsid w:val="00B07D36"/>
    <w:rsid w:val="00B11319"/>
    <w:rsid w:val="00B12407"/>
    <w:rsid w:val="00B16578"/>
    <w:rsid w:val="00B16686"/>
    <w:rsid w:val="00B25171"/>
    <w:rsid w:val="00B360FB"/>
    <w:rsid w:val="00B46294"/>
    <w:rsid w:val="00B63DB9"/>
    <w:rsid w:val="00B64267"/>
    <w:rsid w:val="00B675A7"/>
    <w:rsid w:val="00B71365"/>
    <w:rsid w:val="00B73235"/>
    <w:rsid w:val="00B74E16"/>
    <w:rsid w:val="00B765BC"/>
    <w:rsid w:val="00B77D7C"/>
    <w:rsid w:val="00B82A1D"/>
    <w:rsid w:val="00B8693A"/>
    <w:rsid w:val="00B86BFB"/>
    <w:rsid w:val="00B91350"/>
    <w:rsid w:val="00B940DE"/>
    <w:rsid w:val="00B97874"/>
    <w:rsid w:val="00BA273E"/>
    <w:rsid w:val="00BA655E"/>
    <w:rsid w:val="00BA75A5"/>
    <w:rsid w:val="00BB2374"/>
    <w:rsid w:val="00BB32DD"/>
    <w:rsid w:val="00BB63FE"/>
    <w:rsid w:val="00BC3ECF"/>
    <w:rsid w:val="00BC6CBB"/>
    <w:rsid w:val="00BD33D7"/>
    <w:rsid w:val="00BD411E"/>
    <w:rsid w:val="00BE4A3B"/>
    <w:rsid w:val="00BE6859"/>
    <w:rsid w:val="00BF5AB0"/>
    <w:rsid w:val="00C02005"/>
    <w:rsid w:val="00C054E2"/>
    <w:rsid w:val="00C0694A"/>
    <w:rsid w:val="00C12518"/>
    <w:rsid w:val="00C12990"/>
    <w:rsid w:val="00C16890"/>
    <w:rsid w:val="00C33E90"/>
    <w:rsid w:val="00C36794"/>
    <w:rsid w:val="00C413D4"/>
    <w:rsid w:val="00C45F83"/>
    <w:rsid w:val="00C53BD5"/>
    <w:rsid w:val="00C53CB1"/>
    <w:rsid w:val="00C639C8"/>
    <w:rsid w:val="00C6698F"/>
    <w:rsid w:val="00C757A7"/>
    <w:rsid w:val="00C848AC"/>
    <w:rsid w:val="00C960EE"/>
    <w:rsid w:val="00C96D68"/>
    <w:rsid w:val="00CA46BE"/>
    <w:rsid w:val="00CB1F43"/>
    <w:rsid w:val="00CB448C"/>
    <w:rsid w:val="00CC4B18"/>
    <w:rsid w:val="00CD5256"/>
    <w:rsid w:val="00CD632B"/>
    <w:rsid w:val="00CE5ABD"/>
    <w:rsid w:val="00CE7AB5"/>
    <w:rsid w:val="00CF1A1E"/>
    <w:rsid w:val="00CF320F"/>
    <w:rsid w:val="00CF347C"/>
    <w:rsid w:val="00CF5EE0"/>
    <w:rsid w:val="00CF6908"/>
    <w:rsid w:val="00CF6BDB"/>
    <w:rsid w:val="00D02288"/>
    <w:rsid w:val="00D03627"/>
    <w:rsid w:val="00D05AF3"/>
    <w:rsid w:val="00D05D40"/>
    <w:rsid w:val="00D20E35"/>
    <w:rsid w:val="00D22C59"/>
    <w:rsid w:val="00D33E09"/>
    <w:rsid w:val="00D360BA"/>
    <w:rsid w:val="00D65A14"/>
    <w:rsid w:val="00D708CB"/>
    <w:rsid w:val="00D713C3"/>
    <w:rsid w:val="00D7343F"/>
    <w:rsid w:val="00D83234"/>
    <w:rsid w:val="00D832D5"/>
    <w:rsid w:val="00D83BA3"/>
    <w:rsid w:val="00D911C2"/>
    <w:rsid w:val="00DA7513"/>
    <w:rsid w:val="00DB1200"/>
    <w:rsid w:val="00DB5388"/>
    <w:rsid w:val="00DB7820"/>
    <w:rsid w:val="00DC7547"/>
    <w:rsid w:val="00DD1ECB"/>
    <w:rsid w:val="00DE35B0"/>
    <w:rsid w:val="00DF348E"/>
    <w:rsid w:val="00DF42B6"/>
    <w:rsid w:val="00DF5113"/>
    <w:rsid w:val="00E03C7B"/>
    <w:rsid w:val="00E04ABF"/>
    <w:rsid w:val="00E06649"/>
    <w:rsid w:val="00E100E0"/>
    <w:rsid w:val="00E1067D"/>
    <w:rsid w:val="00E14BBE"/>
    <w:rsid w:val="00E1639A"/>
    <w:rsid w:val="00E22EB0"/>
    <w:rsid w:val="00E236E1"/>
    <w:rsid w:val="00E24F41"/>
    <w:rsid w:val="00E4365E"/>
    <w:rsid w:val="00E54C9A"/>
    <w:rsid w:val="00E65A43"/>
    <w:rsid w:val="00E65CAC"/>
    <w:rsid w:val="00E7160B"/>
    <w:rsid w:val="00E72021"/>
    <w:rsid w:val="00E722BB"/>
    <w:rsid w:val="00E7331B"/>
    <w:rsid w:val="00E87F64"/>
    <w:rsid w:val="00E90AAD"/>
    <w:rsid w:val="00E90BB0"/>
    <w:rsid w:val="00EA27B5"/>
    <w:rsid w:val="00EA29C2"/>
    <w:rsid w:val="00EB5CD7"/>
    <w:rsid w:val="00EC1153"/>
    <w:rsid w:val="00EC291F"/>
    <w:rsid w:val="00ED74B9"/>
    <w:rsid w:val="00EE5ECB"/>
    <w:rsid w:val="00EE6068"/>
    <w:rsid w:val="00F131BC"/>
    <w:rsid w:val="00F144C9"/>
    <w:rsid w:val="00F22CDC"/>
    <w:rsid w:val="00F31846"/>
    <w:rsid w:val="00F36685"/>
    <w:rsid w:val="00F44011"/>
    <w:rsid w:val="00F446DC"/>
    <w:rsid w:val="00F51171"/>
    <w:rsid w:val="00F54FAE"/>
    <w:rsid w:val="00F55547"/>
    <w:rsid w:val="00F61C21"/>
    <w:rsid w:val="00F64FC7"/>
    <w:rsid w:val="00F71325"/>
    <w:rsid w:val="00F831DC"/>
    <w:rsid w:val="00F855A7"/>
    <w:rsid w:val="00F90384"/>
    <w:rsid w:val="00F908AD"/>
    <w:rsid w:val="00FA1956"/>
    <w:rsid w:val="00FB38CD"/>
    <w:rsid w:val="00FB5925"/>
    <w:rsid w:val="00FC28AE"/>
    <w:rsid w:val="00FC5FF9"/>
    <w:rsid w:val="00FD287D"/>
    <w:rsid w:val="00FD37FD"/>
    <w:rsid w:val="00FE45C7"/>
    <w:rsid w:val="00FE7F57"/>
    <w:rsid w:val="00FF1671"/>
    <w:rsid w:val="00FF4F28"/>
    <w:rsid w:val="00FF61AE"/>
    <w:rsid w:val="00FF78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F2DAD"/>
  <w15:docId w15:val="{019D7C49-E5FD-44D6-97A4-8409DADD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3BD5"/>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041F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1FFA"/>
    <w:rPr>
      <w:rFonts w:ascii="Verdana" w:hAnsi="Verdana"/>
      <w:sz w:val="18"/>
    </w:rPr>
  </w:style>
  <w:style w:type="paragraph" w:styleId="Voettekst">
    <w:name w:val="footer"/>
    <w:basedOn w:val="Standaard"/>
    <w:link w:val="VoettekstChar"/>
    <w:uiPriority w:val="99"/>
    <w:unhideWhenUsed/>
    <w:rsid w:val="00041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1FFA"/>
    <w:rPr>
      <w:rFonts w:ascii="Verdana" w:hAnsi="Verdana"/>
      <w:sz w:val="18"/>
    </w:rPr>
  </w:style>
  <w:style w:type="paragraph" w:styleId="Lijstalinea">
    <w:name w:val="List Paragraph"/>
    <w:basedOn w:val="Standaard"/>
    <w:uiPriority w:val="34"/>
    <w:qFormat/>
    <w:rsid w:val="00041FFA"/>
    <w:pPr>
      <w:ind w:left="720"/>
      <w:contextualSpacing/>
    </w:pPr>
  </w:style>
  <w:style w:type="paragraph" w:customStyle="1" w:styleId="Default">
    <w:name w:val="Default"/>
    <w:rsid w:val="00041FFA"/>
    <w:pPr>
      <w:autoSpaceDE w:val="0"/>
      <w:autoSpaceDN w:val="0"/>
      <w:adjustRightInd w:val="0"/>
      <w:spacing w:after="0" w:line="240" w:lineRule="auto"/>
    </w:pPr>
    <w:rPr>
      <w:rFonts w:ascii="Verdana" w:hAnsi="Verdana" w:cs="Verdana"/>
      <w:color w:val="000000"/>
      <w:sz w:val="24"/>
      <w:szCs w:val="24"/>
    </w:rPr>
  </w:style>
  <w:style w:type="paragraph" w:styleId="Voetnoottekst">
    <w:name w:val="footnote text"/>
    <w:basedOn w:val="Standaard"/>
    <w:link w:val="VoetnoottekstChar"/>
    <w:unhideWhenUsed/>
    <w:rsid w:val="00A72080"/>
    <w:pPr>
      <w:spacing w:after="0" w:line="240" w:lineRule="auto"/>
    </w:pPr>
    <w:rPr>
      <w:sz w:val="20"/>
      <w:szCs w:val="20"/>
    </w:rPr>
  </w:style>
  <w:style w:type="character" w:customStyle="1" w:styleId="VoetnoottekstChar">
    <w:name w:val="Voetnoottekst Char"/>
    <w:basedOn w:val="Standaardalinea-lettertype"/>
    <w:link w:val="Voetnoottekst"/>
    <w:rsid w:val="00A72080"/>
    <w:rPr>
      <w:rFonts w:ascii="Verdana" w:hAnsi="Verdana"/>
      <w:sz w:val="20"/>
      <w:szCs w:val="20"/>
    </w:rPr>
  </w:style>
  <w:style w:type="character" w:styleId="Voetnootmarkering">
    <w:name w:val="footnote reference"/>
    <w:basedOn w:val="Standaardalinea-lettertype"/>
    <w:semiHidden/>
    <w:unhideWhenUsed/>
    <w:rsid w:val="00A72080"/>
    <w:rPr>
      <w:vertAlign w:val="superscript"/>
    </w:rPr>
  </w:style>
  <w:style w:type="character" w:styleId="Verwijzingopmerking">
    <w:name w:val="annotation reference"/>
    <w:basedOn w:val="Standaardalinea-lettertype"/>
    <w:uiPriority w:val="99"/>
    <w:semiHidden/>
    <w:unhideWhenUsed/>
    <w:rsid w:val="0095703F"/>
    <w:rPr>
      <w:sz w:val="16"/>
      <w:szCs w:val="16"/>
    </w:rPr>
  </w:style>
  <w:style w:type="paragraph" w:styleId="Tekstopmerking">
    <w:name w:val="annotation text"/>
    <w:basedOn w:val="Standaard"/>
    <w:link w:val="TekstopmerkingChar"/>
    <w:uiPriority w:val="99"/>
    <w:unhideWhenUsed/>
    <w:rsid w:val="0095703F"/>
    <w:pPr>
      <w:spacing w:line="240" w:lineRule="auto"/>
    </w:pPr>
    <w:rPr>
      <w:sz w:val="20"/>
      <w:szCs w:val="20"/>
    </w:rPr>
  </w:style>
  <w:style w:type="character" w:customStyle="1" w:styleId="TekstopmerkingChar">
    <w:name w:val="Tekst opmerking Char"/>
    <w:basedOn w:val="Standaardalinea-lettertype"/>
    <w:link w:val="Tekstopmerking"/>
    <w:uiPriority w:val="99"/>
    <w:rsid w:val="0095703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95703F"/>
    <w:rPr>
      <w:b/>
      <w:bCs/>
    </w:rPr>
  </w:style>
  <w:style w:type="character" w:customStyle="1" w:styleId="OnderwerpvanopmerkingChar">
    <w:name w:val="Onderwerp van opmerking Char"/>
    <w:basedOn w:val="TekstopmerkingChar"/>
    <w:link w:val="Onderwerpvanopmerking"/>
    <w:uiPriority w:val="99"/>
    <w:semiHidden/>
    <w:rsid w:val="0095703F"/>
    <w:rPr>
      <w:rFonts w:ascii="Verdana" w:hAnsi="Verdana"/>
      <w:b/>
      <w:bCs/>
      <w:sz w:val="20"/>
      <w:szCs w:val="20"/>
    </w:rPr>
  </w:style>
  <w:style w:type="paragraph" w:styleId="Ballontekst">
    <w:name w:val="Balloon Text"/>
    <w:basedOn w:val="Standaard"/>
    <w:link w:val="BallontekstChar"/>
    <w:uiPriority w:val="99"/>
    <w:semiHidden/>
    <w:unhideWhenUsed/>
    <w:rsid w:val="009570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5703F"/>
    <w:rPr>
      <w:rFonts w:ascii="Tahoma" w:hAnsi="Tahoma" w:cs="Tahoma"/>
      <w:sz w:val="16"/>
      <w:szCs w:val="16"/>
    </w:rPr>
  </w:style>
  <w:style w:type="paragraph" w:styleId="Plattetekst">
    <w:name w:val="Body Text"/>
    <w:basedOn w:val="Standaard"/>
    <w:link w:val="PlattetekstChar"/>
    <w:rsid w:val="00FC28AE"/>
    <w:pPr>
      <w:widowControl w:val="0"/>
      <w:tabs>
        <w:tab w:val="left" w:pos="1418"/>
        <w:tab w:val="left" w:pos="2835"/>
        <w:tab w:val="left" w:pos="4253"/>
        <w:tab w:val="left" w:pos="5670"/>
      </w:tabs>
      <w:suppressAutoHyphens/>
      <w:spacing w:after="0" w:line="360" w:lineRule="auto"/>
    </w:pPr>
    <w:rPr>
      <w:rFonts w:ascii="Arial" w:eastAsia="Times New Roman" w:hAnsi="Arial" w:cs="Times New Roman"/>
      <w:sz w:val="20"/>
      <w:szCs w:val="20"/>
      <w:lang w:eastAsia="nl-NL"/>
    </w:rPr>
  </w:style>
  <w:style w:type="character" w:customStyle="1" w:styleId="PlattetekstChar">
    <w:name w:val="Platte tekst Char"/>
    <w:basedOn w:val="Standaardalinea-lettertype"/>
    <w:link w:val="Plattetekst"/>
    <w:rsid w:val="00FC28AE"/>
    <w:rPr>
      <w:rFonts w:ascii="Arial" w:eastAsia="Times New Roman" w:hAnsi="Arial" w:cs="Times New Roman"/>
      <w:sz w:val="20"/>
      <w:szCs w:val="20"/>
      <w:lang w:eastAsia="nl-NL"/>
    </w:rPr>
  </w:style>
  <w:style w:type="paragraph" w:customStyle="1" w:styleId="Huisstijl-Referentiegegevens">
    <w:name w:val="Huisstijl - Referentiegegevens"/>
    <w:basedOn w:val="Standaard"/>
    <w:rsid w:val="00AB000B"/>
    <w:pPr>
      <w:widowControl w:val="0"/>
      <w:suppressAutoHyphens/>
      <w:autoSpaceDN w:val="0"/>
      <w:spacing w:after="0" w:line="180" w:lineRule="exact"/>
      <w:textAlignment w:val="baseline"/>
    </w:pPr>
    <w:rPr>
      <w:rFonts w:eastAsia="DejaVu Sans" w:cs="Lohit Hindi"/>
      <w:kern w:val="3"/>
      <w:sz w:val="13"/>
      <w:szCs w:val="24"/>
      <w:lang w:eastAsia="zh-CN" w:bidi="hi-IN"/>
    </w:rPr>
  </w:style>
  <w:style w:type="character" w:styleId="Nadruk">
    <w:name w:val="Emphasis"/>
    <w:basedOn w:val="Standaardalinea-lettertype"/>
    <w:uiPriority w:val="20"/>
    <w:qFormat/>
    <w:rsid w:val="00AE0337"/>
    <w:rPr>
      <w:i/>
      <w:iCs/>
    </w:rPr>
  </w:style>
  <w:style w:type="paragraph" w:styleId="Revisie">
    <w:name w:val="Revision"/>
    <w:hidden/>
    <w:uiPriority w:val="99"/>
    <w:semiHidden/>
    <w:rsid w:val="00F61C21"/>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153">
      <w:bodyDiv w:val="1"/>
      <w:marLeft w:val="0"/>
      <w:marRight w:val="0"/>
      <w:marTop w:val="0"/>
      <w:marBottom w:val="0"/>
      <w:divBdr>
        <w:top w:val="none" w:sz="0" w:space="0" w:color="auto"/>
        <w:left w:val="none" w:sz="0" w:space="0" w:color="auto"/>
        <w:bottom w:val="none" w:sz="0" w:space="0" w:color="auto"/>
        <w:right w:val="none" w:sz="0" w:space="0" w:color="auto"/>
      </w:divBdr>
    </w:div>
    <w:div w:id="21450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2525</ap:Words>
  <ap:Characters>13890</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2016-02-08T14:32:00.0000000Z</lastPrinted>
  <dcterms:created xsi:type="dcterms:W3CDTF">2026-04-02T08:02:00.0000000Z</dcterms:created>
  <dcterms:modified xsi:type="dcterms:W3CDTF">2026-04-02T08:02:00.0000000Z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2022-02-15T14:04:13Z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fcf94167-2935-4ee2-899c-726ac5519962</vt:lpwstr>
  </property>
  <property fmtid="{D5CDD505-2E9C-101B-9397-08002B2CF9AE}" pid="8" name="MSIP_Label_6800fede-0e59-47ad-af95-4e63bbdb932d_ContentBits">
    <vt:lpwstr>0</vt:lpwstr>
  </property>
</Properties>
</file>