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4723" w:rsidRDefault="001B2CDE" w14:paraId="1DB231DA" w14:textId="6C2B46C1">
      <w:bookmarkStart w:name="_GoBack" w:id="0"/>
      <w:bookmarkEnd w:id="0"/>
      <w:r>
        <w:t>Geachte voorzitter,</w:t>
      </w:r>
    </w:p>
    <w:p w:rsidR="001B2CDE" w:rsidRDefault="001B2CDE" w14:paraId="4AD32BDB" w14:textId="77777777"/>
    <w:p w:rsidR="001B2CDE" w:rsidRDefault="001B2CDE" w14:paraId="7D19E2CD" w14:textId="1118A3D1">
      <w:r>
        <w:t>Met deze brief w</w:t>
      </w:r>
      <w:r w:rsidR="00575413">
        <w:t>ordt uitvoering ge</w:t>
      </w:r>
      <w:r>
        <w:t xml:space="preserve">geven aan </w:t>
      </w:r>
      <w:r w:rsidR="0080267A">
        <w:t>verschillende</w:t>
      </w:r>
      <w:r>
        <w:t xml:space="preserve"> toezeggingen die zijn gedaan aan </w:t>
      </w:r>
      <w:r w:rsidR="00BF6F17">
        <w:t>de</w:t>
      </w:r>
      <w:r>
        <w:t xml:space="preserve"> Kamer tijdens het commissiedebat Maritiem van 29 januari 2026. Het gaat om de volgende toezeggingen</w:t>
      </w:r>
      <w:r w:rsidR="00BF6F17">
        <w:rPr>
          <w:rStyle w:val="FootnoteReference"/>
        </w:rPr>
        <w:footnoteReference w:id="1"/>
      </w:r>
      <w:r>
        <w:t>:</w:t>
      </w:r>
    </w:p>
    <w:p w:rsidR="001B2CDE" w:rsidRDefault="001B2CDE" w14:paraId="02D960D5" w14:textId="77777777"/>
    <w:p w:rsidRPr="00453D02" w:rsidR="003757DA" w:rsidP="00030884" w:rsidRDefault="0080267A" w14:paraId="6A638485" w14:textId="1BB708C9">
      <w:pPr>
        <w:pStyle w:val="ListParagraph"/>
        <w:numPr>
          <w:ilvl w:val="0"/>
          <w:numId w:val="24"/>
        </w:numPr>
        <w:rPr>
          <w:u w:val="single"/>
        </w:rPr>
      </w:pPr>
      <w:r>
        <w:t>a</w:t>
      </w:r>
      <w:r w:rsidRPr="001F3226" w:rsidR="003757DA">
        <w:t>an het lid Heutink</w:t>
      </w:r>
      <w:r w:rsidR="00FB02AE">
        <w:t xml:space="preserve"> om</w:t>
      </w:r>
      <w:r w:rsidRPr="001F3226" w:rsidR="003757DA">
        <w:t xml:space="preserve"> een analyse/benchmark uit te voeren ten aanzien van de regeldruk in de maritieme sector en hierover uiterlijk in het derde kwartaal van 2026 aan de Kamer te rapporteren</w:t>
      </w:r>
      <w:r>
        <w:t>;</w:t>
      </w:r>
    </w:p>
    <w:p w:rsidR="00030884" w:rsidP="00030884" w:rsidRDefault="0080267A" w14:paraId="2B84E771" w14:textId="2F3C2C45">
      <w:pPr>
        <w:pStyle w:val="ListParagraph"/>
        <w:numPr>
          <w:ilvl w:val="0"/>
          <w:numId w:val="24"/>
        </w:numPr>
      </w:pPr>
      <w:r>
        <w:t>a</w:t>
      </w:r>
      <w:r w:rsidRPr="00030884" w:rsidR="00030884">
        <w:t xml:space="preserve">an het lid Vellinga-Beemsterboer </w:t>
      </w:r>
      <w:r w:rsidR="00FB02AE">
        <w:t xml:space="preserve">om </w:t>
      </w:r>
      <w:r w:rsidRPr="00030884" w:rsidR="00030884">
        <w:t>op korte termijn in overleg te treden met de staatssecretaris van I</w:t>
      </w:r>
      <w:r w:rsidR="00575413">
        <w:t>en</w:t>
      </w:r>
      <w:r w:rsidRPr="00030884" w:rsidR="00030884">
        <w:t>W en de binnenvaartsector over verduurzaming en de Kamer hierover in het eerste kwartaal van 2026 schriftelijk te informeren</w:t>
      </w:r>
      <w:r>
        <w:t>;</w:t>
      </w:r>
    </w:p>
    <w:p w:rsidR="001B2CDE" w:rsidP="001B2CDE" w:rsidRDefault="0080267A" w14:paraId="331980DF" w14:textId="3C45C3EB">
      <w:pPr>
        <w:pStyle w:val="ListParagraph"/>
        <w:numPr>
          <w:ilvl w:val="0"/>
          <w:numId w:val="24"/>
        </w:numPr>
      </w:pPr>
      <w:r>
        <w:t>a</w:t>
      </w:r>
      <w:r w:rsidRPr="001B2CDE" w:rsidR="001B2CDE">
        <w:t xml:space="preserve">an het lid Schutz </w:t>
      </w:r>
      <w:r w:rsidR="00FB02AE">
        <w:t xml:space="preserve">om </w:t>
      </w:r>
      <w:r w:rsidRPr="001B2CDE" w:rsidR="001B2CDE">
        <w:t>het gesprek aan te gaan met de staatssecretaris van LVVN inzake de het nachtelijk snelvaren van en naar Ameland in relatie tot de natuurregelgeving en hierover uiterlijk in het eerste kwartaal van 2026 aan de Kamer te rapporteren</w:t>
      </w:r>
      <w:r>
        <w:t>;</w:t>
      </w:r>
    </w:p>
    <w:p w:rsidRPr="001B2CDE" w:rsidR="001B2CDE" w:rsidP="001B2CDE" w:rsidRDefault="0080267A" w14:paraId="708BFE71" w14:textId="70188F32">
      <w:pPr>
        <w:pStyle w:val="ListParagraph"/>
        <w:numPr>
          <w:ilvl w:val="0"/>
          <w:numId w:val="24"/>
        </w:numPr>
      </w:pPr>
      <w:r>
        <w:t>a</w:t>
      </w:r>
      <w:r w:rsidR="00FB02AE">
        <w:t>an het lid Boelsma-Hoekstra om</w:t>
      </w:r>
      <w:r w:rsidRPr="001B2CDE" w:rsidR="001B2CDE">
        <w:t xml:space="preserve"> uiterlijk in het eerste kwartaal van 2026 schriftelijk terug te komen op de vraag hoe de Nederlandse maritieme autoriteit (N</w:t>
      </w:r>
      <w:r w:rsidR="008C0963">
        <w:t>L</w:t>
      </w:r>
      <w:r w:rsidRPr="001B2CDE" w:rsidR="001B2CDE">
        <w:t>MA) bijdraagt aan het vestigingsklimaat;</w:t>
      </w:r>
    </w:p>
    <w:p w:rsidR="001B2CDE" w:rsidP="008206C6" w:rsidRDefault="0080267A" w14:paraId="5BE7C578" w14:textId="0400D864">
      <w:pPr>
        <w:pStyle w:val="ListParagraph"/>
        <w:numPr>
          <w:ilvl w:val="0"/>
          <w:numId w:val="24"/>
        </w:numPr>
      </w:pPr>
      <w:r>
        <w:t>a</w:t>
      </w:r>
      <w:r w:rsidR="00FB02AE">
        <w:t>an het lid Vellinga-Beemsterboer om</w:t>
      </w:r>
      <w:r w:rsidRPr="001B2CDE" w:rsidR="001B2CDE">
        <w:t xml:space="preserve"> uiterlijk in het eerste kwartaal van 2026 schriftelijk terug </w:t>
      </w:r>
      <w:r w:rsidR="00FB02AE">
        <w:t xml:space="preserve">te komen </w:t>
      </w:r>
      <w:r w:rsidRPr="001B2CDE" w:rsidR="001B2CDE">
        <w:t>op de vraag inzake een nationaal verbod op het lozen van verontreinigd waswater van scrubbers en de mogelijkheden m.b.t. een internationaal verbod via de Internationale Maritieme Organisatie (IMO).</w:t>
      </w:r>
    </w:p>
    <w:p w:rsidR="001B2CDE" w:rsidP="001B2CDE" w:rsidRDefault="001B2CDE" w14:paraId="66EC41AD" w14:textId="77777777"/>
    <w:p w:rsidRPr="00453D02" w:rsidR="003757DA" w:rsidP="001B2CDE" w:rsidRDefault="003757DA" w14:paraId="4BE23874" w14:textId="77777777">
      <w:pPr>
        <w:rPr>
          <w:u w:val="single"/>
        </w:rPr>
      </w:pPr>
      <w:bookmarkStart w:name="_Hlk222992288" w:id="1"/>
      <w:r w:rsidRPr="00453D02">
        <w:rPr>
          <w:u w:val="single"/>
        </w:rPr>
        <w:t>Regeldruk maritieme sector</w:t>
      </w:r>
    </w:p>
    <w:p w:rsidRPr="00453D02" w:rsidR="003757DA" w:rsidP="003757DA" w:rsidRDefault="003757DA" w14:paraId="5AE615FA" w14:textId="26707004">
      <w:r w:rsidRPr="00453D02">
        <w:t xml:space="preserve">Op 5 september 2025 is </w:t>
      </w:r>
      <w:r w:rsidR="00575413">
        <w:t>de Tweede</w:t>
      </w:r>
      <w:r w:rsidRPr="00453D02">
        <w:t xml:space="preserve"> Kamer door de</w:t>
      </w:r>
      <w:r w:rsidR="00575413">
        <w:t xml:space="preserve"> toenmalig</w:t>
      </w:r>
      <w:r w:rsidRPr="00453D02">
        <w:t xml:space="preserve"> Minister van Economische Zaken geïnformeerd over een kabinetsbrede aanpak voor regeldrukvermindering voor ondernemers.</w:t>
      </w:r>
      <w:r w:rsidRPr="00453D02">
        <w:rPr>
          <w:rStyle w:val="FootnoteReference"/>
        </w:rPr>
        <w:footnoteReference w:id="2"/>
      </w:r>
      <w:r w:rsidRPr="00453D02">
        <w:t xml:space="preserve"> Het kabinet begint met het schrappen of verminderen van de regeldruk van 500 regels, hiervan hebben er 75 betrekking op het Ministerie van IenW. Dit sluit aan bij de wijze waarop de afgelopen jaren al is gewerkt aan de modernisering en vereenvoudiging van maritieme wet- en regelgeving (zoals de Wet bemanning zeeschepen en de Schepenwet), die o</w:t>
      </w:r>
      <w:r w:rsidR="00694404">
        <w:t xml:space="preserve">nder </w:t>
      </w:r>
      <w:r w:rsidR="00694404">
        <w:lastRenderedPageBreak/>
        <w:t xml:space="preserve">andere </w:t>
      </w:r>
      <w:r w:rsidRPr="00453D02">
        <w:t xml:space="preserve">tot doel </w:t>
      </w:r>
      <w:r w:rsidR="00694404">
        <w:t xml:space="preserve">heeft </w:t>
      </w:r>
      <w:r w:rsidRPr="00453D02">
        <w:t>regeldruk en administratieve lasten voor het maritieme bedrijfsleven te verminderen.</w:t>
      </w:r>
    </w:p>
    <w:p w:rsidRPr="00453D02" w:rsidR="002B5623" w:rsidP="003757DA" w:rsidRDefault="002B5623" w14:paraId="11E08E2D" w14:textId="77777777">
      <w:pPr>
        <w:rPr>
          <w:u w:val="single"/>
        </w:rPr>
      </w:pPr>
    </w:p>
    <w:p w:rsidR="003757DA" w:rsidP="003757DA" w:rsidRDefault="003757DA" w14:paraId="47E607EA" w14:textId="6A5F5E63">
      <w:r w:rsidRPr="00453D02">
        <w:t xml:space="preserve">Op 15 december 2025 </w:t>
      </w:r>
      <w:r w:rsidR="00575413">
        <w:t>is de Tweede Kamer</w:t>
      </w:r>
      <w:r w:rsidRPr="00453D02">
        <w:t xml:space="preserve"> </w:t>
      </w:r>
      <w:r w:rsidRPr="00453D02" w:rsidR="002B5623">
        <w:t xml:space="preserve">door de </w:t>
      </w:r>
      <w:r w:rsidR="00575413">
        <w:t>toenmalige m</w:t>
      </w:r>
      <w:r w:rsidRPr="00453D02" w:rsidR="002B5623">
        <w:t xml:space="preserve">inister van Economische Zaken </w:t>
      </w:r>
      <w:r w:rsidRPr="00453D02">
        <w:t>geïnformeerd over een tussenstand van het aantal regels dat op dit moment in kaart is gebracht om te schrappen of in administratieve druk te verminderen en waaraan op dit moment wordt gewerkt per departement.</w:t>
      </w:r>
      <w:r w:rsidRPr="00453D02" w:rsidR="002B5623">
        <w:rPr>
          <w:rStyle w:val="FootnoteReference"/>
        </w:rPr>
        <w:footnoteReference w:id="3"/>
      </w:r>
      <w:r w:rsidRPr="00453D02">
        <w:t xml:space="preserve"> De komende maanden wordt hieraan verder gewerkt, waarbij de voortgang wordt weergegeven via de regeldrukmonitor (</w:t>
      </w:r>
      <w:hyperlink w:history="1" r:id="rId9">
        <w:r w:rsidRPr="00453D02">
          <w:rPr>
            <w:rStyle w:val="Hyperlink"/>
            <w:u w:val="none"/>
          </w:rPr>
          <w:t>www.regeldrukmonitor.nl</w:t>
        </w:r>
      </w:hyperlink>
      <w:r w:rsidRPr="00453D02">
        <w:t xml:space="preserve">). In het kader van regeldrukvermindering voor ondernemers wordt </w:t>
      </w:r>
      <w:r w:rsidR="00807B10">
        <w:t>ook</w:t>
      </w:r>
      <w:r w:rsidRPr="00453D02">
        <w:t xml:space="preserve"> een MKB-indicatoronderzoek voor de maritieme sector uitgevoerd. Bij het MKB-indicatoronderzoek wordt helder gemaakt of ondernemers tegen problemen aan lopen en hoeveel het kost om aan die verplichtingen te voldoen. Hiermee ontstaat een compleet beeld van de regeldruk die mkb-ondernemers binnen een sector kunnen ervaren.</w:t>
      </w:r>
      <w:r w:rsidRPr="00453D02" w:rsidR="002B5623">
        <w:t xml:space="preserve"> </w:t>
      </w:r>
      <w:r w:rsidR="00575413">
        <w:t>De Tweede</w:t>
      </w:r>
      <w:r w:rsidRPr="00453D02" w:rsidR="002B5623">
        <w:t xml:space="preserve"> Kamer wordt </w:t>
      </w:r>
      <w:r w:rsidR="005E5B85">
        <w:t>medio</w:t>
      </w:r>
      <w:r w:rsidRPr="00453D02" w:rsidR="002B5623">
        <w:t xml:space="preserve"> 2026 geïnformeerd</w:t>
      </w:r>
      <w:r w:rsidR="00807B10">
        <w:t xml:space="preserve"> door de Minister van Economische Zaken</w:t>
      </w:r>
      <w:r w:rsidR="00575413">
        <w:t xml:space="preserve"> en Klimaat</w:t>
      </w:r>
      <w:r w:rsidRPr="00453D02" w:rsidR="002B5623">
        <w:t xml:space="preserve"> over de voortgang.</w:t>
      </w:r>
    </w:p>
    <w:p w:rsidR="00453D02" w:rsidP="003757DA" w:rsidRDefault="00453D02" w14:paraId="6CBC0325" w14:textId="77777777"/>
    <w:p w:rsidRPr="006815C1" w:rsidR="003757DA" w:rsidP="001B2CDE" w:rsidRDefault="00453D02" w14:paraId="0BC63167" w14:textId="016C9F73">
      <w:r w:rsidRPr="006815C1">
        <w:t>Over de gevolgen van het EU-investeringsplan duurzaam vervoer (</w:t>
      </w:r>
      <w:r w:rsidR="00575413">
        <w:t xml:space="preserve">Sustainable Transport Investment Plan, </w:t>
      </w:r>
      <w:r w:rsidRPr="006815C1">
        <w:t>STIP)</w:t>
      </w:r>
      <w:r w:rsidR="00F323C7">
        <w:t xml:space="preserve">, </w:t>
      </w:r>
      <w:r w:rsidR="0080267A">
        <w:t xml:space="preserve">genoteerd </w:t>
      </w:r>
      <w:r w:rsidR="00F323C7">
        <w:t>onder dezelfde toezegging,</w:t>
      </w:r>
      <w:r w:rsidRPr="006815C1">
        <w:t xml:space="preserve"> </w:t>
      </w:r>
      <w:r w:rsidR="00575413">
        <w:t>wordt de Kamer in</w:t>
      </w:r>
      <w:r w:rsidR="00811BAB">
        <w:t xml:space="preserve"> het derde kwartaal van 2026</w:t>
      </w:r>
      <w:r w:rsidRPr="006815C1">
        <w:t xml:space="preserve"> apart </w:t>
      </w:r>
      <w:r w:rsidR="00575413">
        <w:t>ge</w:t>
      </w:r>
      <w:r w:rsidRPr="006815C1" w:rsidR="00575413">
        <w:t>ïnforme</w:t>
      </w:r>
      <w:r w:rsidR="00575413">
        <w:t>e</w:t>
      </w:r>
      <w:r w:rsidRPr="006815C1" w:rsidR="00575413">
        <w:t>r</w:t>
      </w:r>
      <w:r w:rsidR="00575413">
        <w:t>d</w:t>
      </w:r>
      <w:r w:rsidRPr="006815C1">
        <w:t>.</w:t>
      </w:r>
      <w:r w:rsidR="00575413">
        <w:t xml:space="preserve"> </w:t>
      </w:r>
    </w:p>
    <w:p w:rsidR="003757DA" w:rsidP="001B2CDE" w:rsidRDefault="003757DA" w14:paraId="6608B9B7" w14:textId="77777777">
      <w:pPr>
        <w:rPr>
          <w:u w:val="single"/>
        </w:rPr>
      </w:pPr>
    </w:p>
    <w:bookmarkEnd w:id="1"/>
    <w:p w:rsidRPr="00FB02AE" w:rsidR="00FB02AE" w:rsidP="00FB02AE" w:rsidRDefault="00FB02AE" w14:paraId="4FE1B6A1" w14:textId="77777777">
      <w:pPr>
        <w:rPr>
          <w:u w:val="single"/>
        </w:rPr>
      </w:pPr>
      <w:r w:rsidRPr="00FB02AE">
        <w:rPr>
          <w:u w:val="single"/>
        </w:rPr>
        <w:t>Verduurzaming binnenvaart</w:t>
      </w:r>
    </w:p>
    <w:p w:rsidR="00FB02AE" w:rsidP="00FB02AE" w:rsidRDefault="00FB02AE" w14:paraId="2128284A" w14:textId="08ADFFCB">
      <w:r w:rsidRPr="00FB02AE">
        <w:t>Koninklijke Binnenvaart Nederland</w:t>
      </w:r>
      <w:r w:rsidR="00575413">
        <w:t xml:space="preserve"> (KBN)</w:t>
      </w:r>
      <w:r w:rsidRPr="00FB02AE">
        <w:t xml:space="preserve"> heeft aandacht gevraagd voor </w:t>
      </w:r>
      <w:r w:rsidR="008C0963">
        <w:t>de</w:t>
      </w:r>
      <w:r w:rsidRPr="00FB02AE">
        <w:t xml:space="preserve"> gevolgen van </w:t>
      </w:r>
      <w:r w:rsidR="008C0963">
        <w:t>de</w:t>
      </w:r>
      <w:r w:rsidRPr="00FB02AE">
        <w:t xml:space="preserve"> stijging van de HVO-prijzen op koplopers in</w:t>
      </w:r>
      <w:r w:rsidR="00286EC6">
        <w:t xml:space="preserve"> de energietransitie in</w:t>
      </w:r>
      <w:r w:rsidRPr="00FB02AE">
        <w:t xml:space="preserve"> de binnenvaart. Sinds 1 januari is kruissubsidiëring afgeschaft, waardoor weggebruikers niet langer betalen voor de inzet van hernieuwbare energie in de binnenvaartsector, maar de binnenvaartsector zelf. Met de invoering van de Brandstoftransitieverplichting zal de sector vanaf 2026 stapsgewijs meer CO2 reduceren richting 2030. </w:t>
      </w:r>
      <w:r w:rsidR="00575413">
        <w:t>IenW gaat in gesprek met</w:t>
      </w:r>
      <w:r w:rsidRPr="00FB02AE">
        <w:t xml:space="preserve"> KBN om te kijken naar het handelingsperspectief van </w:t>
      </w:r>
      <w:r w:rsidR="008C0963">
        <w:t xml:space="preserve">deze </w:t>
      </w:r>
      <w:r w:rsidRPr="00FB02AE">
        <w:t>koplopers.</w:t>
      </w:r>
    </w:p>
    <w:p w:rsidR="00402554" w:rsidP="00FB02AE" w:rsidRDefault="00402554" w14:paraId="0358BA2D" w14:textId="77777777"/>
    <w:p w:rsidR="00DE1D7E" w:rsidP="001B2CDE" w:rsidRDefault="001234BE" w14:paraId="13F4557D" w14:textId="75DC4A04">
      <w:r w:rsidRPr="001234BE">
        <w:t xml:space="preserve">Ook zal er vanaf dit jaar aanvullende financiële steun zijn voor binnenvaartondernemers om hun schip te verduurzamen. De Tweede Kamer is daar met verschillende brieven over het Klimaatfonds over geïnformeerd. Naar verwachting zal de tijdelijke subsidieregeling Vroege Opschaling Energietransitie Binnenvaartschepen (2026-2030) in het najaar van 2026 worden opengesteld. Hiervoor </w:t>
      </w:r>
      <w:r w:rsidR="00575413">
        <w:t>is reeds</w:t>
      </w:r>
      <w:r w:rsidRPr="001234BE">
        <w:t xml:space="preserve"> circa €</w:t>
      </w:r>
      <w:r w:rsidR="0080267A">
        <w:t xml:space="preserve"> </w:t>
      </w:r>
      <w:r w:rsidRPr="001234BE">
        <w:t xml:space="preserve">200 miljoen gereserveerd vanuit het Klimaatfonds. </w:t>
      </w:r>
      <w:r w:rsidR="00575413">
        <w:t>Daarnaast</w:t>
      </w:r>
      <w:r w:rsidRPr="001234BE">
        <w:t xml:space="preserve"> is er vanuit de structurele stikstofaanpak (Kabinet Rutte III) nog circa €</w:t>
      </w:r>
      <w:r w:rsidR="0080267A">
        <w:t xml:space="preserve"> </w:t>
      </w:r>
      <w:r w:rsidRPr="001234BE">
        <w:t>30 miljoen aan stikstofmiddelen beschikbaar, bedoeld voor verduurzaming van binnenvaartschepen in de jaren 2026-2030. Aangezien de binnenvaartsector zowel emissies van broeikasgas als van stikstof moet reduceren worden deze middelen gezamenlijk ingezet in deze integrale verduurzamingsregeling. Met de stikstofmiddelen wordt, mede op verzoek van de sector, binnen deze regeling een eerste stap gezet om ook hybride aandrijflijnen voor kleine schepen te stimuleren.</w:t>
      </w:r>
    </w:p>
    <w:p w:rsidR="001234BE" w:rsidP="001B2CDE" w:rsidRDefault="001234BE" w14:paraId="3F8766E8" w14:textId="77777777">
      <w:pPr>
        <w:rPr>
          <w:u w:val="single"/>
        </w:rPr>
      </w:pPr>
    </w:p>
    <w:p w:rsidR="001B2CDE" w:rsidP="0059597E" w:rsidRDefault="001B2CDE" w14:paraId="22AE25B2" w14:textId="4D18D5FF">
      <w:pPr>
        <w:spacing w:line="240" w:lineRule="auto"/>
        <w:rPr>
          <w:u w:val="single"/>
        </w:rPr>
      </w:pPr>
      <w:r>
        <w:rPr>
          <w:u w:val="single"/>
        </w:rPr>
        <w:t>Snelvaren van en naar Ameland in relatie tot de natuurregelgeving</w:t>
      </w:r>
    </w:p>
    <w:p w:rsidR="00263B8B" w:rsidP="00263B8B" w:rsidRDefault="00263B8B" w14:paraId="05AC2B1C" w14:textId="41C3C4D0">
      <w:r w:rsidRPr="00263B8B">
        <w:t>Op 6 februari he</w:t>
      </w:r>
      <w:r>
        <w:t xml:space="preserve">eft een gesprek plaatsgevonden tussen de minister van Infrastructuur en Waterstaat en de </w:t>
      </w:r>
      <w:r w:rsidRPr="00263B8B">
        <w:t>staatssecretaris van L</w:t>
      </w:r>
      <w:r>
        <w:t>andbouw, Visserij, Voedselzekerheid en Natuur</w:t>
      </w:r>
      <w:r w:rsidRPr="00263B8B">
        <w:t xml:space="preserve"> </w:t>
      </w:r>
      <w:r>
        <w:t xml:space="preserve">(LVVN) </w:t>
      </w:r>
      <w:r w:rsidRPr="00263B8B">
        <w:t>over de watertaxi’s in de vaargeulen op de Waddenzee</w:t>
      </w:r>
      <w:r w:rsidR="0023767D">
        <w:t xml:space="preserve">. Daarbij is gesproken </w:t>
      </w:r>
      <w:r w:rsidRPr="00263B8B">
        <w:t xml:space="preserve">over wat er vanuit de natuurkwaliteit nodig is om de door MARIN geadviseerde snelheidsverhoging naar 40 km/u te realiseren. </w:t>
      </w:r>
    </w:p>
    <w:p w:rsidR="00263B8B" w:rsidP="00263B8B" w:rsidRDefault="00263B8B" w14:paraId="18EB7231" w14:textId="77777777"/>
    <w:p w:rsidR="00263B8B" w:rsidP="00263B8B" w:rsidRDefault="00263B8B" w14:paraId="12755342" w14:textId="31C6C886">
      <w:r w:rsidRPr="00263B8B">
        <w:t xml:space="preserve">Tussen beide ministeries is afgesproken dat IenW een ecologische beoordeling laat opstellen waaruit moet blijken of de snelheid van 40 km/u significant negatieve effecten heeft op de N2000 instandhoudingsdoelstellingen van de Waddenzee. </w:t>
      </w:r>
      <w:r w:rsidR="0023767D">
        <w:t>Deze beoordeling wordt in de zomer verwacht. De watertaxiondernemers zijn bekend met dit tijdpad. V</w:t>
      </w:r>
      <w:r w:rsidRPr="00263B8B">
        <w:t xml:space="preserve">oor het mogelijk maken van de snelheidsverhoging </w:t>
      </w:r>
      <w:r w:rsidR="0023767D">
        <w:t xml:space="preserve">moet </w:t>
      </w:r>
      <w:r w:rsidRPr="00263B8B">
        <w:t>de IenW regelgeving</w:t>
      </w:r>
      <w:r w:rsidR="0023767D">
        <w:t xml:space="preserve"> worden</w:t>
      </w:r>
      <w:r w:rsidRPr="00263B8B">
        <w:t xml:space="preserve"> aan</w:t>
      </w:r>
      <w:r w:rsidR="0023767D">
        <w:t>ge</w:t>
      </w:r>
      <w:r w:rsidRPr="00263B8B">
        <w:t>pas</w:t>
      </w:r>
      <w:r w:rsidR="0023767D">
        <w:t>t</w:t>
      </w:r>
      <w:r w:rsidR="008C0963">
        <w:t xml:space="preserve">. Dit betreft </w:t>
      </w:r>
      <w:r w:rsidRPr="00263B8B">
        <w:t xml:space="preserve">de Regeling snelle motorboten Rijkswateren 1995. </w:t>
      </w:r>
    </w:p>
    <w:p w:rsidR="00263B8B" w:rsidP="00263B8B" w:rsidRDefault="00263B8B" w14:paraId="3EE83A6D" w14:textId="543D64D6">
      <w:r w:rsidRPr="00263B8B">
        <w:t xml:space="preserve">Door deze werkwijze </w:t>
      </w:r>
      <w:r w:rsidR="0080267A">
        <w:t xml:space="preserve">worden </w:t>
      </w:r>
      <w:r w:rsidR="00C46620">
        <w:t>veel</w:t>
      </w:r>
      <w:r w:rsidRPr="00263B8B">
        <w:t xml:space="preserve"> administratieve en financiële lasten weg</w:t>
      </w:r>
      <w:r w:rsidR="0080267A">
        <w:t>gehaald</w:t>
      </w:r>
      <w:r w:rsidRPr="00263B8B">
        <w:t xml:space="preserve"> bij de betreffende ondernemers. Zij hoeven een kostbare passende beoordeling</w:t>
      </w:r>
      <w:r w:rsidR="00C46620">
        <w:t xml:space="preserve">, </w:t>
      </w:r>
      <w:r w:rsidR="0080267A">
        <w:t xml:space="preserve">die </w:t>
      </w:r>
      <w:r w:rsidR="00C46620">
        <w:t>als een obstakel wordt ervaren,</w:t>
      </w:r>
      <w:r w:rsidRPr="00263B8B">
        <w:t xml:space="preserve"> niet zelf te laten uitvoeren en </w:t>
      </w:r>
      <w:r w:rsidR="00C46620">
        <w:t xml:space="preserve">te </w:t>
      </w:r>
      <w:r w:rsidRPr="00263B8B">
        <w:t xml:space="preserve">betalen. </w:t>
      </w:r>
    </w:p>
    <w:p w:rsidR="00263B8B" w:rsidP="00263B8B" w:rsidRDefault="00263B8B" w14:paraId="646F332A" w14:textId="77777777"/>
    <w:p w:rsidR="001B2CDE" w:rsidP="001B2CDE" w:rsidRDefault="0023767D" w14:paraId="3A4705BF" w14:textId="380708CC">
      <w:pPr>
        <w:rPr>
          <w:u w:val="single"/>
        </w:rPr>
      </w:pPr>
      <w:bookmarkStart w:name="_Hlk224294737" w:id="2"/>
      <w:r>
        <w:t xml:space="preserve">Het ministerie van </w:t>
      </w:r>
      <w:r w:rsidRPr="00CB09D6">
        <w:t xml:space="preserve">LVVN is actief betrokken en heeft aangegeven medewerking te verlenen vanuit </w:t>
      </w:r>
      <w:r>
        <w:t>zijn</w:t>
      </w:r>
      <w:r w:rsidRPr="00CB09D6">
        <w:t xml:space="preserve"> expertise</w:t>
      </w:r>
      <w:r>
        <w:t xml:space="preserve">. Indien uit de ecologische beoordeling onverhoopt blijkt dat de voorgenomen snelheidsverhoging significant negatieve effecten heeft voor de natuur en generieke mitigerende maatregelen niet voldoende zijn, dan kunnen er locatie specifieke voorwaarden worden gesteld aan het nachtelijk snelvaren. Zo kunnen bepaalde kwetsbare trajecten worden uitgezonderd van het nachtelijk snelvaren of kan de snelheid worden verlaagd. Op deze manier kan in een worstcasescenario alsnog enig nachtelijk snelvaren plaatsvinden. </w:t>
      </w:r>
      <w:bookmarkEnd w:id="2"/>
    </w:p>
    <w:p w:rsidR="0023767D" w:rsidP="001B2CDE" w:rsidRDefault="0023767D" w14:paraId="1069C1DA" w14:textId="77777777">
      <w:pPr>
        <w:rPr>
          <w:u w:val="single"/>
        </w:rPr>
      </w:pPr>
    </w:p>
    <w:p w:rsidR="001B2CDE" w:rsidP="001B2CDE" w:rsidRDefault="001B2CDE" w14:paraId="2DEF9A1C" w14:textId="75531C18">
      <w:pPr>
        <w:rPr>
          <w:u w:val="single"/>
        </w:rPr>
      </w:pPr>
      <w:r w:rsidRPr="001B2CDE">
        <w:rPr>
          <w:u w:val="single"/>
        </w:rPr>
        <w:t>Bijdrage Nederlandse Maritieme Autoriteit aan het vestigingsklimaat</w:t>
      </w:r>
    </w:p>
    <w:p w:rsidR="001B2CDE" w:rsidP="001B2CDE" w:rsidRDefault="001B2CDE" w14:paraId="30AFBC2D" w14:textId="285984E9">
      <w:r w:rsidRPr="001B2CDE">
        <w:t xml:space="preserve">Het vestigingsklimaat voor de maritieme sector in Nederland staat onder druk als gevolg van internationale concurrentie, een krappe arbeidsmarkt en grote transitieopgaven op het gebied van </w:t>
      </w:r>
      <w:r w:rsidR="00047AF6">
        <w:t>bijvoorbeeld</w:t>
      </w:r>
      <w:r w:rsidRPr="001B2CDE">
        <w:t xml:space="preserve"> verduurzaming</w:t>
      </w:r>
      <w:r w:rsidR="00047AF6">
        <w:t xml:space="preserve"> en autonoom varen</w:t>
      </w:r>
      <w:r w:rsidRPr="001B2CDE">
        <w:t xml:space="preserve">. Om </w:t>
      </w:r>
      <w:r w:rsidR="0023767D">
        <w:t>het vestigingsklimaat</w:t>
      </w:r>
      <w:r w:rsidRPr="001B2CDE">
        <w:t xml:space="preserve"> te versterken</w:t>
      </w:r>
      <w:r w:rsidR="0023767D">
        <w:t>,</w:t>
      </w:r>
      <w:r w:rsidRPr="001B2CDE">
        <w:t xml:space="preserve"> geven overheid en maritieme sector gezamenlijk opvolging aan de Sectoragenda Maritieme Maakindustrie (SAMMI). </w:t>
      </w:r>
      <w:r w:rsidR="0023767D">
        <w:t>De k</w:t>
      </w:r>
      <w:r w:rsidRPr="001B2CDE">
        <w:t xml:space="preserve">ern van deze aanpak is dat geïnvesteerd moet worden in de kwaliteit van de totale maritieme keten. Onderdeel daarvan is dat Nederland beschikt over een aantrekkelijk vlagregister, en daarmee over een substantieel aantal schepen dat onder Nederlandse vlag wil varen. </w:t>
      </w:r>
    </w:p>
    <w:p w:rsidRPr="001B2CDE" w:rsidR="001B2CDE" w:rsidP="001B2CDE" w:rsidRDefault="001B2CDE" w14:paraId="283352DE" w14:textId="77777777"/>
    <w:p w:rsidR="001B2CDE" w:rsidP="001B2CDE" w:rsidRDefault="001B2CDE" w14:paraId="60D2DAE5" w14:textId="2C964FDE">
      <w:r w:rsidRPr="001B2CDE">
        <w:t>Om reders te bewegen onder Nederlandse vlag te komen (of te blijven) varen is per 2024 jaarlijks € 1,3 mln. extra vrijgemaakt voor de oprichting van de Nederlandse Maritieme Autoriteit (NLMA). De NLMA functioneert als een eenduidig aanspreekpunt voor reders, en voorziet blijkens de eerstejaarsevaluatie in een duidelijke behoefte. De NLMA versterkt de aantrekkelijkheid van de Nederlandse vlag en draagt daarmee bij aan de kwaliteit van het maritiem vestigingsklimaat</w:t>
      </w:r>
      <w:r w:rsidR="008C0963">
        <w:t xml:space="preserve">, </w:t>
      </w:r>
      <w:r w:rsidRPr="001B2CDE">
        <w:t>door o</w:t>
      </w:r>
      <w:r w:rsidR="00694404">
        <w:t xml:space="preserve">nder andere </w:t>
      </w:r>
      <w:r w:rsidRPr="001B2CDE">
        <w:t xml:space="preserve">het moderniseren van wet- en regelgeving om ruimte te maken voor innovatie en administratieve lasten te verminderen. Ook is inmiddels een innovatieloket ingericht, waarbij complexe aanvragen en innovatieve projecten vanuit de sector (zoals nucleaire schepen) beter gefaciliteerd kunnen worden. </w:t>
      </w:r>
      <w:r w:rsidR="0023767D">
        <w:t>Daarnaast zorgt de</w:t>
      </w:r>
      <w:r w:rsidRPr="001B2CDE">
        <w:t xml:space="preserve"> NLMA ervoor dat de dienstverlening op een internationaal concurrerend niveau wordt gehouden, door bijvoorbeeld het verkorten van doorlooptijden bij de afgifte van certificaten en door verdere digitalisering.</w:t>
      </w:r>
    </w:p>
    <w:p w:rsidRPr="001B2CDE" w:rsidR="001B2CDE" w:rsidP="001B2CDE" w:rsidRDefault="001B2CDE" w14:paraId="7155A12E" w14:textId="77777777"/>
    <w:p w:rsidR="0023767D" w:rsidRDefault="0023767D" w14:paraId="028092C5" w14:textId="77777777">
      <w:pPr>
        <w:spacing w:line="240" w:lineRule="auto"/>
      </w:pPr>
      <w:r>
        <w:br w:type="page"/>
      </w:r>
    </w:p>
    <w:p w:rsidRPr="001B2CDE" w:rsidR="001B2CDE" w:rsidP="001B2CDE" w:rsidRDefault="001B2CDE" w14:paraId="14246726" w14:textId="6AF2DFCC">
      <w:r w:rsidRPr="001B2CDE">
        <w:t>De Nederlandse vlag staat internationaal bekend als een kwaliteitsvlag. Er zijn andere vlaggen in de wereld die een gunstiger kostenstructuur hebben, maar Nederland kan zich onderscheiden op o</w:t>
      </w:r>
      <w:r w:rsidR="00694404">
        <w:t xml:space="preserve">nder andere </w:t>
      </w:r>
      <w:r w:rsidRPr="001B2CDE">
        <w:t>de hoge kwaliteitsstandaarden, innovatieve scheepsbouwontwerpen (bijv</w:t>
      </w:r>
      <w:r w:rsidR="00694404">
        <w:t>oorbeeld</w:t>
      </w:r>
      <w:r w:rsidRPr="001B2CDE">
        <w:t xml:space="preserve"> offshore werkschepen), een goede naleving van internationale verplichtingen en een actieve vlaggenstaat die ook in moeilijke omstandigheden (bijv. tijdens de COVID-pandemie) steun verleent.</w:t>
      </w:r>
    </w:p>
    <w:p w:rsidRPr="001B2CDE" w:rsidR="001B2CDE" w:rsidP="001B2CDE" w:rsidRDefault="001B2CDE" w14:paraId="305DD610" w14:textId="77777777">
      <w:pPr>
        <w:rPr>
          <w:u w:val="single"/>
        </w:rPr>
      </w:pPr>
    </w:p>
    <w:p w:rsidR="00AE4723" w:rsidRDefault="001B2CDE" w14:paraId="582F33E9" w14:textId="36A8B648">
      <w:pPr>
        <w:pStyle w:val="WitregelW1bodytekst"/>
        <w:rPr>
          <w:u w:val="single"/>
        </w:rPr>
      </w:pPr>
      <w:r>
        <w:rPr>
          <w:u w:val="single"/>
        </w:rPr>
        <w:t>N</w:t>
      </w:r>
      <w:r w:rsidRPr="001B2CDE">
        <w:rPr>
          <w:u w:val="single"/>
        </w:rPr>
        <w:t>ationaal verbod op het lozen van verontreinigd waswater van scrubbers en de mogelijkheden m</w:t>
      </w:r>
      <w:r w:rsidR="00694404">
        <w:rPr>
          <w:u w:val="single"/>
        </w:rPr>
        <w:t>et betrekking tot</w:t>
      </w:r>
      <w:r w:rsidRPr="001B2CDE">
        <w:rPr>
          <w:u w:val="single"/>
        </w:rPr>
        <w:t xml:space="preserve"> een internationaal verbod via de Internationale Maritieme Organisatie (IMO).  </w:t>
      </w:r>
    </w:p>
    <w:p w:rsidR="001B2CDE" w:rsidP="001B2CDE" w:rsidRDefault="001B2CDE" w14:paraId="0D934ACA" w14:textId="3A2E5109">
      <w:r w:rsidRPr="001B2CDE">
        <w:t xml:space="preserve">Nederland zet zich, </w:t>
      </w:r>
      <w:bookmarkStart w:name="_Hlk223001015" w:id="3"/>
      <w:r w:rsidRPr="001B2CDE">
        <w:t xml:space="preserve">samen met andere </w:t>
      </w:r>
      <w:r w:rsidRPr="001B2CDE" w:rsidR="0023767D">
        <w:t>EU-landen</w:t>
      </w:r>
      <w:r w:rsidRPr="001B2CDE">
        <w:t xml:space="preserve">, in voor bindende maatregelen via IMO voor het lozen door schepen met zwavelscrubbers </w:t>
      </w:r>
      <w:bookmarkEnd w:id="3"/>
      <w:r w:rsidRPr="001B2CDE">
        <w:t xml:space="preserve">(hierna: scrubbers) </w:t>
      </w:r>
      <w:r w:rsidR="008A40E1">
        <w:t>aan</w:t>
      </w:r>
      <w:r w:rsidRPr="001B2CDE">
        <w:t xml:space="preserve">gezien maatregelen van IMO het meest effectief zijn voor de internationale zeevaart. Daartoe heeft Nederland recent, samen met </w:t>
      </w:r>
      <w:r w:rsidRPr="001B2CDE" w:rsidR="008A40E1">
        <w:t>EU-landen</w:t>
      </w:r>
      <w:r w:rsidRPr="001B2CDE">
        <w:t>, een voorstel ingediend bij de IMO voor aanvullende lozingsrestricties voor scrubberwaswaterlozingen in kwetsbare zeegebieden, de zogenoemde Particularly Sensitive Sea Areas</w:t>
      </w:r>
      <w:r w:rsidRPr="001B2CDE">
        <w:rPr>
          <w:vertAlign w:val="superscript"/>
        </w:rPr>
        <w:footnoteReference w:id="4"/>
      </w:r>
      <w:r w:rsidRPr="001B2CDE">
        <w:t xml:space="preserve">. Voor een besluit hierover is consensus nodig en hier is beperkt draagvlak voor gebleken. Verscheidene non-EU landen verzetten zich in het algemeen tegen lozingsrestricties voor scrubbers en daarmee ook tegen het </w:t>
      </w:r>
      <w:r w:rsidRPr="001B2CDE" w:rsidR="008A40E1">
        <w:t>EU-voorstel</w:t>
      </w:r>
      <w:r w:rsidRPr="001B2CDE">
        <w:t>. Zij zijn onder andere van mening dat de negatieve milieu impact van scrubberwaswaterlozingen nog niet voldoende is aangetoond om lozingsrestricties te rechtvaardigen. Hoewel er verschillen van inzicht bestaan over de mate waarin de lozingen van waswater bijdragen aan de totale vervuiling van het mariene milieu, staat het volgens Nederland vast dat dit type lozingen niet bijdr</w:t>
      </w:r>
      <w:r w:rsidR="005B173D">
        <w:t>aagt</w:t>
      </w:r>
      <w:r w:rsidRPr="001B2CDE">
        <w:t xml:space="preserve"> aan het behalen van een goede milieutoestand van onze nationale wateren, zoals ook gecommuniceerd in eerdere Kamerbrieven over dit onderwerp</w:t>
      </w:r>
      <w:r w:rsidRPr="001B2CDE">
        <w:rPr>
          <w:vertAlign w:val="superscript"/>
        </w:rPr>
        <w:footnoteReference w:id="5"/>
      </w:r>
      <w:r w:rsidRPr="001B2CDE">
        <w:t xml:space="preserve">.   </w:t>
      </w:r>
    </w:p>
    <w:p w:rsidRPr="001B2CDE" w:rsidR="001B2CDE" w:rsidP="001B2CDE" w:rsidRDefault="001B2CDE" w14:paraId="0FD636B6" w14:textId="77777777"/>
    <w:p w:rsidRPr="001B2CDE" w:rsidR="001B2CDE" w:rsidP="001B2CDE" w:rsidRDefault="001B2CDE" w14:paraId="66A8D816" w14:textId="652A2EC8">
      <w:bookmarkStart w:name="_Hlk223001406" w:id="4"/>
      <w:r w:rsidRPr="001B2CDE">
        <w:t>Gezien het beperkte draagvlak in IMO voor lozingsrestricties, heeft Nederland besloten een verbod op scrubberwaswaterlozingen voor te bereiden in de Nederlandse binnenwateren en havens</w:t>
      </w:r>
      <w:bookmarkEnd w:id="4"/>
      <w:r w:rsidRPr="001B2CDE">
        <w:rPr>
          <w:vertAlign w:val="superscript"/>
        </w:rPr>
        <w:footnoteReference w:id="6"/>
      </w:r>
      <w:r w:rsidRPr="001B2CDE">
        <w:t>. Tevens heeft Nederland zich in regionaal (OSPAR</w:t>
      </w:r>
      <w:r w:rsidRPr="001B2CDE">
        <w:rPr>
          <w:vertAlign w:val="superscript"/>
        </w:rPr>
        <w:footnoteReference w:id="7"/>
      </w:r>
      <w:r w:rsidRPr="001B2CDE">
        <w:t xml:space="preserve">) verband ingezet om te komen tot een geharmoniseerde aanpak in het noordoostelijk deel van de Atlantische Oceaan. Op 27 juni jl. heeft dit geleid tot het besluit dat alle landen in het </w:t>
      </w:r>
      <w:r w:rsidRPr="001B2CDE" w:rsidR="008A40E1">
        <w:t>OSPAR-gebied</w:t>
      </w:r>
      <w:r w:rsidRPr="001B2CDE">
        <w:rPr>
          <w:vertAlign w:val="superscript"/>
        </w:rPr>
        <w:footnoteReference w:id="8"/>
      </w:r>
      <w:r w:rsidRPr="001B2CDE">
        <w:t xml:space="preserve"> een lozingsverbod zullen gaan implementeren in havens en binnenwateren. Tevens wordt in OSPAR</w:t>
      </w:r>
      <w:r w:rsidR="008A40E1">
        <w:t>-</w:t>
      </w:r>
      <w:r w:rsidRPr="001B2CDE">
        <w:t>verband onderzoek gedaan om te beoordelen of het OSPAR</w:t>
      </w:r>
      <w:r w:rsidR="008A40E1">
        <w:t>-</w:t>
      </w:r>
      <w:r w:rsidRPr="001B2CDE">
        <w:t>verbod voor binnenwateren en havens zal worden uitgebreid naar de 12 nautische mijlszone. Hierover wordt in 2027 een definitief besluit genomen. Een internationaal geharmoniseerde aanpak is van belang voor een internationaal opererende sector als de zeevaart.</w:t>
      </w:r>
    </w:p>
    <w:p w:rsidR="001B2CDE" w:rsidP="001B2CDE" w:rsidRDefault="001B2CDE" w14:paraId="49C6D032" w14:textId="77777777"/>
    <w:p w:rsidR="0023767D" w:rsidRDefault="0023767D" w14:paraId="56C8A871" w14:textId="77777777">
      <w:pPr>
        <w:spacing w:line="240" w:lineRule="auto"/>
      </w:pPr>
      <w:bookmarkStart w:name="_Hlk223001433" w:id="5"/>
      <w:r>
        <w:br w:type="page"/>
      </w:r>
    </w:p>
    <w:p w:rsidRPr="001B2CDE" w:rsidR="001B2CDE" w:rsidP="004136EA" w:rsidRDefault="001B2CDE" w14:paraId="6473A9DD" w14:textId="1DE78AE8">
      <w:pPr>
        <w:spacing w:line="240" w:lineRule="auto"/>
      </w:pPr>
      <w:r w:rsidRPr="001B2CDE">
        <w:t>Momenteel wordt uitgezocht hoe het nationale verbod het beste kan worden ingebed in de Nederlandse wetgeving. De verdere details van een verbod zullen in de loop van dit jaar worden ingevuld, in bespreking met de sector. Dan zal er voor de sector ook meer duidelijkheid komen.</w:t>
      </w:r>
    </w:p>
    <w:bookmarkEnd w:id="5"/>
    <w:p w:rsidR="00AE4723" w:rsidRDefault="005B173D" w14:paraId="25E768EF" w14:textId="77777777">
      <w:pPr>
        <w:pStyle w:val="Slotzin"/>
      </w:pPr>
      <w:r>
        <w:t>Hoogachtend,</w:t>
      </w:r>
    </w:p>
    <w:p w:rsidR="00AE4723" w:rsidRDefault="005B173D" w14:paraId="39B152E5" w14:textId="77777777">
      <w:pPr>
        <w:pStyle w:val="OndertekeningArea1"/>
      </w:pPr>
      <w:r>
        <w:t>DE MINISTER VAN INFRASTRUCTUUR EN WATERSTAAT,</w:t>
      </w:r>
    </w:p>
    <w:p w:rsidR="00AE4723" w:rsidRDefault="00AE4723" w14:paraId="62C5EC43" w14:textId="77777777"/>
    <w:p w:rsidR="00F323C7" w:rsidRDefault="00F323C7" w14:paraId="5E146168" w14:textId="77777777"/>
    <w:p w:rsidR="00F323C7" w:rsidRDefault="00F323C7" w14:paraId="77B8089A" w14:textId="77777777"/>
    <w:p w:rsidR="00F323C7" w:rsidRDefault="00F323C7" w14:paraId="23E2F9B7" w14:textId="77777777"/>
    <w:p w:rsidR="00AE4723" w:rsidP="008C0963" w:rsidRDefault="00F323C7" w14:paraId="2B45195C" w14:textId="0771DA51">
      <w:r>
        <w:t>Vincent Karreman</w:t>
      </w:r>
      <w:r w:rsidR="008C0963">
        <w:t>s</w:t>
      </w:r>
    </w:p>
    <w:sectPr w:rsidR="00AE4723">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5CED72" w14:textId="77777777" w:rsidR="00BB7F73" w:rsidRDefault="00BB7F73">
      <w:pPr>
        <w:spacing w:line="240" w:lineRule="auto"/>
      </w:pPr>
      <w:r>
        <w:separator/>
      </w:r>
    </w:p>
  </w:endnote>
  <w:endnote w:type="continuationSeparator" w:id="0">
    <w:p w14:paraId="4CE7C1C7" w14:textId="77777777" w:rsidR="00BB7F73" w:rsidRDefault="00BB7F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1AC35" w14:textId="77777777" w:rsidR="009806FC" w:rsidRDefault="009806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CA137" w14:textId="77777777" w:rsidR="009806FC" w:rsidRDefault="009806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A3EB3" w14:textId="77777777" w:rsidR="009806FC" w:rsidRDefault="009806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D7C90E" w14:textId="77777777" w:rsidR="00BB7F73" w:rsidRDefault="00BB7F73">
      <w:pPr>
        <w:spacing w:line="240" w:lineRule="auto"/>
      </w:pPr>
      <w:r>
        <w:separator/>
      </w:r>
    </w:p>
  </w:footnote>
  <w:footnote w:type="continuationSeparator" w:id="0">
    <w:p w14:paraId="5A989990" w14:textId="77777777" w:rsidR="00BB7F73" w:rsidRDefault="00BB7F73">
      <w:pPr>
        <w:spacing w:line="240" w:lineRule="auto"/>
      </w:pPr>
      <w:r>
        <w:continuationSeparator/>
      </w:r>
    </w:p>
  </w:footnote>
  <w:footnote w:id="1">
    <w:p w14:paraId="2100D005" w14:textId="795134AE" w:rsidR="00BF6F17" w:rsidRPr="00614F74" w:rsidRDefault="00BF6F17" w:rsidP="00BF6F17">
      <w:pPr>
        <w:pStyle w:val="FootnoteText"/>
        <w:rPr>
          <w:sz w:val="14"/>
          <w:szCs w:val="14"/>
          <w:lang w:val="de-DE"/>
        </w:rPr>
      </w:pPr>
      <w:r w:rsidRPr="00614F74">
        <w:rPr>
          <w:rStyle w:val="FootnoteReference"/>
          <w:sz w:val="14"/>
          <w:szCs w:val="14"/>
        </w:rPr>
        <w:footnoteRef/>
      </w:r>
      <w:r w:rsidRPr="00614F74">
        <w:rPr>
          <w:sz w:val="14"/>
          <w:szCs w:val="14"/>
          <w:lang w:val="de-DE"/>
        </w:rPr>
        <w:t xml:space="preserve"> TZ202601-106; TZ202601-108; TZ202601-110; TZ202601-112; TZ202601-113; </w:t>
      </w:r>
    </w:p>
  </w:footnote>
  <w:footnote w:id="2">
    <w:p w14:paraId="0A16E25A" w14:textId="2F2910A5" w:rsidR="003757DA" w:rsidRPr="00811BAB" w:rsidRDefault="003757DA">
      <w:pPr>
        <w:pStyle w:val="FootnoteText"/>
        <w:rPr>
          <w:sz w:val="16"/>
          <w:szCs w:val="16"/>
          <w:lang w:val="nl-NL"/>
        </w:rPr>
      </w:pPr>
      <w:r w:rsidRPr="00614F74">
        <w:rPr>
          <w:rStyle w:val="FootnoteReference"/>
          <w:sz w:val="14"/>
          <w:szCs w:val="14"/>
        </w:rPr>
        <w:footnoteRef/>
      </w:r>
      <w:r w:rsidRPr="00614F74">
        <w:rPr>
          <w:sz w:val="14"/>
          <w:szCs w:val="14"/>
          <w:lang w:val="nl-NL"/>
        </w:rPr>
        <w:t xml:space="preserve"> Kamerstukken II, 2025/26, 29515, nr. 706</w:t>
      </w:r>
    </w:p>
  </w:footnote>
  <w:footnote w:id="3">
    <w:p w14:paraId="1AD3E491" w14:textId="489D108D" w:rsidR="002B5623" w:rsidRPr="00811BAB" w:rsidRDefault="002B5623">
      <w:pPr>
        <w:pStyle w:val="FootnoteText"/>
        <w:rPr>
          <w:lang w:val="nl-NL"/>
        </w:rPr>
      </w:pPr>
      <w:r w:rsidRPr="002B5623">
        <w:rPr>
          <w:rStyle w:val="FootnoteReference"/>
          <w:sz w:val="16"/>
          <w:szCs w:val="16"/>
        </w:rPr>
        <w:footnoteRef/>
      </w:r>
      <w:r>
        <w:rPr>
          <w:i/>
          <w:iCs/>
          <w:sz w:val="16"/>
          <w:szCs w:val="16"/>
          <w:u w:val="single"/>
          <w:lang w:val="nl-NL"/>
        </w:rPr>
        <w:t xml:space="preserve"> </w:t>
      </w:r>
      <w:r w:rsidRPr="002B5623">
        <w:rPr>
          <w:sz w:val="16"/>
          <w:szCs w:val="16"/>
          <w:lang w:val="nl-NL"/>
        </w:rPr>
        <w:t>Kamerstukken II 2025/26, 32637, nr. 741</w:t>
      </w:r>
      <w:r w:rsidRPr="00811BAB">
        <w:rPr>
          <w:lang w:val="nl-NL"/>
        </w:rPr>
        <w:t xml:space="preserve"> </w:t>
      </w:r>
    </w:p>
  </w:footnote>
  <w:footnote w:id="4">
    <w:p w14:paraId="3FF381A7" w14:textId="77777777" w:rsidR="001B2CDE" w:rsidRPr="00F323C7" w:rsidRDefault="001B2CDE" w:rsidP="001B2CDE">
      <w:pPr>
        <w:pStyle w:val="FootnoteText"/>
        <w:rPr>
          <w:sz w:val="16"/>
          <w:szCs w:val="16"/>
          <w:lang w:val="en-GB"/>
        </w:rPr>
      </w:pPr>
      <w:r w:rsidRPr="00F323C7">
        <w:rPr>
          <w:rStyle w:val="FootnoteReference"/>
          <w:sz w:val="16"/>
          <w:szCs w:val="16"/>
        </w:rPr>
        <w:footnoteRef/>
      </w:r>
      <w:r w:rsidRPr="00F323C7">
        <w:rPr>
          <w:sz w:val="16"/>
          <w:szCs w:val="16"/>
          <w:lang w:val="en-GB"/>
        </w:rPr>
        <w:t xml:space="preserve"> Particularly Sensitive Sea Areas, </w:t>
      </w:r>
      <w:hyperlink r:id="rId1" w:history="1">
        <w:r w:rsidRPr="00F323C7">
          <w:rPr>
            <w:rStyle w:val="Hyperlink"/>
            <w:sz w:val="16"/>
            <w:szCs w:val="16"/>
            <w:lang w:val="en-GB"/>
          </w:rPr>
          <w:t>https://www.imo.org/en/ourwork/environment/pages/pssas.aspx</w:t>
        </w:r>
      </w:hyperlink>
      <w:r w:rsidRPr="00F323C7">
        <w:rPr>
          <w:sz w:val="16"/>
          <w:szCs w:val="16"/>
          <w:lang w:val="en-GB"/>
        </w:rPr>
        <w:t xml:space="preserve"> </w:t>
      </w:r>
    </w:p>
  </w:footnote>
  <w:footnote w:id="5">
    <w:p w14:paraId="7BC1CA64" w14:textId="513AE5BA" w:rsidR="001B2CDE" w:rsidRPr="00F323C7" w:rsidRDefault="001B2CDE" w:rsidP="001B2CDE">
      <w:pPr>
        <w:pStyle w:val="FootnoteText"/>
        <w:rPr>
          <w:sz w:val="16"/>
          <w:szCs w:val="16"/>
          <w:lang w:val="nl-NL"/>
        </w:rPr>
      </w:pPr>
      <w:r w:rsidRPr="00F323C7">
        <w:rPr>
          <w:rStyle w:val="FootnoteReference"/>
          <w:sz w:val="16"/>
          <w:szCs w:val="16"/>
        </w:rPr>
        <w:footnoteRef/>
      </w:r>
      <w:r w:rsidRPr="00F323C7">
        <w:rPr>
          <w:sz w:val="16"/>
          <w:szCs w:val="16"/>
          <w:lang w:val="nl-NL"/>
        </w:rPr>
        <w:t xml:space="preserve"> Kamerstuk</w:t>
      </w:r>
      <w:r w:rsidR="00453D02" w:rsidRPr="00F323C7">
        <w:rPr>
          <w:sz w:val="16"/>
          <w:szCs w:val="16"/>
          <w:lang w:val="nl-NL"/>
        </w:rPr>
        <w:t>ken II, 2023/24,</w:t>
      </w:r>
      <w:r w:rsidRPr="00F323C7">
        <w:rPr>
          <w:sz w:val="16"/>
          <w:szCs w:val="16"/>
          <w:lang w:val="nl-NL"/>
        </w:rPr>
        <w:t xml:space="preserve"> 31 409, nr. 454; Kamerstuk</w:t>
      </w:r>
      <w:r w:rsidR="00453D02" w:rsidRPr="00F323C7">
        <w:rPr>
          <w:sz w:val="16"/>
          <w:szCs w:val="16"/>
          <w:lang w:val="nl-NL"/>
        </w:rPr>
        <w:t>ken II, 2024/25,</w:t>
      </w:r>
      <w:r w:rsidRPr="00F323C7">
        <w:rPr>
          <w:sz w:val="16"/>
          <w:szCs w:val="16"/>
          <w:lang w:val="nl-NL"/>
        </w:rPr>
        <w:t xml:space="preserve"> 31409, nr. 479</w:t>
      </w:r>
    </w:p>
  </w:footnote>
  <w:footnote w:id="6">
    <w:p w14:paraId="547E5FA7" w14:textId="739BDD4A" w:rsidR="001B2CDE" w:rsidRPr="00F323C7" w:rsidRDefault="001B2CDE" w:rsidP="001B2CDE">
      <w:pPr>
        <w:pStyle w:val="FootnoteText"/>
        <w:rPr>
          <w:sz w:val="16"/>
          <w:szCs w:val="16"/>
          <w:lang w:val="nl-NL"/>
        </w:rPr>
      </w:pPr>
      <w:r w:rsidRPr="00F323C7">
        <w:rPr>
          <w:rStyle w:val="FootnoteReference"/>
          <w:sz w:val="16"/>
          <w:szCs w:val="16"/>
        </w:rPr>
        <w:footnoteRef/>
      </w:r>
      <w:r w:rsidRPr="00F323C7">
        <w:rPr>
          <w:sz w:val="16"/>
          <w:szCs w:val="16"/>
          <w:lang w:val="nl-NL"/>
        </w:rPr>
        <w:t xml:space="preserve"> Kamerstuk</w:t>
      </w:r>
      <w:r w:rsidR="00453D02" w:rsidRPr="00F323C7">
        <w:rPr>
          <w:sz w:val="16"/>
          <w:szCs w:val="16"/>
          <w:lang w:val="nl-NL"/>
        </w:rPr>
        <w:t>ken II, 2024/2025,</w:t>
      </w:r>
      <w:r w:rsidRPr="00F323C7">
        <w:rPr>
          <w:sz w:val="16"/>
          <w:szCs w:val="16"/>
          <w:lang w:val="nl-NL"/>
        </w:rPr>
        <w:t xml:space="preserve"> 31409, nr. 479</w:t>
      </w:r>
    </w:p>
  </w:footnote>
  <w:footnote w:id="7">
    <w:p w14:paraId="0F28774B" w14:textId="77777777" w:rsidR="001B2CDE" w:rsidRPr="00F323C7" w:rsidRDefault="001B2CDE" w:rsidP="001B2CDE">
      <w:pPr>
        <w:pStyle w:val="FootnoteText"/>
        <w:rPr>
          <w:sz w:val="16"/>
          <w:szCs w:val="16"/>
          <w:lang w:val="nl-NL"/>
        </w:rPr>
      </w:pPr>
      <w:r w:rsidRPr="00F323C7">
        <w:rPr>
          <w:rStyle w:val="FootnoteReference"/>
          <w:sz w:val="16"/>
          <w:szCs w:val="16"/>
        </w:rPr>
        <w:footnoteRef/>
      </w:r>
      <w:r w:rsidRPr="00F323C7">
        <w:rPr>
          <w:sz w:val="16"/>
          <w:szCs w:val="16"/>
          <w:lang w:val="nl-NL"/>
        </w:rPr>
        <w:t xml:space="preserve"> het Verdrag inzake de bescherming van het mariene milieu in het noordoostelijk deel van de Atlantische Oceaan</w:t>
      </w:r>
    </w:p>
  </w:footnote>
  <w:footnote w:id="8">
    <w:p w14:paraId="1E7521C2" w14:textId="77777777" w:rsidR="001B2CDE" w:rsidRPr="00981048" w:rsidRDefault="001B2CDE" w:rsidP="001B2CDE">
      <w:pPr>
        <w:pStyle w:val="FootnoteText"/>
        <w:rPr>
          <w:lang w:val="nl-NL"/>
        </w:rPr>
      </w:pPr>
      <w:r w:rsidRPr="00F323C7">
        <w:rPr>
          <w:rStyle w:val="FootnoteReference"/>
          <w:sz w:val="16"/>
          <w:szCs w:val="16"/>
        </w:rPr>
        <w:footnoteRef/>
      </w:r>
      <w:r w:rsidRPr="00F323C7">
        <w:rPr>
          <w:sz w:val="16"/>
          <w:szCs w:val="16"/>
          <w:lang w:val="nl-NL"/>
        </w:rPr>
        <w:t xml:space="preserve"> De OSPAR Commissie bestaat uit vertegenwoordigers van alle 16 verdragspartijen (België, Denemarken, Finland, Frankrijk, Duitsland, IJsland, Ierland, Luxemburg, Nederland, Noorwegen, Portugal, Spanje, Zweden, Zwitserland, het Verenigd Koninkrijk en de EU).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905D1" w14:textId="77777777" w:rsidR="009806FC" w:rsidRDefault="009806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28ECC" w14:textId="77777777" w:rsidR="00AE4723" w:rsidRDefault="005B173D">
    <w:r>
      <w:rPr>
        <w:noProof/>
        <w:lang w:val="en-GB" w:eastAsia="en-GB"/>
      </w:rPr>
      <mc:AlternateContent>
        <mc:Choice Requires="wps">
          <w:drawing>
            <wp:anchor distT="0" distB="0" distL="0" distR="0" simplePos="0" relativeHeight="251651584" behindDoc="0" locked="1" layoutInCell="1" allowOverlap="1" wp14:anchorId="2CCBE671" wp14:editId="255455FE">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0753E778" w14:textId="77777777" w:rsidR="00AE4723" w:rsidRDefault="005B173D">
                          <w:pPr>
                            <w:pStyle w:val="AfzendgegevensKop0"/>
                          </w:pPr>
                          <w:r>
                            <w:t>Ministerie van Infrastructuur en Waterstaat</w:t>
                          </w:r>
                        </w:p>
                        <w:p w14:paraId="170C9082" w14:textId="77777777" w:rsidR="006B6703" w:rsidRDefault="006B6703" w:rsidP="006B6703"/>
                        <w:p w14:paraId="59172C9F" w14:textId="77777777" w:rsidR="009806FC" w:rsidRPr="006B6703" w:rsidRDefault="009806FC" w:rsidP="009806FC">
                          <w:pPr>
                            <w:spacing w:line="240" w:lineRule="auto"/>
                            <w:rPr>
                              <w:b/>
                              <w:bCs/>
                              <w:sz w:val="13"/>
                              <w:szCs w:val="13"/>
                            </w:rPr>
                          </w:pPr>
                          <w:r w:rsidRPr="006B6703">
                            <w:rPr>
                              <w:b/>
                              <w:bCs/>
                              <w:sz w:val="13"/>
                              <w:szCs w:val="13"/>
                            </w:rPr>
                            <w:t>Ons Kenmerk</w:t>
                          </w:r>
                        </w:p>
                        <w:p w14:paraId="6917BD74" w14:textId="77777777" w:rsidR="009806FC" w:rsidRDefault="009806FC" w:rsidP="009806FC">
                          <w:pPr>
                            <w:spacing w:line="240" w:lineRule="auto"/>
                            <w:rPr>
                              <w:sz w:val="13"/>
                              <w:szCs w:val="13"/>
                            </w:rPr>
                          </w:pPr>
                          <w:r w:rsidRPr="006B6703">
                            <w:rPr>
                              <w:sz w:val="13"/>
                              <w:szCs w:val="13"/>
                            </w:rPr>
                            <w:t>IENW/BSK-2026/</w:t>
                          </w:r>
                          <w:r>
                            <w:rPr>
                              <w:sz w:val="13"/>
                              <w:szCs w:val="13"/>
                            </w:rPr>
                            <w:t>66353</w:t>
                          </w:r>
                        </w:p>
                        <w:p w14:paraId="0CD9658E" w14:textId="77777777" w:rsidR="006B6703" w:rsidRPr="006B6703" w:rsidRDefault="006B6703" w:rsidP="006B6703"/>
                      </w:txbxContent>
                    </wps:txbx>
                    <wps:bodyPr vert="horz" wrap="square" lIns="0" tIns="0" rIns="0" bIns="0" anchor="t" anchorCtr="0"/>
                  </wps:wsp>
                </a:graphicData>
              </a:graphic>
            </wp:anchor>
          </w:drawing>
        </mc:Choice>
        <mc:Fallback>
          <w:pict>
            <v:shapetype w14:anchorId="2CCBE671"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0753E778" w14:textId="77777777" w:rsidR="00AE4723" w:rsidRDefault="005B173D">
                    <w:pPr>
                      <w:pStyle w:val="AfzendgegevensKop0"/>
                    </w:pPr>
                    <w:r>
                      <w:t>Ministerie van Infrastructuur en Waterstaat</w:t>
                    </w:r>
                  </w:p>
                  <w:p w14:paraId="170C9082" w14:textId="77777777" w:rsidR="006B6703" w:rsidRDefault="006B6703" w:rsidP="006B6703"/>
                  <w:p w14:paraId="59172C9F" w14:textId="77777777" w:rsidR="009806FC" w:rsidRPr="006B6703" w:rsidRDefault="009806FC" w:rsidP="009806FC">
                    <w:pPr>
                      <w:spacing w:line="240" w:lineRule="auto"/>
                      <w:rPr>
                        <w:b/>
                        <w:bCs/>
                        <w:sz w:val="13"/>
                        <w:szCs w:val="13"/>
                      </w:rPr>
                    </w:pPr>
                    <w:r w:rsidRPr="006B6703">
                      <w:rPr>
                        <w:b/>
                        <w:bCs/>
                        <w:sz w:val="13"/>
                        <w:szCs w:val="13"/>
                      </w:rPr>
                      <w:t>Ons Kenmerk</w:t>
                    </w:r>
                  </w:p>
                  <w:p w14:paraId="6917BD74" w14:textId="77777777" w:rsidR="009806FC" w:rsidRDefault="009806FC" w:rsidP="009806FC">
                    <w:pPr>
                      <w:spacing w:line="240" w:lineRule="auto"/>
                      <w:rPr>
                        <w:sz w:val="13"/>
                        <w:szCs w:val="13"/>
                      </w:rPr>
                    </w:pPr>
                    <w:r w:rsidRPr="006B6703">
                      <w:rPr>
                        <w:sz w:val="13"/>
                        <w:szCs w:val="13"/>
                      </w:rPr>
                      <w:t>IENW/BSK-2026/</w:t>
                    </w:r>
                    <w:r>
                      <w:rPr>
                        <w:sz w:val="13"/>
                        <w:szCs w:val="13"/>
                      </w:rPr>
                      <w:t>66353</w:t>
                    </w:r>
                  </w:p>
                  <w:p w14:paraId="0CD9658E" w14:textId="77777777" w:rsidR="006B6703" w:rsidRPr="006B6703" w:rsidRDefault="006B6703" w:rsidP="006B6703"/>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2F73BC0E" wp14:editId="06022335">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D19478B" w14:textId="77777777" w:rsidR="00AE4723" w:rsidRDefault="005B173D">
                          <w:pPr>
                            <w:pStyle w:val="Referentiegegevens"/>
                          </w:pPr>
                          <w:r>
                            <w:t xml:space="preserve">Page </w:t>
                          </w:r>
                          <w:r>
                            <w:fldChar w:fldCharType="begin"/>
                          </w:r>
                          <w:r>
                            <w:instrText>PAGE</w:instrText>
                          </w:r>
                          <w:r>
                            <w:fldChar w:fldCharType="separate"/>
                          </w:r>
                          <w:r w:rsidR="001B2CDE">
                            <w:rPr>
                              <w:noProof/>
                            </w:rPr>
                            <w:t>1</w:t>
                          </w:r>
                          <w:r>
                            <w:fldChar w:fldCharType="end"/>
                          </w:r>
                          <w:r>
                            <w:t xml:space="preserve"> of </w:t>
                          </w:r>
                          <w:r>
                            <w:fldChar w:fldCharType="begin"/>
                          </w:r>
                          <w:r>
                            <w:instrText>NUMPAGES</w:instrText>
                          </w:r>
                          <w:r>
                            <w:fldChar w:fldCharType="separate"/>
                          </w:r>
                          <w:r w:rsidR="001B2CDE">
                            <w:rPr>
                              <w:noProof/>
                            </w:rPr>
                            <w:t>1</w:t>
                          </w:r>
                          <w:r>
                            <w:fldChar w:fldCharType="end"/>
                          </w:r>
                        </w:p>
                      </w:txbxContent>
                    </wps:txbx>
                    <wps:bodyPr vert="horz" wrap="square" lIns="0" tIns="0" rIns="0" bIns="0" anchor="t" anchorCtr="0"/>
                  </wps:wsp>
                </a:graphicData>
              </a:graphic>
            </wp:anchor>
          </w:drawing>
        </mc:Choice>
        <mc:Fallback>
          <w:pict>
            <v:shape w14:anchorId="2F73BC0E"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0D19478B" w14:textId="77777777" w:rsidR="00AE4723" w:rsidRDefault="005B173D">
                    <w:pPr>
                      <w:pStyle w:val="Referentiegegevens"/>
                    </w:pPr>
                    <w:r>
                      <w:t xml:space="preserve">Page </w:t>
                    </w:r>
                    <w:r>
                      <w:fldChar w:fldCharType="begin"/>
                    </w:r>
                    <w:r>
                      <w:instrText>PAGE</w:instrText>
                    </w:r>
                    <w:r>
                      <w:fldChar w:fldCharType="separate"/>
                    </w:r>
                    <w:r w:rsidR="001B2CDE">
                      <w:rPr>
                        <w:noProof/>
                      </w:rPr>
                      <w:t>1</w:t>
                    </w:r>
                    <w:r>
                      <w:fldChar w:fldCharType="end"/>
                    </w:r>
                    <w:r>
                      <w:t xml:space="preserve"> of </w:t>
                    </w:r>
                    <w:r>
                      <w:fldChar w:fldCharType="begin"/>
                    </w:r>
                    <w:r>
                      <w:instrText>NUMPAGES</w:instrText>
                    </w:r>
                    <w:r>
                      <w:fldChar w:fldCharType="separate"/>
                    </w:r>
                    <w:r w:rsidR="001B2CDE">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1B0D4B9F" wp14:editId="681AE269">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DE152C8" w14:textId="77777777" w:rsidR="00095473" w:rsidRDefault="00095473"/>
                      </w:txbxContent>
                    </wps:txbx>
                    <wps:bodyPr vert="horz" wrap="square" lIns="0" tIns="0" rIns="0" bIns="0" anchor="t" anchorCtr="0"/>
                  </wps:wsp>
                </a:graphicData>
              </a:graphic>
            </wp:anchor>
          </w:drawing>
        </mc:Choice>
        <mc:Fallback>
          <w:pict>
            <v:shape w14:anchorId="1B0D4B9F"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5DE152C8" w14:textId="77777777" w:rsidR="00095473" w:rsidRDefault="00095473"/>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6A6CB334" wp14:editId="6723C2A8">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1EBCA35" w14:textId="77777777" w:rsidR="00095473" w:rsidRDefault="00095473"/>
                      </w:txbxContent>
                    </wps:txbx>
                    <wps:bodyPr vert="horz" wrap="square" lIns="0" tIns="0" rIns="0" bIns="0" anchor="t" anchorCtr="0"/>
                  </wps:wsp>
                </a:graphicData>
              </a:graphic>
            </wp:anchor>
          </w:drawing>
        </mc:Choice>
        <mc:Fallback>
          <w:pict>
            <v:shape w14:anchorId="6A6CB334"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11EBCA35" w14:textId="77777777" w:rsidR="00095473" w:rsidRDefault="00095473"/>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90B00" w14:textId="77777777" w:rsidR="00AE4723" w:rsidRDefault="005B173D">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61EF8F08" wp14:editId="3E4F043E">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1F2DB2F" w14:textId="77777777" w:rsidR="00095473" w:rsidRDefault="00095473"/>
                      </w:txbxContent>
                    </wps:txbx>
                    <wps:bodyPr vert="horz" wrap="square" lIns="0" tIns="0" rIns="0" bIns="0" anchor="t" anchorCtr="0"/>
                  </wps:wsp>
                </a:graphicData>
              </a:graphic>
            </wp:anchor>
          </w:drawing>
        </mc:Choice>
        <mc:Fallback>
          <w:pict>
            <v:shapetype w14:anchorId="61EF8F08"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61F2DB2F" w14:textId="77777777" w:rsidR="00095473" w:rsidRDefault="00095473"/>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78628C4C" wp14:editId="77AD2E47">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1F437C4" w14:textId="38B33D8D" w:rsidR="00AE4723" w:rsidRDefault="005B173D">
                          <w:pPr>
                            <w:pStyle w:val="Referentiegegevens"/>
                          </w:pPr>
                          <w:r>
                            <w:t xml:space="preserve">Page </w:t>
                          </w:r>
                          <w:r>
                            <w:fldChar w:fldCharType="begin"/>
                          </w:r>
                          <w:r>
                            <w:instrText>PAGE</w:instrText>
                          </w:r>
                          <w:r>
                            <w:fldChar w:fldCharType="separate"/>
                          </w:r>
                          <w:r w:rsidR="00CF106F">
                            <w:rPr>
                              <w:noProof/>
                            </w:rPr>
                            <w:t>1</w:t>
                          </w:r>
                          <w:r>
                            <w:fldChar w:fldCharType="end"/>
                          </w:r>
                          <w:r>
                            <w:t xml:space="preserve"> of </w:t>
                          </w:r>
                          <w:r>
                            <w:fldChar w:fldCharType="begin"/>
                          </w:r>
                          <w:r>
                            <w:instrText>NUMPAGES</w:instrText>
                          </w:r>
                          <w:r>
                            <w:fldChar w:fldCharType="separate"/>
                          </w:r>
                          <w:r w:rsidR="00CF106F">
                            <w:rPr>
                              <w:noProof/>
                            </w:rPr>
                            <w:t>1</w:t>
                          </w:r>
                          <w:r>
                            <w:fldChar w:fldCharType="end"/>
                          </w:r>
                        </w:p>
                      </w:txbxContent>
                    </wps:txbx>
                    <wps:bodyPr vert="horz" wrap="square" lIns="0" tIns="0" rIns="0" bIns="0" anchor="t" anchorCtr="0"/>
                  </wps:wsp>
                </a:graphicData>
              </a:graphic>
            </wp:anchor>
          </w:drawing>
        </mc:Choice>
        <mc:Fallback>
          <w:pict>
            <v:shape w14:anchorId="78628C4C"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01F437C4" w14:textId="38B33D8D" w:rsidR="00AE4723" w:rsidRDefault="005B173D">
                    <w:pPr>
                      <w:pStyle w:val="Referentiegegevens"/>
                    </w:pPr>
                    <w:r>
                      <w:t xml:space="preserve">Page </w:t>
                    </w:r>
                    <w:r>
                      <w:fldChar w:fldCharType="begin"/>
                    </w:r>
                    <w:r>
                      <w:instrText>PAGE</w:instrText>
                    </w:r>
                    <w:r>
                      <w:fldChar w:fldCharType="separate"/>
                    </w:r>
                    <w:r w:rsidR="00CF106F">
                      <w:rPr>
                        <w:noProof/>
                      </w:rPr>
                      <w:t>1</w:t>
                    </w:r>
                    <w:r>
                      <w:fldChar w:fldCharType="end"/>
                    </w:r>
                    <w:r>
                      <w:t xml:space="preserve"> of </w:t>
                    </w:r>
                    <w:r>
                      <w:fldChar w:fldCharType="begin"/>
                    </w:r>
                    <w:r>
                      <w:instrText>NUMPAGES</w:instrText>
                    </w:r>
                    <w:r>
                      <w:fldChar w:fldCharType="separate"/>
                    </w:r>
                    <w:r w:rsidR="00CF106F">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49D53E92" wp14:editId="14CE4CB8">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3B83D72" w14:textId="77777777" w:rsidR="00AE4723" w:rsidRDefault="005B173D">
                          <w:pPr>
                            <w:pStyle w:val="AfzendgegevensKop0"/>
                          </w:pPr>
                          <w:r>
                            <w:t>Ministerie van Infrastructuur en Waterstaat</w:t>
                          </w:r>
                        </w:p>
                        <w:p w14:paraId="1E19EA2D" w14:textId="77777777" w:rsidR="00AE4723" w:rsidRDefault="00AE4723">
                          <w:pPr>
                            <w:pStyle w:val="WitregelW1"/>
                          </w:pPr>
                        </w:p>
                        <w:p w14:paraId="633976D2" w14:textId="77777777" w:rsidR="00AE4723" w:rsidRDefault="005B173D">
                          <w:pPr>
                            <w:pStyle w:val="Afzendgegevens"/>
                          </w:pPr>
                          <w:r>
                            <w:t>Rijnstraat 8</w:t>
                          </w:r>
                        </w:p>
                        <w:p w14:paraId="2E903227" w14:textId="77777777" w:rsidR="00AE4723" w:rsidRPr="001B2CDE" w:rsidRDefault="005B173D">
                          <w:pPr>
                            <w:pStyle w:val="Afzendgegevens"/>
                            <w:rPr>
                              <w:lang w:val="de-DE"/>
                            </w:rPr>
                          </w:pPr>
                          <w:r w:rsidRPr="001B2CDE">
                            <w:rPr>
                              <w:lang w:val="de-DE"/>
                            </w:rPr>
                            <w:t>2515 XP  Den Haag</w:t>
                          </w:r>
                        </w:p>
                        <w:p w14:paraId="6CE0D02A" w14:textId="77777777" w:rsidR="00AE4723" w:rsidRPr="001B2CDE" w:rsidRDefault="005B173D">
                          <w:pPr>
                            <w:pStyle w:val="Afzendgegevens"/>
                            <w:rPr>
                              <w:lang w:val="de-DE"/>
                            </w:rPr>
                          </w:pPr>
                          <w:r w:rsidRPr="001B2CDE">
                            <w:rPr>
                              <w:lang w:val="de-DE"/>
                            </w:rPr>
                            <w:t>Postbus 20901</w:t>
                          </w:r>
                        </w:p>
                        <w:p w14:paraId="079EDED6" w14:textId="77777777" w:rsidR="00AE4723" w:rsidRPr="001B2CDE" w:rsidRDefault="005B173D">
                          <w:pPr>
                            <w:pStyle w:val="Afzendgegevens"/>
                            <w:rPr>
                              <w:lang w:val="de-DE"/>
                            </w:rPr>
                          </w:pPr>
                          <w:r w:rsidRPr="001B2CDE">
                            <w:rPr>
                              <w:lang w:val="de-DE"/>
                            </w:rPr>
                            <w:t>2500 EX Den Haag</w:t>
                          </w:r>
                        </w:p>
                        <w:p w14:paraId="74D769B7" w14:textId="77777777" w:rsidR="00AE4723" w:rsidRPr="001B2CDE" w:rsidRDefault="00AE4723">
                          <w:pPr>
                            <w:pStyle w:val="WitregelW1"/>
                            <w:rPr>
                              <w:lang w:val="de-DE"/>
                            </w:rPr>
                          </w:pPr>
                        </w:p>
                        <w:p w14:paraId="06FF979B" w14:textId="77777777" w:rsidR="00AE4723" w:rsidRPr="001B2CDE" w:rsidRDefault="005B173D">
                          <w:pPr>
                            <w:pStyle w:val="Afzendgegevens"/>
                            <w:rPr>
                              <w:lang w:val="de-DE"/>
                            </w:rPr>
                          </w:pPr>
                          <w:r w:rsidRPr="001B2CDE">
                            <w:rPr>
                              <w:lang w:val="de-DE"/>
                            </w:rPr>
                            <w:t>T   070-456 0000</w:t>
                          </w:r>
                        </w:p>
                        <w:p w14:paraId="1667CE2F" w14:textId="77777777" w:rsidR="00AE4723" w:rsidRDefault="005B173D">
                          <w:pPr>
                            <w:pStyle w:val="Afzendgegevens"/>
                          </w:pPr>
                          <w:r>
                            <w:t>F   070-456 1111</w:t>
                          </w:r>
                        </w:p>
                        <w:p w14:paraId="3136438C" w14:textId="77777777" w:rsidR="006B6703" w:rsidRPr="006B6703" w:rsidRDefault="006B6703" w:rsidP="006B6703">
                          <w:pPr>
                            <w:spacing w:line="240" w:lineRule="auto"/>
                            <w:rPr>
                              <w:sz w:val="13"/>
                              <w:szCs w:val="13"/>
                            </w:rPr>
                          </w:pPr>
                        </w:p>
                        <w:p w14:paraId="2926E44B" w14:textId="3BDF6042" w:rsidR="006B6703" w:rsidRPr="006B6703" w:rsidRDefault="006B6703" w:rsidP="006B6703">
                          <w:pPr>
                            <w:spacing w:line="240" w:lineRule="auto"/>
                            <w:rPr>
                              <w:b/>
                              <w:bCs/>
                              <w:sz w:val="13"/>
                              <w:szCs w:val="13"/>
                            </w:rPr>
                          </w:pPr>
                          <w:r w:rsidRPr="006B6703">
                            <w:rPr>
                              <w:b/>
                              <w:bCs/>
                              <w:sz w:val="13"/>
                              <w:szCs w:val="13"/>
                            </w:rPr>
                            <w:t>Ons Kenmerk</w:t>
                          </w:r>
                        </w:p>
                        <w:p w14:paraId="5F93E307" w14:textId="4E5E4227" w:rsidR="006B6703" w:rsidRDefault="006B6703" w:rsidP="006B6703">
                          <w:pPr>
                            <w:spacing w:line="240" w:lineRule="auto"/>
                            <w:rPr>
                              <w:sz w:val="13"/>
                              <w:szCs w:val="13"/>
                            </w:rPr>
                          </w:pPr>
                          <w:r w:rsidRPr="006B6703">
                            <w:rPr>
                              <w:sz w:val="13"/>
                              <w:szCs w:val="13"/>
                            </w:rPr>
                            <w:t>IENW/BSK-2026/</w:t>
                          </w:r>
                          <w:r w:rsidR="00730173">
                            <w:rPr>
                              <w:sz w:val="13"/>
                              <w:szCs w:val="13"/>
                            </w:rPr>
                            <w:t>66353</w:t>
                          </w:r>
                        </w:p>
                        <w:p w14:paraId="3E4C3064" w14:textId="77777777" w:rsidR="006B6703" w:rsidRDefault="006B6703" w:rsidP="006B6703">
                          <w:pPr>
                            <w:spacing w:line="240" w:lineRule="auto"/>
                            <w:rPr>
                              <w:sz w:val="13"/>
                              <w:szCs w:val="13"/>
                            </w:rPr>
                          </w:pPr>
                        </w:p>
                        <w:p w14:paraId="0F9D2CA4" w14:textId="75B3BF5A" w:rsidR="006B6703" w:rsidRPr="006B6703" w:rsidRDefault="006B6703" w:rsidP="006B6703">
                          <w:pPr>
                            <w:spacing w:line="240" w:lineRule="auto"/>
                            <w:rPr>
                              <w:b/>
                              <w:bCs/>
                              <w:sz w:val="13"/>
                              <w:szCs w:val="13"/>
                            </w:rPr>
                          </w:pPr>
                          <w:r w:rsidRPr="006B6703">
                            <w:rPr>
                              <w:b/>
                              <w:bCs/>
                              <w:sz w:val="13"/>
                              <w:szCs w:val="13"/>
                            </w:rPr>
                            <w:t>Bijlage(n)</w:t>
                          </w:r>
                        </w:p>
                        <w:p w14:paraId="0265A034" w14:textId="0FBF9E4B" w:rsidR="006B6703" w:rsidRPr="006B6703" w:rsidRDefault="006B6703" w:rsidP="006B6703">
                          <w:pPr>
                            <w:spacing w:line="240" w:lineRule="auto"/>
                            <w:rPr>
                              <w:sz w:val="13"/>
                              <w:szCs w:val="13"/>
                            </w:rPr>
                          </w:pPr>
                          <w:r>
                            <w:rPr>
                              <w:sz w:val="13"/>
                              <w:szCs w:val="13"/>
                            </w:rPr>
                            <w:t>1</w:t>
                          </w:r>
                        </w:p>
                      </w:txbxContent>
                    </wps:txbx>
                    <wps:bodyPr vert="horz" wrap="square" lIns="0" tIns="0" rIns="0" bIns="0" anchor="t" anchorCtr="0"/>
                  </wps:wsp>
                </a:graphicData>
              </a:graphic>
            </wp:anchor>
          </w:drawing>
        </mc:Choice>
        <mc:Fallback>
          <w:pict>
            <v:shape w14:anchorId="49D53E92"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13B83D72" w14:textId="77777777" w:rsidR="00AE4723" w:rsidRDefault="005B173D">
                    <w:pPr>
                      <w:pStyle w:val="AfzendgegevensKop0"/>
                    </w:pPr>
                    <w:r>
                      <w:t>Ministerie van Infrastructuur en Waterstaat</w:t>
                    </w:r>
                  </w:p>
                  <w:p w14:paraId="1E19EA2D" w14:textId="77777777" w:rsidR="00AE4723" w:rsidRDefault="00AE4723">
                    <w:pPr>
                      <w:pStyle w:val="WitregelW1"/>
                    </w:pPr>
                  </w:p>
                  <w:p w14:paraId="633976D2" w14:textId="77777777" w:rsidR="00AE4723" w:rsidRDefault="005B173D">
                    <w:pPr>
                      <w:pStyle w:val="Afzendgegevens"/>
                    </w:pPr>
                    <w:r>
                      <w:t>Rijnstraat 8</w:t>
                    </w:r>
                  </w:p>
                  <w:p w14:paraId="2E903227" w14:textId="77777777" w:rsidR="00AE4723" w:rsidRPr="001B2CDE" w:rsidRDefault="005B173D">
                    <w:pPr>
                      <w:pStyle w:val="Afzendgegevens"/>
                      <w:rPr>
                        <w:lang w:val="de-DE"/>
                      </w:rPr>
                    </w:pPr>
                    <w:r w:rsidRPr="001B2CDE">
                      <w:rPr>
                        <w:lang w:val="de-DE"/>
                      </w:rPr>
                      <w:t>2515 XP  Den Haag</w:t>
                    </w:r>
                  </w:p>
                  <w:p w14:paraId="6CE0D02A" w14:textId="77777777" w:rsidR="00AE4723" w:rsidRPr="001B2CDE" w:rsidRDefault="005B173D">
                    <w:pPr>
                      <w:pStyle w:val="Afzendgegevens"/>
                      <w:rPr>
                        <w:lang w:val="de-DE"/>
                      </w:rPr>
                    </w:pPr>
                    <w:r w:rsidRPr="001B2CDE">
                      <w:rPr>
                        <w:lang w:val="de-DE"/>
                      </w:rPr>
                      <w:t>Postbus 20901</w:t>
                    </w:r>
                  </w:p>
                  <w:p w14:paraId="079EDED6" w14:textId="77777777" w:rsidR="00AE4723" w:rsidRPr="001B2CDE" w:rsidRDefault="005B173D">
                    <w:pPr>
                      <w:pStyle w:val="Afzendgegevens"/>
                      <w:rPr>
                        <w:lang w:val="de-DE"/>
                      </w:rPr>
                    </w:pPr>
                    <w:r w:rsidRPr="001B2CDE">
                      <w:rPr>
                        <w:lang w:val="de-DE"/>
                      </w:rPr>
                      <w:t>2500 EX Den Haag</w:t>
                    </w:r>
                  </w:p>
                  <w:p w14:paraId="74D769B7" w14:textId="77777777" w:rsidR="00AE4723" w:rsidRPr="001B2CDE" w:rsidRDefault="00AE4723">
                    <w:pPr>
                      <w:pStyle w:val="WitregelW1"/>
                      <w:rPr>
                        <w:lang w:val="de-DE"/>
                      </w:rPr>
                    </w:pPr>
                  </w:p>
                  <w:p w14:paraId="06FF979B" w14:textId="77777777" w:rsidR="00AE4723" w:rsidRPr="001B2CDE" w:rsidRDefault="005B173D">
                    <w:pPr>
                      <w:pStyle w:val="Afzendgegevens"/>
                      <w:rPr>
                        <w:lang w:val="de-DE"/>
                      </w:rPr>
                    </w:pPr>
                    <w:r w:rsidRPr="001B2CDE">
                      <w:rPr>
                        <w:lang w:val="de-DE"/>
                      </w:rPr>
                      <w:t>T   070-456 0000</w:t>
                    </w:r>
                  </w:p>
                  <w:p w14:paraId="1667CE2F" w14:textId="77777777" w:rsidR="00AE4723" w:rsidRDefault="005B173D">
                    <w:pPr>
                      <w:pStyle w:val="Afzendgegevens"/>
                    </w:pPr>
                    <w:r>
                      <w:t>F   070-456 1111</w:t>
                    </w:r>
                  </w:p>
                  <w:p w14:paraId="3136438C" w14:textId="77777777" w:rsidR="006B6703" w:rsidRPr="006B6703" w:rsidRDefault="006B6703" w:rsidP="006B6703">
                    <w:pPr>
                      <w:spacing w:line="240" w:lineRule="auto"/>
                      <w:rPr>
                        <w:sz w:val="13"/>
                        <w:szCs w:val="13"/>
                      </w:rPr>
                    </w:pPr>
                  </w:p>
                  <w:p w14:paraId="2926E44B" w14:textId="3BDF6042" w:rsidR="006B6703" w:rsidRPr="006B6703" w:rsidRDefault="006B6703" w:rsidP="006B6703">
                    <w:pPr>
                      <w:spacing w:line="240" w:lineRule="auto"/>
                      <w:rPr>
                        <w:b/>
                        <w:bCs/>
                        <w:sz w:val="13"/>
                        <w:szCs w:val="13"/>
                      </w:rPr>
                    </w:pPr>
                    <w:r w:rsidRPr="006B6703">
                      <w:rPr>
                        <w:b/>
                        <w:bCs/>
                        <w:sz w:val="13"/>
                        <w:szCs w:val="13"/>
                      </w:rPr>
                      <w:t>Ons Kenmerk</w:t>
                    </w:r>
                  </w:p>
                  <w:p w14:paraId="5F93E307" w14:textId="4E5E4227" w:rsidR="006B6703" w:rsidRDefault="006B6703" w:rsidP="006B6703">
                    <w:pPr>
                      <w:spacing w:line="240" w:lineRule="auto"/>
                      <w:rPr>
                        <w:sz w:val="13"/>
                        <w:szCs w:val="13"/>
                      </w:rPr>
                    </w:pPr>
                    <w:r w:rsidRPr="006B6703">
                      <w:rPr>
                        <w:sz w:val="13"/>
                        <w:szCs w:val="13"/>
                      </w:rPr>
                      <w:t>IENW/BSK-2026/</w:t>
                    </w:r>
                    <w:r w:rsidR="00730173">
                      <w:rPr>
                        <w:sz w:val="13"/>
                        <w:szCs w:val="13"/>
                      </w:rPr>
                      <w:t>66353</w:t>
                    </w:r>
                  </w:p>
                  <w:p w14:paraId="3E4C3064" w14:textId="77777777" w:rsidR="006B6703" w:rsidRDefault="006B6703" w:rsidP="006B6703">
                    <w:pPr>
                      <w:spacing w:line="240" w:lineRule="auto"/>
                      <w:rPr>
                        <w:sz w:val="13"/>
                        <w:szCs w:val="13"/>
                      </w:rPr>
                    </w:pPr>
                  </w:p>
                  <w:p w14:paraId="0F9D2CA4" w14:textId="75B3BF5A" w:rsidR="006B6703" w:rsidRPr="006B6703" w:rsidRDefault="006B6703" w:rsidP="006B6703">
                    <w:pPr>
                      <w:spacing w:line="240" w:lineRule="auto"/>
                      <w:rPr>
                        <w:b/>
                        <w:bCs/>
                        <w:sz w:val="13"/>
                        <w:szCs w:val="13"/>
                      </w:rPr>
                    </w:pPr>
                    <w:r w:rsidRPr="006B6703">
                      <w:rPr>
                        <w:b/>
                        <w:bCs/>
                        <w:sz w:val="13"/>
                        <w:szCs w:val="13"/>
                      </w:rPr>
                      <w:t>Bijlage(n)</w:t>
                    </w:r>
                  </w:p>
                  <w:p w14:paraId="0265A034" w14:textId="0FBF9E4B" w:rsidR="006B6703" w:rsidRPr="006B6703" w:rsidRDefault="006B6703" w:rsidP="006B6703">
                    <w:pPr>
                      <w:spacing w:line="240" w:lineRule="auto"/>
                      <w:rPr>
                        <w:sz w:val="13"/>
                        <w:szCs w:val="13"/>
                      </w:rPr>
                    </w:pPr>
                    <w:r>
                      <w:rPr>
                        <w:sz w:val="13"/>
                        <w:szCs w:val="13"/>
                      </w:rPr>
                      <w:t>1</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4961F4FA" wp14:editId="4DFFF542">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4B525FD1" w14:textId="77777777" w:rsidR="00AE4723" w:rsidRDefault="005B173D">
                          <w:pPr>
                            <w:spacing w:line="240" w:lineRule="auto"/>
                          </w:pPr>
                          <w:r>
                            <w:rPr>
                              <w:noProof/>
                              <w:lang w:val="en-GB" w:eastAsia="en-GB"/>
                            </w:rPr>
                            <w:drawing>
                              <wp:inline distT="0" distB="0" distL="0" distR="0" wp14:anchorId="1AE87E74" wp14:editId="6447E91A">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961F4FA"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4B525FD1" w14:textId="77777777" w:rsidR="00AE4723" w:rsidRDefault="005B173D">
                    <w:pPr>
                      <w:spacing w:line="240" w:lineRule="auto"/>
                    </w:pPr>
                    <w:r>
                      <w:rPr>
                        <w:noProof/>
                        <w:lang w:val="en-GB" w:eastAsia="en-GB"/>
                      </w:rPr>
                      <w:drawing>
                        <wp:inline distT="0" distB="0" distL="0" distR="0" wp14:anchorId="1AE87E74" wp14:editId="6447E91A">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6F70C807" wp14:editId="54B6B9B1">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FB4AC5D" w14:textId="77777777" w:rsidR="00AE4723" w:rsidRDefault="005B173D">
                          <w:pPr>
                            <w:spacing w:line="240" w:lineRule="auto"/>
                          </w:pPr>
                          <w:r>
                            <w:rPr>
                              <w:noProof/>
                              <w:lang w:val="en-GB" w:eastAsia="en-GB"/>
                            </w:rPr>
                            <w:drawing>
                              <wp:inline distT="0" distB="0" distL="0" distR="0" wp14:anchorId="35C676CB" wp14:editId="19C81640">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F70C807"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5FB4AC5D" w14:textId="77777777" w:rsidR="00AE4723" w:rsidRDefault="005B173D">
                    <w:pPr>
                      <w:spacing w:line="240" w:lineRule="auto"/>
                    </w:pPr>
                    <w:r>
                      <w:rPr>
                        <w:noProof/>
                        <w:lang w:val="en-GB" w:eastAsia="en-GB"/>
                      </w:rPr>
                      <w:drawing>
                        <wp:inline distT="0" distB="0" distL="0" distR="0" wp14:anchorId="35C676CB" wp14:editId="19C81640">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00FE8C9A" wp14:editId="4064A67E">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495BFEFF" w14:textId="77777777" w:rsidR="00AE4723" w:rsidRDefault="005B173D">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00FE8C9A"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495BFEFF" w14:textId="77777777" w:rsidR="00AE4723" w:rsidRDefault="005B173D">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7054129A" wp14:editId="645A99A6">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15BB4448" w14:textId="77777777" w:rsidR="00AE4723" w:rsidRDefault="005B173D">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7054129A"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15BB4448" w14:textId="77777777" w:rsidR="00AE4723" w:rsidRDefault="005B173D">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02C57151" wp14:editId="6B98D523">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AE4723" w14:paraId="3910C7D7" w14:textId="77777777">
                            <w:trPr>
                              <w:trHeight w:val="200"/>
                            </w:trPr>
                            <w:tc>
                              <w:tcPr>
                                <w:tcW w:w="1140" w:type="dxa"/>
                              </w:tcPr>
                              <w:p w14:paraId="7D9478B7" w14:textId="77777777" w:rsidR="00AE4723" w:rsidRDefault="00AE4723"/>
                            </w:tc>
                            <w:tc>
                              <w:tcPr>
                                <w:tcW w:w="5400" w:type="dxa"/>
                              </w:tcPr>
                              <w:p w14:paraId="43E8123F" w14:textId="77777777" w:rsidR="00AE4723" w:rsidRDefault="00AE4723"/>
                            </w:tc>
                          </w:tr>
                          <w:tr w:rsidR="00AE4723" w14:paraId="6FBAD05B" w14:textId="77777777">
                            <w:trPr>
                              <w:trHeight w:val="240"/>
                            </w:trPr>
                            <w:tc>
                              <w:tcPr>
                                <w:tcW w:w="1140" w:type="dxa"/>
                              </w:tcPr>
                              <w:p w14:paraId="53CF4B7C" w14:textId="77777777" w:rsidR="00AE4723" w:rsidRDefault="005B173D">
                                <w:r>
                                  <w:t>Datum</w:t>
                                </w:r>
                              </w:p>
                            </w:tc>
                            <w:tc>
                              <w:tcPr>
                                <w:tcW w:w="5400" w:type="dxa"/>
                              </w:tcPr>
                              <w:p w14:paraId="528FBFB8" w14:textId="52BB741A" w:rsidR="00AE4723" w:rsidRDefault="009806FC">
                                <w:r>
                                  <w:t>2 april 2026</w:t>
                                </w:r>
                              </w:p>
                            </w:tc>
                          </w:tr>
                          <w:tr w:rsidR="00AE4723" w14:paraId="7602B3C9" w14:textId="77777777">
                            <w:trPr>
                              <w:trHeight w:val="240"/>
                            </w:trPr>
                            <w:tc>
                              <w:tcPr>
                                <w:tcW w:w="1140" w:type="dxa"/>
                              </w:tcPr>
                              <w:p w14:paraId="6CD81D14" w14:textId="77777777" w:rsidR="00AE4723" w:rsidRDefault="005B173D">
                                <w:r>
                                  <w:t>Betreft</w:t>
                                </w:r>
                              </w:p>
                            </w:tc>
                            <w:tc>
                              <w:tcPr>
                                <w:tcW w:w="5400" w:type="dxa"/>
                              </w:tcPr>
                              <w:p w14:paraId="39E0895E" w14:textId="77777777" w:rsidR="00AE4723" w:rsidRDefault="005B173D">
                                <w:r>
                                  <w:t>Toezeggingen n.a.v. commissiedebat Maritiem 29 januari</w:t>
                                </w:r>
                              </w:p>
                            </w:tc>
                          </w:tr>
                          <w:tr w:rsidR="00AE4723" w14:paraId="1568290B" w14:textId="77777777">
                            <w:trPr>
                              <w:trHeight w:val="200"/>
                            </w:trPr>
                            <w:tc>
                              <w:tcPr>
                                <w:tcW w:w="1140" w:type="dxa"/>
                              </w:tcPr>
                              <w:p w14:paraId="60B821A6" w14:textId="77777777" w:rsidR="00AE4723" w:rsidRDefault="00AE4723"/>
                            </w:tc>
                            <w:tc>
                              <w:tcPr>
                                <w:tcW w:w="5400" w:type="dxa"/>
                              </w:tcPr>
                              <w:p w14:paraId="12EFD26C" w14:textId="77777777" w:rsidR="00AE4723" w:rsidRDefault="00AE4723"/>
                            </w:tc>
                          </w:tr>
                        </w:tbl>
                        <w:p w14:paraId="57FB3A20" w14:textId="77777777" w:rsidR="00095473" w:rsidRDefault="00095473"/>
                      </w:txbxContent>
                    </wps:txbx>
                    <wps:bodyPr vert="horz" wrap="square" lIns="0" tIns="0" rIns="0" bIns="0" anchor="t" anchorCtr="0"/>
                  </wps:wsp>
                </a:graphicData>
              </a:graphic>
            </wp:anchor>
          </w:drawing>
        </mc:Choice>
        <mc:Fallback>
          <w:pict>
            <v:shape w14:anchorId="02C57151"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AE4723" w14:paraId="3910C7D7" w14:textId="77777777">
                      <w:trPr>
                        <w:trHeight w:val="200"/>
                      </w:trPr>
                      <w:tc>
                        <w:tcPr>
                          <w:tcW w:w="1140" w:type="dxa"/>
                        </w:tcPr>
                        <w:p w14:paraId="7D9478B7" w14:textId="77777777" w:rsidR="00AE4723" w:rsidRDefault="00AE4723"/>
                      </w:tc>
                      <w:tc>
                        <w:tcPr>
                          <w:tcW w:w="5400" w:type="dxa"/>
                        </w:tcPr>
                        <w:p w14:paraId="43E8123F" w14:textId="77777777" w:rsidR="00AE4723" w:rsidRDefault="00AE4723"/>
                      </w:tc>
                    </w:tr>
                    <w:tr w:rsidR="00AE4723" w14:paraId="6FBAD05B" w14:textId="77777777">
                      <w:trPr>
                        <w:trHeight w:val="240"/>
                      </w:trPr>
                      <w:tc>
                        <w:tcPr>
                          <w:tcW w:w="1140" w:type="dxa"/>
                        </w:tcPr>
                        <w:p w14:paraId="53CF4B7C" w14:textId="77777777" w:rsidR="00AE4723" w:rsidRDefault="005B173D">
                          <w:r>
                            <w:t>Datum</w:t>
                          </w:r>
                        </w:p>
                      </w:tc>
                      <w:tc>
                        <w:tcPr>
                          <w:tcW w:w="5400" w:type="dxa"/>
                        </w:tcPr>
                        <w:p w14:paraId="528FBFB8" w14:textId="52BB741A" w:rsidR="00AE4723" w:rsidRDefault="009806FC">
                          <w:r>
                            <w:t>2 april 2026</w:t>
                          </w:r>
                        </w:p>
                      </w:tc>
                    </w:tr>
                    <w:tr w:rsidR="00AE4723" w14:paraId="7602B3C9" w14:textId="77777777">
                      <w:trPr>
                        <w:trHeight w:val="240"/>
                      </w:trPr>
                      <w:tc>
                        <w:tcPr>
                          <w:tcW w:w="1140" w:type="dxa"/>
                        </w:tcPr>
                        <w:p w14:paraId="6CD81D14" w14:textId="77777777" w:rsidR="00AE4723" w:rsidRDefault="005B173D">
                          <w:r>
                            <w:t>Betreft</w:t>
                          </w:r>
                        </w:p>
                      </w:tc>
                      <w:tc>
                        <w:tcPr>
                          <w:tcW w:w="5400" w:type="dxa"/>
                        </w:tcPr>
                        <w:p w14:paraId="39E0895E" w14:textId="77777777" w:rsidR="00AE4723" w:rsidRDefault="005B173D">
                          <w:r>
                            <w:t>Toezeggingen n.a.v. commissiedebat Maritiem 29 januari</w:t>
                          </w:r>
                        </w:p>
                      </w:tc>
                    </w:tr>
                    <w:tr w:rsidR="00AE4723" w14:paraId="1568290B" w14:textId="77777777">
                      <w:trPr>
                        <w:trHeight w:val="200"/>
                      </w:trPr>
                      <w:tc>
                        <w:tcPr>
                          <w:tcW w:w="1140" w:type="dxa"/>
                        </w:tcPr>
                        <w:p w14:paraId="60B821A6" w14:textId="77777777" w:rsidR="00AE4723" w:rsidRDefault="00AE4723"/>
                      </w:tc>
                      <w:tc>
                        <w:tcPr>
                          <w:tcW w:w="5400" w:type="dxa"/>
                        </w:tcPr>
                        <w:p w14:paraId="12EFD26C" w14:textId="77777777" w:rsidR="00AE4723" w:rsidRDefault="00AE4723"/>
                      </w:tc>
                    </w:tr>
                  </w:tbl>
                  <w:p w14:paraId="57FB3A20" w14:textId="77777777" w:rsidR="00095473" w:rsidRDefault="00095473"/>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6135A011" wp14:editId="614AA2C9">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48AF138" w14:textId="77777777" w:rsidR="00095473" w:rsidRDefault="00095473"/>
                      </w:txbxContent>
                    </wps:txbx>
                    <wps:bodyPr vert="horz" wrap="square" lIns="0" tIns="0" rIns="0" bIns="0" anchor="t" anchorCtr="0"/>
                  </wps:wsp>
                </a:graphicData>
              </a:graphic>
            </wp:anchor>
          </w:drawing>
        </mc:Choice>
        <mc:Fallback>
          <w:pict>
            <v:shape w14:anchorId="6135A011"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648AF138" w14:textId="77777777" w:rsidR="00095473" w:rsidRDefault="00095473"/>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054526"/>
    <w:multiLevelType w:val="multilevel"/>
    <w:tmpl w:val="4357236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87929ED2"/>
    <w:multiLevelType w:val="multilevel"/>
    <w:tmpl w:val="87CE251D"/>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FB723F9"/>
    <w:multiLevelType w:val="multilevel"/>
    <w:tmpl w:val="64A1EED3"/>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0A35613"/>
    <w:multiLevelType w:val="multilevel"/>
    <w:tmpl w:val="23B940D0"/>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4511D33"/>
    <w:multiLevelType w:val="multilevel"/>
    <w:tmpl w:val="542F002A"/>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94C3BFD0"/>
    <w:multiLevelType w:val="multilevel"/>
    <w:tmpl w:val="31F8739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B99EF60F"/>
    <w:multiLevelType w:val="multilevel"/>
    <w:tmpl w:val="2952E3CF"/>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4EC48A6"/>
    <w:multiLevelType w:val="multilevel"/>
    <w:tmpl w:val="6D56788E"/>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5C075C2"/>
    <w:multiLevelType w:val="multilevel"/>
    <w:tmpl w:val="809AF51B"/>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CCE4E278"/>
    <w:multiLevelType w:val="multilevel"/>
    <w:tmpl w:val="8961DB6D"/>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CE4AA10F"/>
    <w:multiLevelType w:val="multilevel"/>
    <w:tmpl w:val="A107D2F0"/>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D1C5F8F1"/>
    <w:multiLevelType w:val="multilevel"/>
    <w:tmpl w:val="31B3FFFA"/>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E053DEF4"/>
    <w:multiLevelType w:val="multilevel"/>
    <w:tmpl w:val="C4BD43BC"/>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F453C6FF"/>
    <w:multiLevelType w:val="multilevel"/>
    <w:tmpl w:val="89A89764"/>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1B352D5"/>
    <w:multiLevelType w:val="hybridMultilevel"/>
    <w:tmpl w:val="94E20DC0"/>
    <w:lvl w:ilvl="0" w:tplc="353A3DF6">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BE4D04C"/>
    <w:multiLevelType w:val="multilevel"/>
    <w:tmpl w:val="EBDC6B7F"/>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D7B09C2"/>
    <w:multiLevelType w:val="multilevel"/>
    <w:tmpl w:val="AAD1001E"/>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FCE8C2B"/>
    <w:multiLevelType w:val="multilevel"/>
    <w:tmpl w:val="36183C7D"/>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E3B0A2D"/>
    <w:multiLevelType w:val="multilevel"/>
    <w:tmpl w:val="E605F53E"/>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3C7DA5F"/>
    <w:multiLevelType w:val="multilevel"/>
    <w:tmpl w:val="F5C0A679"/>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53EC510"/>
    <w:multiLevelType w:val="multilevel"/>
    <w:tmpl w:val="21B57070"/>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49D1EF1"/>
    <w:multiLevelType w:val="multilevel"/>
    <w:tmpl w:val="CB376C78"/>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11EAFD7"/>
    <w:multiLevelType w:val="multilevel"/>
    <w:tmpl w:val="D293639E"/>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5B3035B"/>
    <w:multiLevelType w:val="multilevel"/>
    <w:tmpl w:val="9E0B6096"/>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16"/>
  </w:num>
  <w:num w:numId="3">
    <w:abstractNumId w:val="6"/>
  </w:num>
  <w:num w:numId="4">
    <w:abstractNumId w:val="8"/>
  </w:num>
  <w:num w:numId="5">
    <w:abstractNumId w:val="5"/>
  </w:num>
  <w:num w:numId="6">
    <w:abstractNumId w:val="9"/>
  </w:num>
  <w:num w:numId="7">
    <w:abstractNumId w:val="7"/>
  </w:num>
  <w:num w:numId="8">
    <w:abstractNumId w:val="19"/>
  </w:num>
  <w:num w:numId="9">
    <w:abstractNumId w:val="15"/>
  </w:num>
  <w:num w:numId="10">
    <w:abstractNumId w:val="3"/>
  </w:num>
  <w:num w:numId="11">
    <w:abstractNumId w:val="21"/>
  </w:num>
  <w:num w:numId="12">
    <w:abstractNumId w:val="0"/>
  </w:num>
  <w:num w:numId="13">
    <w:abstractNumId w:val="17"/>
  </w:num>
  <w:num w:numId="14">
    <w:abstractNumId w:val="22"/>
  </w:num>
  <w:num w:numId="15">
    <w:abstractNumId w:val="10"/>
  </w:num>
  <w:num w:numId="16">
    <w:abstractNumId w:val="1"/>
  </w:num>
  <w:num w:numId="17">
    <w:abstractNumId w:val="20"/>
  </w:num>
  <w:num w:numId="18">
    <w:abstractNumId w:val="23"/>
  </w:num>
  <w:num w:numId="19">
    <w:abstractNumId w:val="11"/>
  </w:num>
  <w:num w:numId="20">
    <w:abstractNumId w:val="4"/>
  </w:num>
  <w:num w:numId="21">
    <w:abstractNumId w:val="18"/>
  </w:num>
  <w:num w:numId="22">
    <w:abstractNumId w:val="2"/>
  </w:num>
  <w:num w:numId="23">
    <w:abstractNumId w:val="13"/>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CDE"/>
    <w:rsid w:val="000079A6"/>
    <w:rsid w:val="00030884"/>
    <w:rsid w:val="00047AF6"/>
    <w:rsid w:val="00095473"/>
    <w:rsid w:val="000C6385"/>
    <w:rsid w:val="00105B1E"/>
    <w:rsid w:val="001234BE"/>
    <w:rsid w:val="0017491F"/>
    <w:rsid w:val="001B2CDE"/>
    <w:rsid w:val="001E28A9"/>
    <w:rsid w:val="001F3226"/>
    <w:rsid w:val="0020660C"/>
    <w:rsid w:val="00224E60"/>
    <w:rsid w:val="00232F42"/>
    <w:rsid w:val="0023767D"/>
    <w:rsid w:val="00254E3D"/>
    <w:rsid w:val="00263B8B"/>
    <w:rsid w:val="00286EC6"/>
    <w:rsid w:val="002B5623"/>
    <w:rsid w:val="002D7F49"/>
    <w:rsid w:val="002F76DF"/>
    <w:rsid w:val="00313158"/>
    <w:rsid w:val="003757DA"/>
    <w:rsid w:val="0038051F"/>
    <w:rsid w:val="00402554"/>
    <w:rsid w:val="004136EA"/>
    <w:rsid w:val="00431390"/>
    <w:rsid w:val="00452EDE"/>
    <w:rsid w:val="00453D02"/>
    <w:rsid w:val="004718F1"/>
    <w:rsid w:val="004E2901"/>
    <w:rsid w:val="0050645D"/>
    <w:rsid w:val="00512E7A"/>
    <w:rsid w:val="005146C0"/>
    <w:rsid w:val="00535F30"/>
    <w:rsid w:val="00561202"/>
    <w:rsid w:val="0057444F"/>
    <w:rsid w:val="00575413"/>
    <w:rsid w:val="0059597E"/>
    <w:rsid w:val="005B173D"/>
    <w:rsid w:val="005B4D50"/>
    <w:rsid w:val="005E5B85"/>
    <w:rsid w:val="00614F74"/>
    <w:rsid w:val="006210D9"/>
    <w:rsid w:val="00647E12"/>
    <w:rsid w:val="00657422"/>
    <w:rsid w:val="006815C1"/>
    <w:rsid w:val="00694404"/>
    <w:rsid w:val="006B6703"/>
    <w:rsid w:val="006F32EC"/>
    <w:rsid w:val="00730173"/>
    <w:rsid w:val="00752C74"/>
    <w:rsid w:val="00757FB8"/>
    <w:rsid w:val="00782895"/>
    <w:rsid w:val="007D31F2"/>
    <w:rsid w:val="0080267A"/>
    <w:rsid w:val="00807B10"/>
    <w:rsid w:val="00811BAB"/>
    <w:rsid w:val="00853320"/>
    <w:rsid w:val="0088132A"/>
    <w:rsid w:val="00895037"/>
    <w:rsid w:val="008A40E1"/>
    <w:rsid w:val="008C0963"/>
    <w:rsid w:val="008E6A9A"/>
    <w:rsid w:val="009000ED"/>
    <w:rsid w:val="009806FC"/>
    <w:rsid w:val="009A0F74"/>
    <w:rsid w:val="009F2D28"/>
    <w:rsid w:val="00A27543"/>
    <w:rsid w:val="00A35A0D"/>
    <w:rsid w:val="00A9225F"/>
    <w:rsid w:val="00AE4723"/>
    <w:rsid w:val="00B94318"/>
    <w:rsid w:val="00BA166B"/>
    <w:rsid w:val="00BB7F73"/>
    <w:rsid w:val="00BF1B8E"/>
    <w:rsid w:val="00BF6F17"/>
    <w:rsid w:val="00C21D80"/>
    <w:rsid w:val="00C27B99"/>
    <w:rsid w:val="00C46620"/>
    <w:rsid w:val="00C55CCC"/>
    <w:rsid w:val="00C71496"/>
    <w:rsid w:val="00CD157B"/>
    <w:rsid w:val="00CF106F"/>
    <w:rsid w:val="00D339C9"/>
    <w:rsid w:val="00D62430"/>
    <w:rsid w:val="00DA0CCE"/>
    <w:rsid w:val="00DE1D7E"/>
    <w:rsid w:val="00E14D55"/>
    <w:rsid w:val="00EC64C7"/>
    <w:rsid w:val="00F06BC0"/>
    <w:rsid w:val="00F323C7"/>
    <w:rsid w:val="00FB02AE"/>
    <w:rsid w:val="00FB5EFB"/>
    <w:rsid w:val="00FB72E0"/>
    <w:rsid w:val="00FC2D13"/>
    <w:rsid w:val="00FE3C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75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1B2CDE"/>
    <w:pPr>
      <w:tabs>
        <w:tab w:val="center" w:pos="4536"/>
        <w:tab w:val="right" w:pos="9072"/>
      </w:tabs>
      <w:spacing w:line="240" w:lineRule="auto"/>
    </w:pPr>
  </w:style>
  <w:style w:type="character" w:customStyle="1" w:styleId="HeaderChar">
    <w:name w:val="Header Char"/>
    <w:basedOn w:val="DefaultParagraphFont"/>
    <w:link w:val="Header"/>
    <w:uiPriority w:val="99"/>
    <w:rsid w:val="001B2CDE"/>
    <w:rPr>
      <w:rFonts w:ascii="Verdana" w:hAnsi="Verdana"/>
      <w:color w:val="000000"/>
      <w:sz w:val="18"/>
      <w:szCs w:val="18"/>
    </w:rPr>
  </w:style>
  <w:style w:type="paragraph" w:styleId="Footer">
    <w:name w:val="footer"/>
    <w:basedOn w:val="Normal"/>
    <w:link w:val="FooterChar"/>
    <w:uiPriority w:val="99"/>
    <w:unhideWhenUsed/>
    <w:rsid w:val="001B2CDE"/>
    <w:pPr>
      <w:tabs>
        <w:tab w:val="center" w:pos="4536"/>
        <w:tab w:val="right" w:pos="9072"/>
      </w:tabs>
      <w:spacing w:line="240" w:lineRule="auto"/>
    </w:pPr>
  </w:style>
  <w:style w:type="character" w:customStyle="1" w:styleId="FooterChar">
    <w:name w:val="Footer Char"/>
    <w:basedOn w:val="DefaultParagraphFont"/>
    <w:link w:val="Footer"/>
    <w:uiPriority w:val="99"/>
    <w:rsid w:val="001B2CDE"/>
    <w:rPr>
      <w:rFonts w:ascii="Verdana" w:hAnsi="Verdana"/>
      <w:color w:val="000000"/>
      <w:sz w:val="18"/>
      <w:szCs w:val="18"/>
    </w:rPr>
  </w:style>
  <w:style w:type="paragraph" w:styleId="ListParagraph">
    <w:name w:val="List Paragraph"/>
    <w:basedOn w:val="Normal"/>
    <w:uiPriority w:val="34"/>
    <w:semiHidden/>
    <w:rsid w:val="001B2CDE"/>
    <w:pPr>
      <w:ind w:left="720"/>
      <w:contextualSpacing/>
    </w:pPr>
  </w:style>
  <w:style w:type="paragraph" w:styleId="FootnoteText">
    <w:name w:val="footnote text"/>
    <w:basedOn w:val="Normal"/>
    <w:link w:val="FootnoteTextChar"/>
    <w:uiPriority w:val="99"/>
    <w:semiHidden/>
    <w:unhideWhenUsed/>
    <w:rsid w:val="001B2CDE"/>
    <w:pPr>
      <w:autoSpaceDN/>
      <w:spacing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FootnoteTextChar">
    <w:name w:val="Footnote Text Char"/>
    <w:basedOn w:val="DefaultParagraphFont"/>
    <w:link w:val="FootnoteText"/>
    <w:uiPriority w:val="99"/>
    <w:semiHidden/>
    <w:rsid w:val="001B2CDE"/>
    <w:rPr>
      <w:rFonts w:ascii="Verdana" w:eastAsiaTheme="minorHAnsi" w:hAnsi="Verdana" w:cstheme="minorBidi"/>
      <w:kern w:val="2"/>
      <w:lang w:val="en-US" w:eastAsia="en-US"/>
      <w14:ligatures w14:val="standardContextual"/>
    </w:rPr>
  </w:style>
  <w:style w:type="character" w:styleId="FootnoteReference">
    <w:name w:val="footnote reference"/>
    <w:basedOn w:val="DefaultParagraphFont"/>
    <w:uiPriority w:val="99"/>
    <w:semiHidden/>
    <w:unhideWhenUsed/>
    <w:rsid w:val="001B2CDE"/>
    <w:rPr>
      <w:vertAlign w:val="superscript"/>
    </w:rPr>
  </w:style>
  <w:style w:type="character" w:customStyle="1" w:styleId="UnresolvedMention">
    <w:name w:val="Unresolved Mention"/>
    <w:basedOn w:val="DefaultParagraphFont"/>
    <w:uiPriority w:val="99"/>
    <w:semiHidden/>
    <w:unhideWhenUsed/>
    <w:rsid w:val="00030884"/>
    <w:rPr>
      <w:color w:val="605E5C"/>
      <w:shd w:val="clear" w:color="auto" w:fill="E1DFDD"/>
    </w:rPr>
  </w:style>
  <w:style w:type="character" w:styleId="CommentReference">
    <w:name w:val="annotation reference"/>
    <w:basedOn w:val="DefaultParagraphFont"/>
    <w:uiPriority w:val="99"/>
    <w:semiHidden/>
    <w:unhideWhenUsed/>
    <w:rsid w:val="00DE1D7E"/>
    <w:rPr>
      <w:sz w:val="16"/>
      <w:szCs w:val="16"/>
    </w:rPr>
  </w:style>
  <w:style w:type="paragraph" w:styleId="CommentText">
    <w:name w:val="annotation text"/>
    <w:basedOn w:val="Normal"/>
    <w:link w:val="CommentTextChar"/>
    <w:uiPriority w:val="99"/>
    <w:unhideWhenUsed/>
    <w:rsid w:val="00DE1D7E"/>
    <w:pPr>
      <w:spacing w:line="240" w:lineRule="auto"/>
    </w:pPr>
    <w:rPr>
      <w:sz w:val="20"/>
      <w:szCs w:val="20"/>
    </w:rPr>
  </w:style>
  <w:style w:type="character" w:customStyle="1" w:styleId="CommentTextChar">
    <w:name w:val="Comment Text Char"/>
    <w:basedOn w:val="DefaultParagraphFont"/>
    <w:link w:val="CommentText"/>
    <w:uiPriority w:val="99"/>
    <w:rsid w:val="00DE1D7E"/>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DE1D7E"/>
    <w:rPr>
      <w:b/>
      <w:bCs/>
    </w:rPr>
  </w:style>
  <w:style w:type="character" w:customStyle="1" w:styleId="CommentSubjectChar">
    <w:name w:val="Comment Subject Char"/>
    <w:basedOn w:val="CommentTextChar"/>
    <w:link w:val="CommentSubject"/>
    <w:uiPriority w:val="99"/>
    <w:semiHidden/>
    <w:rsid w:val="00DE1D7E"/>
    <w:rPr>
      <w:rFonts w:ascii="Verdana" w:hAnsi="Verdana"/>
      <w:b/>
      <w:bCs/>
      <w:color w:val="000000"/>
    </w:rPr>
  </w:style>
  <w:style w:type="paragraph" w:styleId="Revision">
    <w:name w:val="Revision"/>
    <w:hidden/>
    <w:uiPriority w:val="99"/>
    <w:semiHidden/>
    <w:rsid w:val="005146C0"/>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942433">
      <w:bodyDiv w:val="1"/>
      <w:marLeft w:val="0"/>
      <w:marRight w:val="0"/>
      <w:marTop w:val="0"/>
      <w:marBottom w:val="0"/>
      <w:divBdr>
        <w:top w:val="none" w:sz="0" w:space="0" w:color="auto"/>
        <w:left w:val="none" w:sz="0" w:space="0" w:color="auto"/>
        <w:bottom w:val="none" w:sz="0" w:space="0" w:color="auto"/>
        <w:right w:val="none" w:sz="0" w:space="0" w:color="auto"/>
      </w:divBdr>
    </w:div>
    <w:div w:id="763766401">
      <w:bodyDiv w:val="1"/>
      <w:marLeft w:val="0"/>
      <w:marRight w:val="0"/>
      <w:marTop w:val="0"/>
      <w:marBottom w:val="0"/>
      <w:divBdr>
        <w:top w:val="none" w:sz="0" w:space="0" w:color="auto"/>
        <w:left w:val="none" w:sz="0" w:space="0" w:color="auto"/>
        <w:bottom w:val="none" w:sz="0" w:space="0" w:color="auto"/>
        <w:right w:val="none" w:sz="0" w:space="0" w:color="auto"/>
      </w:divBdr>
    </w:div>
    <w:div w:id="10190412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www.regeldrukmonitor.nl" TargetMode="External" Id="rId9" /><Relationship Type="http://schemas.openxmlformats.org/officeDocument/2006/relationships/header" Target="head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www.imo.org/en/ourwork/environment/pages/pssas.aspx"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1715</ap:Words>
  <ap:Characters>9779</ap:Characters>
  <ap:DocSecurity>0</ap:DocSecurity>
  <ap:Lines>81</ap:Lines>
  <ap:Paragraphs>22</ap:Paragraphs>
  <ap:ScaleCrop>false</ap:ScaleCrop>
  <ap:HeadingPairs>
    <vt:vector baseType="variant" size="2">
      <vt:variant>
        <vt:lpstr>Titel</vt:lpstr>
      </vt:variant>
      <vt:variant>
        <vt:i4>1</vt:i4>
      </vt:variant>
    </vt:vector>
  </ap:HeadingPairs>
  <ap:TitlesOfParts>
    <vt:vector baseType="lpstr" size="1">
      <vt:lpstr>Brief aan Parlement - Toezeggingen n.a.v. commissiedebat Maritiem 29 januari</vt:lpstr>
    </vt:vector>
  </ap:TitlesOfParts>
  <ap:LinksUpToDate>false</ap:LinksUpToDate>
  <ap:CharactersWithSpaces>11472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2026-04-02T07:50:00.0000000Z</dcterms:created>
  <dcterms:modified xsi:type="dcterms:W3CDTF">2026-04-02T07:50:00.0000000Z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Toezeggingen n.a.v. commissiedebat Maritiem 29 januari</vt:lpwstr>
  </property>
  <property fmtid="{D5CDD505-2E9C-101B-9397-08002B2CF9AE}" pid="5" name="Publicatiedatum">
    <vt:lpwstr/>
  </property>
  <property fmtid="{D5CDD505-2E9C-101B-9397-08002B2CF9AE}" pid="6" name="Verantwoordelijke organisatie">
    <vt:lpwstr>Dir.Maritieme Zaken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L. Vermeulen</vt:lpwstr>
  </property>
  <property fmtid="{D5CDD505-2E9C-101B-9397-08002B2CF9AE}" pid="14" name="Opgesteld door, Telefoonnummer">
    <vt:lpwstr>070-4561028</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