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77D" w:rsidP="00F2577D" w:rsidRDefault="00F2577D" w14:paraId="16FFD6BB" w14:textId="082AC5AB">
      <w:pPr>
        <w:pStyle w:val="Geenafstand"/>
      </w:pPr>
      <w:r>
        <w:t>AH 1515</w:t>
      </w:r>
    </w:p>
    <w:p w:rsidR="00F2577D" w:rsidP="00F2577D" w:rsidRDefault="00F2577D" w14:paraId="5E0D5715" w14:textId="77777777">
      <w:pPr>
        <w:pStyle w:val="Geenafstand"/>
      </w:pPr>
    </w:p>
    <w:p w:rsidR="00F2577D" w:rsidP="00F2577D" w:rsidRDefault="00F2577D" w14:paraId="20959130" w14:textId="6715F6E5">
      <w:pPr>
        <w:pStyle w:val="Geenafstand"/>
      </w:pPr>
      <w:r>
        <w:t>2026Z03534</w:t>
      </w:r>
    </w:p>
    <w:p w:rsidR="00F2577D" w:rsidP="00F2577D" w:rsidRDefault="00F2577D" w14:paraId="6BB6112B" w14:textId="77777777">
      <w:pPr>
        <w:pStyle w:val="Geenafstand"/>
      </w:pPr>
    </w:p>
    <w:p w:rsidRPr="00F2577D" w:rsidR="00F2577D" w:rsidP="00F2577D" w:rsidRDefault="00F2577D" w14:paraId="2F7CA667" w14:textId="3B962AC3">
      <w:pPr>
        <w:pStyle w:val="Geenafstand"/>
        <w:rPr>
          <w:rFonts w:ascii="Arial" w:hAnsi="Arial" w:cs="Arial"/>
          <w:color w:val="000000"/>
          <w:sz w:val="24"/>
          <w:szCs w:val="24"/>
        </w:rPr>
      </w:pPr>
      <w:r w:rsidRPr="00D25B3E">
        <w:rPr>
          <w:sz w:val="24"/>
          <w:szCs w:val="24"/>
        </w:rPr>
        <w:t>Antwoord van minister Van Veldhoven-van der Meer (Klimaat en Groene Groei)</w:t>
      </w:r>
      <w:r>
        <w:rPr>
          <w:sz w:val="24"/>
          <w:szCs w:val="24"/>
        </w:rPr>
        <w:t xml:space="preserve">, de </w:t>
      </w:r>
      <w:r w:rsidRPr="007D78AD">
        <w:rPr>
          <w:rFonts w:ascii="Times New Roman" w:hAnsi="Times New Roman"/>
          <w:sz w:val="24"/>
        </w:rPr>
        <w:t>staatssecretaris van Economische Zaken en Klimaat</w:t>
      </w:r>
      <w:r>
        <w:rPr>
          <w:rFonts w:ascii="Arial" w:hAnsi="Arial" w:cs="Arial"/>
          <w:color w:val="000000"/>
          <w:sz w:val="24"/>
          <w:szCs w:val="24"/>
        </w:rPr>
        <w:t xml:space="preserve"> e</w:t>
      </w:r>
      <w:r>
        <w:rPr>
          <w:sz w:val="24"/>
          <w:szCs w:val="24"/>
        </w:rPr>
        <w:t xml:space="preserve">n de </w:t>
      </w:r>
      <w:r w:rsidRPr="007D78AD">
        <w:rPr>
          <w:rFonts w:ascii="Times New Roman" w:hAnsi="Times New Roman"/>
          <w:sz w:val="24"/>
        </w:rPr>
        <w:t>staatssecretaris van Infrastructuur en Waterstaat</w:t>
      </w:r>
      <w:r w:rsidRPr="00D25B3E">
        <w:rPr>
          <w:sz w:val="24"/>
          <w:szCs w:val="24"/>
        </w:rPr>
        <w:t xml:space="preserve"> (ontvangen</w:t>
      </w:r>
      <w:r>
        <w:rPr>
          <w:sz w:val="24"/>
          <w:szCs w:val="24"/>
        </w:rPr>
        <w:t xml:space="preserve">  2 april 2026)</w:t>
      </w:r>
    </w:p>
    <w:p w:rsidR="00F2577D" w:rsidP="00F2577D" w:rsidRDefault="00F2577D" w14:paraId="5C20A4C5" w14:textId="77777777">
      <w:pPr>
        <w:pStyle w:val="Geenafstand"/>
      </w:pPr>
    </w:p>
    <w:p w:rsidR="00F2577D" w:rsidP="00F2577D" w:rsidRDefault="00F2577D" w14:paraId="60EA44C7" w14:textId="31D9A1D8">
      <w:pPr>
        <w:pStyle w:val="Geenafstand"/>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1367</w:t>
      </w:r>
    </w:p>
    <w:p w:rsidR="00F2577D" w:rsidP="00F2577D" w:rsidRDefault="00F2577D" w14:paraId="1DF75BDE" w14:textId="77777777">
      <w:pPr>
        <w:pStyle w:val="Geenafstand"/>
        <w:rPr>
          <w:sz w:val="24"/>
          <w:szCs w:val="24"/>
        </w:rPr>
      </w:pPr>
    </w:p>
    <w:p w:rsidRPr="00F2577D" w:rsidR="00F2577D" w:rsidP="00F2577D" w:rsidRDefault="00F2577D" w14:paraId="4537DA86" w14:textId="0522AA99">
      <w:pPr>
        <w:rPr>
          <w:sz w:val="24"/>
          <w:szCs w:val="24"/>
        </w:rPr>
      </w:pPr>
      <w:r>
        <w:rPr>
          <w:sz w:val="24"/>
          <w:szCs w:val="24"/>
        </w:rPr>
        <w:t>Inleiding:</w:t>
      </w:r>
    </w:p>
    <w:p w:rsidR="00F2577D" w:rsidP="00F2577D" w:rsidRDefault="00F2577D" w14:paraId="6FDD9155" w14:textId="77777777">
      <w:r>
        <w:t>Het kabinet merkt op dat een groot aantal van de vragen in soortgelijke vorm herhaald worden. Dit ziet bijvoorbeeld op de borging van het behalen van de doelen, de gezondheidseffectrapportage en de beoogde klimaat- en gezondheidswinst. Waar relevant wordt in deze beantwoording veel verwezen naar eerder gegeven antwoorden en zijn vragen en antwoorden uit eerdere sets in deze beantwoording opgenomen. Hiermee heeft de Kamer alle informatie bij elkaar en een goed beeld heeft van het antwoord dat het kabinet op dit moment aan de Tweede Kamer kan geven.</w:t>
      </w:r>
    </w:p>
    <w:p w:rsidR="00F2577D" w:rsidP="00F2577D" w:rsidRDefault="00F2577D" w14:paraId="221D5C12" w14:textId="77777777"/>
    <w:p w:rsidR="00F2577D" w:rsidP="00F2577D" w:rsidRDefault="00F2577D" w14:paraId="5B61F17C" w14:textId="77777777">
      <w:r>
        <w:t xml:space="preserve">Eerst zou ik graag nogmaals de status van de </w:t>
      </w:r>
      <w:proofErr w:type="spellStart"/>
      <w:r>
        <w:t>JLoI</w:t>
      </w:r>
      <w:proofErr w:type="spellEnd"/>
      <w:r>
        <w:t xml:space="preserve"> en het proces om te komen tot een maatwerkafspraak willen toelichten in de hoop dat het herhalen van deze informatie helpt om alle informatie bij elkaar te hebben en zo een goed beeld te krijgen van de besprekingen en mogelijke maatwerkafspraak met Tata Steel. De </w:t>
      </w:r>
      <w:proofErr w:type="spellStart"/>
      <w:r>
        <w:t>JLoI</w:t>
      </w:r>
      <w:proofErr w:type="spellEnd"/>
      <w:r>
        <w:t xml:space="preserve"> is een tussenstap in het proces om te komen tot een definitieve maatwerkafspraak. De </w:t>
      </w:r>
      <w:proofErr w:type="spellStart"/>
      <w:r>
        <w:t>JLoI</w:t>
      </w:r>
      <w:proofErr w:type="spellEnd"/>
      <w:r>
        <w:t xml:space="preserve"> bevat inspanningsverplichtingen en de contouren van de definitieve maatwerkafspraak, waaronder de beoogde doelen, projecten en het financiële kader. De haalbaarheid van deze beoogde doelen en projecten en de businesscase is en wordt doorlopend extern getoetst door de technische en financiële adviseurs van de staat. De komende periode onderhandelen de ministeries van EZK en </w:t>
      </w:r>
      <w:proofErr w:type="spellStart"/>
      <w:r>
        <w:t>IenW</w:t>
      </w:r>
      <w:proofErr w:type="spellEnd"/>
      <w:r>
        <w:t xml:space="preserve"> verder met het bedrijf om tot een definitieve maatwerkafspraak te komen. Het kabinet kan niet vooruitlopen op de uitkomsten van deze onderhandelingen.</w:t>
      </w:r>
    </w:p>
    <w:p w:rsidR="00F2577D" w:rsidP="00F2577D" w:rsidRDefault="00F2577D" w14:paraId="5779FECF" w14:textId="77777777"/>
    <w:p w:rsidRPr="008E7C95" w:rsidR="00F2577D" w:rsidP="00F2577D" w:rsidRDefault="00F2577D" w14:paraId="7E312017" w14:textId="77777777">
      <w:pPr>
        <w:rPr>
          <w:rFonts w:eastAsia="Calibri" w:cs="Calibri"/>
        </w:rPr>
      </w:pPr>
      <w:r>
        <w:t xml:space="preserve">Binnenkort gaan we met elkaar in debat over de </w:t>
      </w:r>
      <w:proofErr w:type="spellStart"/>
      <w:r>
        <w:t>JLoI</w:t>
      </w:r>
      <w:proofErr w:type="spellEnd"/>
      <w:r>
        <w:t xml:space="preserve"> met Tata Steel. Dat is het moment waarop </w:t>
      </w:r>
      <w:r w:rsidRPr="1A858FF7">
        <w:rPr>
          <w:rFonts w:eastAsia="Calibri" w:cs="Calibri"/>
        </w:rPr>
        <w:t xml:space="preserve">de Kamer kan reageren op de inhoud van de </w:t>
      </w:r>
      <w:proofErr w:type="spellStart"/>
      <w:r w:rsidRPr="1A858FF7">
        <w:rPr>
          <w:rFonts w:eastAsia="Calibri" w:cs="Calibri"/>
        </w:rPr>
        <w:t>JLoI</w:t>
      </w:r>
      <w:proofErr w:type="spellEnd"/>
      <w:r w:rsidRPr="1A858FF7">
        <w:rPr>
          <w:rFonts w:eastAsia="Calibri" w:cs="Calibri"/>
        </w:rPr>
        <w:t xml:space="preserve"> en eventuele aandachtspunten kan meegeven aan het kabinet. Met deze overwegingen vanuit de Kamer in de hand, onderhandelt het kabinet verder met Tata Steel om tot een definitieve maatwerkafspraak te komen.</w:t>
      </w:r>
    </w:p>
    <w:p w:rsidR="00F2577D" w:rsidP="00F2577D" w:rsidRDefault="00F2577D" w14:paraId="62950E83" w14:textId="77777777"/>
    <w:p w:rsidR="00F2577D" w:rsidP="00F2577D" w:rsidRDefault="00F2577D" w14:paraId="0B5A9A6C" w14:textId="77777777">
      <w:r w:rsidRPr="007D6523">
        <w:t>1</w:t>
      </w:r>
    </w:p>
    <w:p w:rsidR="00F2577D" w:rsidP="00F2577D" w:rsidRDefault="00F2577D" w14:paraId="2DE2EB1D" w14:textId="77777777">
      <w:r w:rsidRPr="007D6523">
        <w:lastRenderedPageBreak/>
        <w:t xml:space="preserve">Heeft u kennisgenomen van het persbericht van Advocates </w:t>
      </w:r>
      <w:proofErr w:type="spellStart"/>
      <w:r w:rsidRPr="007D6523">
        <w:t>for</w:t>
      </w:r>
      <w:proofErr w:type="spellEnd"/>
      <w:r w:rsidRPr="007D6523">
        <w:t xml:space="preserve"> </w:t>
      </w:r>
      <w:proofErr w:type="spellStart"/>
      <w:r w:rsidRPr="007D6523">
        <w:t>the</w:t>
      </w:r>
      <w:proofErr w:type="spellEnd"/>
      <w:r w:rsidRPr="007D6523">
        <w:t xml:space="preserve"> </w:t>
      </w:r>
      <w:proofErr w:type="spellStart"/>
      <w:r w:rsidRPr="007D6523">
        <w:t>Future</w:t>
      </w:r>
      <w:proofErr w:type="spellEnd"/>
      <w:r w:rsidRPr="007D6523">
        <w:t xml:space="preserve"> waarin wordt gesteld dat de voorgenomen staatssteun van maximaal 2 miljard euro aan Tata Steel Nederland juridisch onhoudbaar, ineffectief en onrealistisch is?</w:t>
      </w:r>
    </w:p>
    <w:p w:rsidR="00F2577D" w:rsidP="00F2577D" w:rsidRDefault="00F2577D" w14:paraId="7562951E" w14:textId="77777777"/>
    <w:p w:rsidR="00F2577D" w:rsidP="00F2577D" w:rsidRDefault="00F2577D" w14:paraId="61FF9B14" w14:textId="77777777">
      <w:r>
        <w:t xml:space="preserve">Antwoord </w:t>
      </w:r>
    </w:p>
    <w:p w:rsidRPr="007D6523" w:rsidR="00F2577D" w:rsidP="00F2577D" w:rsidRDefault="00F2577D" w14:paraId="25ED3FC9" w14:textId="77777777">
      <w:r>
        <w:t>Ja.</w:t>
      </w:r>
    </w:p>
    <w:p w:rsidR="00F2577D" w:rsidP="00F2577D" w:rsidRDefault="00F2577D" w14:paraId="19B4BC9E" w14:textId="77777777"/>
    <w:p w:rsidR="00F2577D" w:rsidP="00F2577D" w:rsidRDefault="00F2577D" w14:paraId="45B4AE86" w14:textId="77777777">
      <w:r w:rsidRPr="007D6523">
        <w:t>2</w:t>
      </w:r>
    </w:p>
    <w:p w:rsidR="00F2577D" w:rsidP="00F2577D" w:rsidRDefault="00F2577D" w14:paraId="3F981C34" w14:textId="77777777">
      <w:r w:rsidRPr="007D6523">
        <w:t xml:space="preserve">Hoe beoordeelt u de juridische analyse van Advocates </w:t>
      </w:r>
      <w:proofErr w:type="spellStart"/>
      <w:r w:rsidRPr="007D6523">
        <w:t>for</w:t>
      </w:r>
      <w:proofErr w:type="spellEnd"/>
      <w:r w:rsidRPr="007D6523">
        <w:t xml:space="preserve"> </w:t>
      </w:r>
      <w:proofErr w:type="spellStart"/>
      <w:r w:rsidRPr="007D6523">
        <w:t>the</w:t>
      </w:r>
      <w:proofErr w:type="spellEnd"/>
      <w:r w:rsidRPr="007D6523">
        <w:t xml:space="preserve"> </w:t>
      </w:r>
      <w:proofErr w:type="spellStart"/>
      <w:r w:rsidRPr="007D6523">
        <w:t>Future</w:t>
      </w:r>
      <w:proofErr w:type="spellEnd"/>
      <w:r w:rsidRPr="007D6523">
        <w:t xml:space="preserve"> van 19</w:t>
      </w:r>
      <w:r>
        <w:t> </w:t>
      </w:r>
      <w:r w:rsidRPr="007D6523">
        <w:t>december 2025 dat de voorgenomen staatssteun aan Tata Steel in haar huidige vorm niet voldoet aan de vereisten van noodzaak, effectiviteit en proportionaliteit onder de Europese staatssteunregels (CEEAG), met name omdat niet is aangetoond dat de maatregelen leiden tot daadwerkelijke en additionele klimaat- en gezondheidswinst? Op welke wetenschappelijke bronnen baseert u uw beoordeling dan precies (graag met nauwkeurige bronvermelding)?</w:t>
      </w:r>
    </w:p>
    <w:p w:rsidR="00F2577D" w:rsidP="00F2577D" w:rsidRDefault="00F2577D" w14:paraId="497EC258" w14:textId="77777777"/>
    <w:p w:rsidR="00F2577D" w:rsidP="00F2577D" w:rsidRDefault="00F2577D" w14:paraId="1EF28070" w14:textId="77777777">
      <w:pPr>
        <w:rPr>
          <w:highlight w:val="yellow"/>
        </w:rPr>
      </w:pPr>
      <w:r>
        <w:t>Antwoord</w:t>
      </w:r>
    </w:p>
    <w:p w:rsidR="00F2577D" w:rsidP="00F2577D" w:rsidRDefault="00F2577D" w14:paraId="583613B1" w14:textId="77777777">
      <w:r>
        <w:t xml:space="preserve">Advocates </w:t>
      </w:r>
      <w:proofErr w:type="spellStart"/>
      <w:r>
        <w:t>for</w:t>
      </w:r>
      <w:proofErr w:type="spellEnd"/>
      <w:r>
        <w:t xml:space="preserve"> </w:t>
      </w:r>
      <w:proofErr w:type="spellStart"/>
      <w:r>
        <w:t>the</w:t>
      </w:r>
      <w:proofErr w:type="spellEnd"/>
      <w:r>
        <w:t xml:space="preserve"> </w:t>
      </w:r>
      <w:proofErr w:type="spellStart"/>
      <w:r>
        <w:t>Future</w:t>
      </w:r>
      <w:proofErr w:type="spellEnd"/>
      <w:r>
        <w:t xml:space="preserve"> heeft de juridische analyse ingediend als reactie op de publieke consultatie van de Joint Letter of </w:t>
      </w:r>
      <w:proofErr w:type="spellStart"/>
      <w:r>
        <w:t>Intent</w:t>
      </w:r>
      <w:proofErr w:type="spellEnd"/>
      <w:r>
        <w:t xml:space="preserve"> met Tata Steel</w:t>
      </w:r>
      <w:r w:rsidRPr="7BCFA091">
        <w:rPr>
          <w:rStyle w:val="Voetnootmarkering"/>
        </w:rPr>
        <w:footnoteReference w:id="1"/>
      </w:r>
      <w:r>
        <w:t xml:space="preserve">. Alle reacties op de publieke consultatie worden momenteel samengevat tot een zogenaamd hoofdlijnenverslag. Dit hoofdlijnenverslag wordt binnenkort naar de Kamer verzonden.  </w:t>
      </w:r>
    </w:p>
    <w:p w:rsidR="00F2577D" w:rsidP="00F2577D" w:rsidRDefault="00F2577D" w14:paraId="2D9E4053" w14:textId="77777777"/>
    <w:p w:rsidR="00F2577D" w:rsidP="00F2577D" w:rsidRDefault="00F2577D" w14:paraId="2B166D85" w14:textId="77777777">
      <w:r>
        <w:t>De Nederlandse staat wil en zal geen staatssteun verlenen aan een private onderneming in het kader van de maatwerkaanpak om te voldoen aan geldende wet- en regelgeving. De maatregelen onder de maatwerkaanpak moeten dan ook bovenwettelijk zijn. De staat ziet hier streng op toe en ook de Europese Commissie (hierna: EC) controleert dat de steun niet wordt gegeven om aan geldende EU-</w:t>
      </w:r>
      <w:r w:rsidRPr="0015653C">
        <w:t xml:space="preserve">wetgeving te voldoen. </w:t>
      </w:r>
      <w:r w:rsidRPr="1A858FF7">
        <w:t xml:space="preserve">De verwachte </w:t>
      </w:r>
      <w:r w:rsidRPr="0015653C">
        <w:t>CO</w:t>
      </w:r>
      <w:r w:rsidRPr="00006760">
        <w:rPr>
          <w:vertAlign w:val="subscript"/>
        </w:rPr>
        <w:t>2</w:t>
      </w:r>
      <w:r w:rsidRPr="0015653C">
        <w:t xml:space="preserve">-reductie van de projecten in de </w:t>
      </w:r>
      <w:proofErr w:type="spellStart"/>
      <w:r>
        <w:t>JLoI</w:t>
      </w:r>
      <w:proofErr w:type="spellEnd"/>
      <w:r>
        <w:t xml:space="preserve"> wordt onderschreven door het rapport van de technische adviseur van de staat. De Landsadvocaat heeft juridisch advies verleend over de (aanvullende) milieumaatregelen en in het bijzonder de </w:t>
      </w:r>
      <w:proofErr w:type="spellStart"/>
      <w:r>
        <w:t>bovenwettelijkheid</w:t>
      </w:r>
      <w:proofErr w:type="spellEnd"/>
      <w:r>
        <w:t xml:space="preserve"> daarvan. Dit advies is naar de Kamer verzonden.</w:t>
      </w:r>
      <w:r>
        <w:rPr>
          <w:rStyle w:val="Voetnootmarkering"/>
        </w:rPr>
        <w:footnoteReference w:id="2"/>
      </w:r>
      <w:r>
        <w:t xml:space="preserve"> De Landsadvocaat concludeert</w:t>
      </w:r>
      <w:r w:rsidDel="00D149FE">
        <w:t xml:space="preserve"> dat de voorgestelde milieumaatregelen op dit moment niet juridisch afdwingbaar zijn</w:t>
      </w:r>
      <w:r>
        <w:t xml:space="preserve"> zonder maatwerkafspraak</w:t>
      </w:r>
      <w:r w:rsidDel="00D149FE">
        <w:t xml:space="preserve">. </w:t>
      </w:r>
      <w:r>
        <w:t xml:space="preserve">Daarmee is de beoogde gezondheidswinst dus additioneel aan de geldende wet- en regelgeving. </w:t>
      </w:r>
    </w:p>
    <w:p w:rsidR="00F2577D" w:rsidP="00F2577D" w:rsidRDefault="00F2577D" w14:paraId="16745818" w14:textId="77777777"/>
    <w:p w:rsidR="00F2577D" w:rsidP="00F2577D" w:rsidRDefault="00F2577D" w14:paraId="08643CDB" w14:textId="77777777">
      <w:r>
        <w:t xml:space="preserve">Staatssteun kan rechtmatig worden verleend </w:t>
      </w:r>
      <w:bookmarkStart w:name="_Int_c9HmZNU7" w:id="0"/>
      <w:r>
        <w:t>indien</w:t>
      </w:r>
      <w:bookmarkEnd w:id="0"/>
      <w:r>
        <w:t xml:space="preserve"> wordt voldaan aan de voorwaarden van een Europees staatssteunkader, in dit geval, de Richtsnoeren staatssteun ten behoeve van klimaat, milieubescherming en energie 2022 (2022/C 80/01) (CEEAG). De beoogde steunmaatregel wordt dus conform de voorwaarden en verplichtingen uit het CEEAG-kader opgesteld. De EC moet de uiteindelijke steunmaatregel beoordelen en zal de voorgestelde maatregel toetsen aan de hand van dit kader. De juridische borging van het behalen van de doelen wordt uitgewerkt in de uiteindelijke maatwerkafspraak.</w:t>
      </w:r>
    </w:p>
    <w:p w:rsidRPr="00DA1833" w:rsidR="00F2577D" w:rsidP="00F2577D" w:rsidRDefault="00F2577D" w14:paraId="087F5083" w14:textId="77777777"/>
    <w:p w:rsidR="00F2577D" w:rsidP="00F2577D" w:rsidRDefault="00F2577D" w14:paraId="174078D9" w14:textId="77777777">
      <w:r w:rsidRPr="007D6523">
        <w:t>3</w:t>
      </w:r>
    </w:p>
    <w:p w:rsidR="00F2577D" w:rsidP="00F2577D" w:rsidRDefault="00F2577D" w14:paraId="1F68ECB5" w14:textId="77777777">
      <w:r>
        <w:t xml:space="preserve">Kunt u aangeven of u een juridische staatssteunanalyse heeft laten opstellen waarin expliciet wordt getoetst aan artikel 107, derde lid, van het Verdrag betreffende de werking van de Europese Unie (VWEU), het CEEAG-kader en het beginsel </w:t>
      </w:r>
      <w:proofErr w:type="spellStart"/>
      <w:r>
        <w:t>‘de</w:t>
      </w:r>
      <w:proofErr w:type="spellEnd"/>
      <w:r>
        <w:t xml:space="preserve"> vervuiler betaalt’, en bent u bereid deze analyse met de Kamer te delen vóór verdere besluitvorming? Zo nee, bent u bereid deze op te stellen en te delen?</w:t>
      </w:r>
    </w:p>
    <w:p w:rsidR="00F2577D" w:rsidP="00F2577D" w:rsidRDefault="00F2577D" w14:paraId="174DA75C" w14:textId="77777777"/>
    <w:p w:rsidR="00F2577D" w:rsidP="00F2577D" w:rsidRDefault="00F2577D" w14:paraId="191A3277" w14:textId="77777777">
      <w:pPr>
        <w:rPr>
          <w:highlight w:val="yellow"/>
        </w:rPr>
      </w:pPr>
      <w:r>
        <w:t>Antwoord</w:t>
      </w:r>
    </w:p>
    <w:p w:rsidR="00F2577D" w:rsidP="00F2577D" w:rsidRDefault="00F2577D" w14:paraId="1D0EC1FE" w14:textId="77777777">
      <w:r>
        <w:t xml:space="preserve">De verenigbaarheid met de interne markt van de beoogde steunmaatregel zal door de EC worden getoetst aan de hand van de CEEAG. Om die reden wordt de beoogde steunmaatregel zo vormgegeven dat aan de voorwaarden en verplichtingen uit het CEEAG-kader wordt voldaan, waaronder bijvoorbeeld het beginsel </w:t>
      </w:r>
      <w:proofErr w:type="spellStart"/>
      <w:r>
        <w:t>‘de</w:t>
      </w:r>
      <w:proofErr w:type="spellEnd"/>
      <w:r>
        <w:t xml:space="preserve"> vervuiler betaalt’ voor de milieumaatregelen. Dit is geanalyseerd en hierover vinden ook gesprekken plaats met de EC in het kader van de </w:t>
      </w:r>
      <w:proofErr w:type="spellStart"/>
      <w:r>
        <w:t>prenotificatiefase</w:t>
      </w:r>
      <w:proofErr w:type="spellEnd"/>
      <w:r>
        <w:t xml:space="preserve"> van deze steunmaatregel. Echter, het formele notificatietraject van de steunmaatregel bij de EC is nog niet gestart. Op het moment van de formele notificatieprocedure wordt door de EC getoetst of de steunmaatregel voldoet aan alle voorwaarden en verplichtingen uit de CEEAG en of de steunmaatregel verenigbaar is met de interne markt. De EC is exclusief bevoegd om te beoordelen of de steun verenigbaar is met artikel 107, derde lid, VWEU. De steun kan niet worden verleend zonder dat de EC deze heeft beoordeeld en goedgekeurd.</w:t>
      </w:r>
      <w:r w:rsidRPr="00FC560C">
        <w:t xml:space="preserve"> Deze goedkeuring, en daarmee de toets aan artikel 107, derde lid, VWEU, wordt openbaar gemaakt en gepubliceerd op de website van de Europese Commissie. </w:t>
      </w:r>
      <w:r>
        <w:t xml:space="preserve"> </w:t>
      </w:r>
    </w:p>
    <w:p w:rsidR="00F2577D" w:rsidP="00F2577D" w:rsidRDefault="00F2577D" w14:paraId="5A35010B" w14:textId="77777777"/>
    <w:p w:rsidR="00F2577D" w:rsidP="00F2577D" w:rsidRDefault="00F2577D" w14:paraId="3E75DFAF" w14:textId="77777777">
      <w:r w:rsidRPr="007D6523">
        <w:t>4</w:t>
      </w:r>
    </w:p>
    <w:p w:rsidRPr="007D6523" w:rsidR="00F2577D" w:rsidP="00F2577D" w:rsidRDefault="00F2577D" w14:paraId="4B130A80" w14:textId="77777777">
      <w:r w:rsidRPr="007D6523">
        <w:t xml:space="preserve">Kunt u uiteenzetten op welke wijze de aan de Kamer verstrekte </w:t>
      </w:r>
      <w:r w:rsidRPr="0015653C">
        <w:t>CO</w:t>
      </w:r>
      <w:r w:rsidRPr="00006760">
        <w:rPr>
          <w:vertAlign w:val="subscript"/>
        </w:rPr>
        <w:t>2</w:t>
      </w:r>
      <w:r w:rsidRPr="007D6523">
        <w:t xml:space="preserve">-reducties zijn berekend en welke aannames daarbij zijn gehanteerd over productievolumes en referentiescenario’s? Kunt u de onderliggende stukken en exacte wetenschappelijke </w:t>
      </w:r>
      <w:r w:rsidRPr="007D6523">
        <w:lastRenderedPageBreak/>
        <w:t xml:space="preserve">bronnen met de Kamer delen, zodat de Kamer haar controlerende en </w:t>
      </w:r>
      <w:proofErr w:type="spellStart"/>
      <w:r w:rsidRPr="007D6523">
        <w:t>kaderstellende</w:t>
      </w:r>
      <w:proofErr w:type="spellEnd"/>
      <w:r w:rsidRPr="007D6523">
        <w:t xml:space="preserve"> taak naar behoren kan uitvoeren?</w:t>
      </w:r>
    </w:p>
    <w:p w:rsidR="00F2577D" w:rsidP="00F2577D" w:rsidRDefault="00F2577D" w14:paraId="3486A6BE" w14:textId="77777777"/>
    <w:p w:rsidR="00F2577D" w:rsidP="00F2577D" w:rsidRDefault="00F2577D" w14:paraId="2CB7A37D" w14:textId="77777777">
      <w:pPr>
        <w:rPr>
          <w:highlight w:val="yellow"/>
        </w:rPr>
      </w:pPr>
      <w:r>
        <w:t>Antwoord</w:t>
      </w:r>
    </w:p>
    <w:p w:rsidR="00F2577D" w:rsidP="00F2577D" w:rsidRDefault="00F2577D" w14:paraId="1C07AB6F" w14:textId="77777777">
      <w:r>
        <w:t>Zoals in eerdere beantwoording aangegeven zijn bij de Kamerbrief</w:t>
      </w:r>
      <w:r w:rsidRPr="3879FC52">
        <w:rPr>
          <w:rStyle w:val="Voetnootmarkering"/>
        </w:rPr>
        <w:footnoteReference w:id="3"/>
      </w:r>
      <w:r>
        <w:t xml:space="preserve"> over de ondertekening van de </w:t>
      </w:r>
      <w:proofErr w:type="spellStart"/>
      <w:r>
        <w:t>JLoI</w:t>
      </w:r>
      <w:proofErr w:type="spellEnd"/>
      <w:r>
        <w:t xml:space="preserve"> ook de berekeningen van de </w:t>
      </w:r>
      <w:r w:rsidRPr="0015653C">
        <w:t>CO</w:t>
      </w:r>
      <w:r w:rsidRPr="00006760">
        <w:rPr>
          <w:vertAlign w:val="subscript"/>
        </w:rPr>
        <w:t>2</w:t>
      </w:r>
      <w:r>
        <w:t>-reductie gepubliceerd</w:t>
      </w:r>
      <w:r w:rsidRPr="3879FC52">
        <w:rPr>
          <w:rStyle w:val="Voetnootmarkering"/>
        </w:rPr>
        <w:footnoteReference w:id="4"/>
      </w:r>
      <w:r>
        <w:t xml:space="preserve">. </w:t>
      </w:r>
    </w:p>
    <w:p w:rsidR="00F2577D" w:rsidP="00F2577D" w:rsidRDefault="00F2577D" w14:paraId="6D487D90" w14:textId="77777777"/>
    <w:p w:rsidR="00F2577D" w:rsidP="00F2577D" w:rsidRDefault="00F2577D" w14:paraId="1105FF04" w14:textId="77777777">
      <w:r w:rsidRPr="007D6523">
        <w:t>5</w:t>
      </w:r>
    </w:p>
    <w:p w:rsidRPr="007D6523" w:rsidR="00F2577D" w:rsidP="00F2577D" w:rsidRDefault="00F2577D" w14:paraId="2E15001D" w14:textId="77777777">
      <w:r w:rsidRPr="007D6523">
        <w:t xml:space="preserve">Hoe beoordeelt u de kritiek van experts dat de beoogde </w:t>
      </w:r>
      <w:r w:rsidRPr="0015653C">
        <w:t>CO</w:t>
      </w:r>
      <w:r w:rsidRPr="00006760">
        <w:rPr>
          <w:vertAlign w:val="subscript"/>
        </w:rPr>
        <w:t>2</w:t>
      </w:r>
      <w:r w:rsidRPr="007D6523">
        <w:t>-reducties grotendeels een ‘papieren werkelijkheid’ betreft omdat een aanzienlijk deel van de uitstoot het gevolg is van capaciteitsafbouw, emissieverplaatsing en aannames? Op welke wetenschappelijke bronnen baseert u uw beoordeling dan precies (graag met nauwkeurige bronvermelding)?</w:t>
      </w:r>
    </w:p>
    <w:p w:rsidR="00F2577D" w:rsidP="00F2577D" w:rsidRDefault="00F2577D" w14:paraId="76B23332" w14:textId="77777777"/>
    <w:p w:rsidR="00F2577D" w:rsidP="00F2577D" w:rsidRDefault="00F2577D" w14:paraId="2D62FD20" w14:textId="77777777">
      <w:pPr>
        <w:rPr>
          <w:highlight w:val="yellow"/>
        </w:rPr>
      </w:pPr>
      <w:r>
        <w:t>Antwoord</w:t>
      </w:r>
    </w:p>
    <w:p w:rsidR="00F2577D" w:rsidP="00F2577D" w:rsidRDefault="00F2577D" w14:paraId="4995871F" w14:textId="77777777">
      <w:r>
        <w:t xml:space="preserve">Zoals in het antwoord op vraag 2 aangegeven zijn de beoogde </w:t>
      </w:r>
      <w:r w:rsidRPr="0015653C">
        <w:t>CO</w:t>
      </w:r>
      <w:r w:rsidRPr="00006760">
        <w:rPr>
          <w:vertAlign w:val="subscript"/>
        </w:rPr>
        <w:t>2</w:t>
      </w:r>
      <w:r>
        <w:t>-reducties getoetst door de technische adviseur van de staat</w:t>
      </w:r>
      <w:r>
        <w:rPr>
          <w:rStyle w:val="Voetnootmarkering"/>
        </w:rPr>
        <w:footnoteReference w:id="5"/>
      </w:r>
      <w:r>
        <w:t xml:space="preserve">. Het rapport hierover is met de </w:t>
      </w:r>
      <w:proofErr w:type="spellStart"/>
      <w:r>
        <w:t>JLoI</w:t>
      </w:r>
      <w:proofErr w:type="spellEnd"/>
      <w:r>
        <w:t xml:space="preserve"> meegestuurd naar de Kamer. Wat betreft de punten over capaciteitsafbouw en emissieverplaatsing verwijs ik graag naar eerdere beantwoording waarin wordt aangegeven dat er geen sprake is van capaciteitsafbouw en dat de maatwerkaanpak zich focust op vermindering van de directe </w:t>
      </w:r>
      <w:r w:rsidRPr="0015653C">
        <w:t>CO</w:t>
      </w:r>
      <w:r w:rsidRPr="00006760">
        <w:rPr>
          <w:vertAlign w:val="subscript"/>
        </w:rPr>
        <w:t>2</w:t>
      </w:r>
      <w:r>
        <w:t>-uitstoot bij de bedrijven zelf. De komende periode worden de juridische waarborgen voor het behalen van de doelen uitgewerkt en opgenomen in de uiteindelijke maatwerkafspraak.</w:t>
      </w:r>
    </w:p>
    <w:p w:rsidR="00F2577D" w:rsidP="00F2577D" w:rsidRDefault="00F2577D" w14:paraId="086D8994" w14:textId="77777777"/>
    <w:p w:rsidR="00F2577D" w:rsidP="00F2577D" w:rsidRDefault="00F2577D" w14:paraId="6D43BA05" w14:textId="77777777">
      <w:r w:rsidRPr="007D6523">
        <w:t>6</w:t>
      </w:r>
    </w:p>
    <w:p w:rsidR="00F2577D" w:rsidP="00F2577D" w:rsidRDefault="00F2577D" w14:paraId="5A44480D" w14:textId="77777777">
      <w:r w:rsidRPr="007D6523">
        <w:t xml:space="preserve">Waarom is bij de beoordeling van de klimaatwinst uitsluitend gekeken naar </w:t>
      </w:r>
    </w:p>
    <w:p w:rsidRPr="007D6523" w:rsidR="00F2577D" w:rsidP="00F2577D" w:rsidRDefault="00F2577D" w14:paraId="088D0CD8" w14:textId="77777777">
      <w:r w:rsidRPr="007D6523">
        <w:t>emissiereducties binnen Nederland (scope 1), terwijl bekend is dat methaanlekken bij gaswinning de totale klimaatimpact substantieel kunnen verhogen?</w:t>
      </w:r>
    </w:p>
    <w:p w:rsidR="00F2577D" w:rsidP="00F2577D" w:rsidRDefault="00F2577D" w14:paraId="26326016" w14:textId="77777777"/>
    <w:p w:rsidR="00F2577D" w:rsidP="00F2577D" w:rsidRDefault="00F2577D" w14:paraId="759CE682" w14:textId="77777777">
      <w:pPr>
        <w:rPr>
          <w:highlight w:val="yellow"/>
        </w:rPr>
      </w:pPr>
      <w:r>
        <w:t>Antwoord</w:t>
      </w:r>
    </w:p>
    <w:p w:rsidR="00F2577D" w:rsidP="00F2577D" w:rsidRDefault="00F2577D" w14:paraId="1F44041C" w14:textId="77777777">
      <w:pPr>
        <w:rPr>
          <w:rFonts w:eastAsia="Verdana" w:cs="Verdana"/>
        </w:rPr>
      </w:pPr>
      <w:r>
        <w:t xml:space="preserve">Een vergelijkbare vraag is eerder gesteld en beantwoord. Voor uw gemak hieronder nogmaals de exacte vraag en het antwoord. </w:t>
      </w:r>
    </w:p>
    <w:p w:rsidR="00F2577D" w:rsidP="00F2577D" w:rsidRDefault="00F2577D" w14:paraId="0F5E7BD1" w14:textId="77777777"/>
    <w:p w:rsidRPr="0060494A" w:rsidR="00F2577D" w:rsidP="00F2577D" w:rsidRDefault="00F2577D" w14:paraId="36C0CC01" w14:textId="77777777">
      <w:pPr>
        <w:rPr>
          <w:i/>
          <w:iCs/>
        </w:rPr>
      </w:pPr>
      <w:r w:rsidRPr="0060494A">
        <w:rPr>
          <w:rFonts w:eastAsia="Verdana" w:cs="Verdana"/>
          <w:i/>
          <w:iCs/>
          <w:szCs w:val="18"/>
        </w:rPr>
        <w:t xml:space="preserve">Kunt u uiteenzetten waarom bij dit soort afspraken alleen wordt gekeken naar uitstoot op Nederlandse bodem en niet naar de wereldwijde klimaatimpact, terwijl </w:t>
      </w:r>
      <w:r w:rsidRPr="0015653C">
        <w:t>CO</w:t>
      </w:r>
      <w:r w:rsidRPr="00006760">
        <w:rPr>
          <w:vertAlign w:val="subscript"/>
        </w:rPr>
        <w:t>2</w:t>
      </w:r>
      <w:r w:rsidRPr="0060494A">
        <w:rPr>
          <w:rFonts w:eastAsia="Verdana" w:cs="Verdana"/>
          <w:i/>
          <w:iCs/>
          <w:szCs w:val="18"/>
        </w:rPr>
        <w:t xml:space="preserve"> niet bij landsgrenzen ophoudt?</w:t>
      </w:r>
      <w:r w:rsidRPr="0060494A">
        <w:rPr>
          <w:i/>
          <w:iCs/>
        </w:rPr>
        <w:t xml:space="preserve"> </w:t>
      </w:r>
    </w:p>
    <w:p w:rsidRPr="0060494A" w:rsidR="00F2577D" w:rsidP="00F2577D" w:rsidRDefault="00F2577D" w14:paraId="1D5F1C5B" w14:textId="77777777">
      <w:pPr>
        <w:ind w:left="709"/>
        <w:rPr>
          <w:i/>
          <w:iCs/>
        </w:rPr>
      </w:pPr>
    </w:p>
    <w:p w:rsidRPr="0060494A" w:rsidR="00F2577D" w:rsidP="00F2577D" w:rsidRDefault="00F2577D" w14:paraId="64CF884D" w14:textId="77777777">
      <w:pPr>
        <w:rPr>
          <w:rFonts w:eastAsia="Verdana" w:cs="Verdana"/>
          <w:i/>
          <w:iCs/>
          <w:szCs w:val="18"/>
        </w:rPr>
      </w:pPr>
      <w:r w:rsidRPr="0060494A">
        <w:rPr>
          <w:rFonts w:eastAsia="Verdana" w:cs="Verdana"/>
          <w:i/>
          <w:iCs/>
          <w:szCs w:val="18"/>
        </w:rPr>
        <w:t xml:space="preserve">De internationale en Europese afspraken op klimaatbeleid en het verminderen van de </w:t>
      </w:r>
      <w:r w:rsidRPr="0015653C">
        <w:t>CO</w:t>
      </w:r>
      <w:r w:rsidRPr="00006760">
        <w:rPr>
          <w:vertAlign w:val="subscript"/>
        </w:rPr>
        <w:t>2</w:t>
      </w:r>
      <w:r w:rsidRPr="0060494A">
        <w:rPr>
          <w:rFonts w:eastAsia="Verdana" w:cs="Verdana"/>
          <w:i/>
          <w:iCs/>
          <w:szCs w:val="18"/>
        </w:rPr>
        <w:t xml:space="preserve">-uitstoot zijn ingericht langs de lijnen van de verantwoordelijkheid voor de nationale uitstoot. Daarnaast heeft het kabinet heeft bij het vaststellen van klimaatbeleid oog voor de internationale klimaatimpact van maatregelen. Zo werkt het kabinet in samenwerking met andere EU-lidstaten aan de implementatie van de methaanverordening en aan een monitoringssysteem voor het verkrijgen van inzicht op gas dat uit het buitenland op de markt in de EU wordt gebracht. De maatwerkafspraken zijn gericht op het realiseren van maatregelen die bijdragen aan directe vermindering van </w:t>
      </w:r>
      <w:r w:rsidRPr="0015653C">
        <w:t>CO</w:t>
      </w:r>
      <w:r w:rsidRPr="00006760">
        <w:rPr>
          <w:vertAlign w:val="subscript"/>
        </w:rPr>
        <w:t>2</w:t>
      </w:r>
      <w:r w:rsidRPr="0060494A">
        <w:rPr>
          <w:rFonts w:eastAsia="Verdana" w:cs="Verdana"/>
          <w:i/>
          <w:iCs/>
          <w:szCs w:val="18"/>
        </w:rPr>
        <w:t xml:space="preserve">-uitstoot van de industrie in Nederland en waar relevant de impact op de leefomgeving te verminderen. Zoals ook aangegeven bij de antwoorden op vraag 1 tot en met 3 zijn de bedrijfsemissies stuurbaar via een maatwerkafspraak. Deze aanpak is in lijn met internationale afspraken. Het kabinet beoogt met de maatwerkaanpak om de industrie te verduurzamen en in Nederland te behouden. De vraag naar staal zal immers blijven bestaan. Als er geen maatwerkafspraak komt, en het bedrijf zou besluiten om de productie naar het buitenland te verplaatsen, heeft dit tot gevolg dat staal vanuit het buitenland geïmporteerd zal worden. Daarmee vergroten we onze import afhankelijkheid. Daarbij is de staalproductie in het buitenland niet schoner of duurzamer, waarmee de verplaatsing van de productie een negatief effect heeft zou hebben op het klimaat. </w:t>
      </w:r>
    </w:p>
    <w:p w:rsidR="00F2577D" w:rsidP="00F2577D" w:rsidRDefault="00F2577D" w14:paraId="08ACE97D" w14:textId="77777777"/>
    <w:p w:rsidR="00F2577D" w:rsidP="00F2577D" w:rsidRDefault="00F2577D" w14:paraId="6C860905" w14:textId="77777777">
      <w:pPr>
        <w:rPr>
          <w:rFonts w:eastAsia="Verdana" w:cs="Verdana"/>
        </w:rPr>
      </w:pPr>
      <w:r>
        <w:t>7</w:t>
      </w:r>
    </w:p>
    <w:p w:rsidR="00F2577D" w:rsidP="00F2577D" w:rsidRDefault="00F2577D" w14:paraId="6D14EFE3" w14:textId="77777777">
      <w:r w:rsidRPr="007D6523">
        <w:t>Acht u het verenigbaar met de 1,5°C-doelstelling van het Parijsakkoord dat het grootste deel van de steun wordt ingezet voor installaties die primair op aardgas zullen gaan draaien, zonder harde verplichting tot tijdige omschakeling naar hernieuwbare energie, terwijl onzeker is of en wanneer omschakeling naar groene waterstof daadwerkelijk mogelijk zal</w:t>
      </w:r>
      <w:r>
        <w:t xml:space="preserve"> </w:t>
      </w:r>
      <w:r w:rsidRPr="007D6523">
        <w:t>zijn gezien de beperkte beschikbaarheid en concurrerende vraag? Op welke wetenschappelijke bronnen baseert u uw positie hierin dan precies (graag met nauwkeurige bronvermelding)?</w:t>
      </w:r>
    </w:p>
    <w:p w:rsidR="00F2577D" w:rsidP="00F2577D" w:rsidRDefault="00F2577D" w14:paraId="5743C708" w14:textId="77777777"/>
    <w:p w:rsidR="00F2577D" w:rsidP="00F2577D" w:rsidRDefault="00F2577D" w14:paraId="5E376994" w14:textId="77777777">
      <w:pPr>
        <w:rPr>
          <w:highlight w:val="yellow"/>
        </w:rPr>
      </w:pPr>
      <w:r>
        <w:t>Antwoord</w:t>
      </w:r>
    </w:p>
    <w:p w:rsidR="00F2577D" w:rsidP="00F2577D" w:rsidRDefault="00F2577D" w14:paraId="0EDA2D48" w14:textId="77777777">
      <w:r>
        <w:t xml:space="preserve">De maatwerkafspraak met TSN beoogt een grote </w:t>
      </w:r>
      <w:r w:rsidRPr="0015653C">
        <w:t>CO</w:t>
      </w:r>
      <w:r w:rsidRPr="00006760">
        <w:rPr>
          <w:vertAlign w:val="subscript"/>
        </w:rPr>
        <w:t>2</w:t>
      </w:r>
      <w:r>
        <w:t xml:space="preserve">-reductie van 7,2 </w:t>
      </w:r>
      <w:proofErr w:type="spellStart"/>
      <w:r>
        <w:t>Mton</w:t>
      </w:r>
      <w:proofErr w:type="spellEnd"/>
      <w:r>
        <w:t xml:space="preserve">/jaar en forse verbetering van de leefomgeving en gezondheid van omwonenden te realiseren. Verder is in de </w:t>
      </w:r>
      <w:proofErr w:type="spellStart"/>
      <w:r>
        <w:t>JLoI</w:t>
      </w:r>
      <w:proofErr w:type="spellEnd"/>
      <w:r>
        <w:t xml:space="preserve"> opgenomen dat TSN ernaar streeft om uiterlijk in 2045 en zo snel als redelijkerwijs mogelijk is klimaatneutraliteit te bereiken. Juist </w:t>
      </w:r>
      <w:r>
        <w:lastRenderedPageBreak/>
        <w:t xml:space="preserve">vanwege de </w:t>
      </w:r>
      <w:r w:rsidRPr="007D6523">
        <w:t>1,5°C-doelstelling van het Parijsakkoord</w:t>
      </w:r>
      <w:r>
        <w:t xml:space="preserve"> is het van belang om op korte termijn de emissies naar beneden te brengen. </w:t>
      </w:r>
    </w:p>
    <w:p w:rsidR="00F2577D" w:rsidP="00F2577D" w:rsidRDefault="00F2577D" w14:paraId="6307E6D1" w14:textId="77777777"/>
    <w:p w:rsidR="00F2577D" w:rsidP="00F2577D" w:rsidRDefault="00F2577D" w14:paraId="412EBA97" w14:textId="77777777">
      <w:r>
        <w:t>Zoals in eerdere beantwoording aangegeven</w:t>
      </w:r>
      <w:r>
        <w:rPr>
          <w:rStyle w:val="Voetnootmarkering"/>
        </w:rPr>
        <w:footnoteReference w:id="6"/>
      </w:r>
      <w:r w:rsidRPr="006D1696">
        <w:t xml:space="preserve"> </w:t>
      </w:r>
      <w:r>
        <w:t>is i</w:t>
      </w:r>
      <w:r w:rsidRPr="006D1696">
        <w:t xml:space="preserve">n de </w:t>
      </w:r>
      <w:proofErr w:type="spellStart"/>
      <w:r w:rsidRPr="006D1696">
        <w:t>JLoI</w:t>
      </w:r>
      <w:proofErr w:type="spellEnd"/>
      <w:r w:rsidRPr="006D1696">
        <w:t xml:space="preserve"> overeengekomen dat TSN in de periode 2032-2037 het aardgas in de nieuw te bouwen DRP-installatie zal vervangen door groene waterstof en/of </w:t>
      </w:r>
      <w:proofErr w:type="spellStart"/>
      <w:r w:rsidRPr="006D1696">
        <w:t>biomethaan</w:t>
      </w:r>
      <w:proofErr w:type="spellEnd"/>
      <w:r>
        <w:t xml:space="preserve">. De installatie kan technisch overgaan op groene waterstof en/of </w:t>
      </w:r>
      <w:proofErr w:type="spellStart"/>
      <w:r>
        <w:t>biomethaan</w:t>
      </w:r>
      <w:proofErr w:type="spellEnd"/>
      <w:r>
        <w:t xml:space="preserve"> en hiervoor zijn dus geen technische aanpassingen nodig. Om in de tussenfase dat de DRP op aardgas draait een grotere </w:t>
      </w:r>
      <w:r w:rsidRPr="0015653C">
        <w:t>CO</w:t>
      </w:r>
      <w:r w:rsidRPr="00006760">
        <w:rPr>
          <w:vertAlign w:val="subscript"/>
        </w:rPr>
        <w:t>2</w:t>
      </w:r>
      <w:r>
        <w:t xml:space="preserve">-reductie mogelijk te maken wordt CCS toegepast. Als is overgestapt op </w:t>
      </w:r>
      <w:proofErr w:type="spellStart"/>
      <w:r>
        <w:t>biomethaan</w:t>
      </w:r>
      <w:proofErr w:type="spellEnd"/>
      <w:r>
        <w:t xml:space="preserve"> kunnen hiermee ook negatieve emissies worden gerealiseerd.</w:t>
      </w:r>
    </w:p>
    <w:p w:rsidR="00F2577D" w:rsidP="00F2577D" w:rsidRDefault="00F2577D" w14:paraId="38B90474" w14:textId="77777777"/>
    <w:p w:rsidR="00F2577D" w:rsidP="00F2577D" w:rsidRDefault="00F2577D" w14:paraId="2CECA890" w14:textId="77777777">
      <w:r>
        <w:t xml:space="preserve">Voor de aankoop van groene waterstof en </w:t>
      </w:r>
      <w:proofErr w:type="spellStart"/>
      <w:r>
        <w:t>biomethaan</w:t>
      </w:r>
      <w:proofErr w:type="spellEnd"/>
      <w:r>
        <w:t xml:space="preserve"> is de Staat voornemens een lening van 200 miljoen euro te verstrekken. De haalbaarheid van de overstap op groene energiebronnen is getoetst door de technische en financiële adviseurs van de staat. Voor groen gas specifiek schat externe adviseur Common </w:t>
      </w:r>
      <w:proofErr w:type="spellStart"/>
      <w:r>
        <w:t>Futures</w:t>
      </w:r>
      <w:proofErr w:type="spellEnd"/>
      <w:r>
        <w:t xml:space="preserve"> het Europese productiepotentieel voor groengasproductie op 100 </w:t>
      </w:r>
      <w:proofErr w:type="spellStart"/>
      <w:r>
        <w:t>bcm</w:t>
      </w:r>
      <w:proofErr w:type="spellEnd"/>
      <w:r>
        <w:t xml:space="preserve">, ruim voldoende om aan de vraag van TSN van 0.5 </w:t>
      </w:r>
      <w:proofErr w:type="spellStart"/>
      <w:r>
        <w:t>bcm</w:t>
      </w:r>
      <w:proofErr w:type="spellEnd"/>
      <w:r>
        <w:t xml:space="preserve"> te voldoen. De juridische waarborgen voor de overstap op groene energiebronnen worden de komende tijd uitgewerkt en opgenomen in de maatwerkafspraak. Daarbij is het voorkomen van een </w:t>
      </w:r>
      <w:proofErr w:type="spellStart"/>
      <w:r>
        <w:t>lock</w:t>
      </w:r>
      <w:proofErr w:type="spellEnd"/>
      <w:r>
        <w:t xml:space="preserve">-in op aardgas een van de voorwaarden uit het relevante staatssteunkader van de EC, de CEEAG. </w:t>
      </w:r>
    </w:p>
    <w:p w:rsidR="00F2577D" w:rsidP="00F2577D" w:rsidRDefault="00F2577D" w14:paraId="0E0B6EA9" w14:textId="77777777"/>
    <w:p w:rsidR="00F2577D" w:rsidP="00F2577D" w:rsidRDefault="00F2577D" w14:paraId="67A114C5" w14:textId="77777777">
      <w:r w:rsidRPr="007D6523">
        <w:t>8</w:t>
      </w:r>
    </w:p>
    <w:p w:rsidR="00F2577D" w:rsidP="00F2577D" w:rsidRDefault="00F2577D" w14:paraId="29A6BF6E" w14:textId="77777777">
      <w:r w:rsidRPr="007D6523">
        <w:t xml:space="preserve">Waarom zijn in de Joint Letter of </w:t>
      </w:r>
      <w:proofErr w:type="spellStart"/>
      <w:r w:rsidRPr="007D6523">
        <w:t>Intent</w:t>
      </w:r>
      <w:proofErr w:type="spellEnd"/>
      <w:r w:rsidRPr="007D6523">
        <w:t xml:space="preserve"> geen juridisch afdwingbare verplichtingen opgenomen die Tata Steel verplichten om uiterlijk op een vast moment te stoppen met het gebruik van kolen en aardgas? Hoe wordt het risico op een langdurige fossiele </w:t>
      </w:r>
      <w:proofErr w:type="spellStart"/>
      <w:r w:rsidRPr="007D6523">
        <w:t>lock</w:t>
      </w:r>
      <w:proofErr w:type="spellEnd"/>
      <w:r w:rsidRPr="007D6523">
        <w:t>-in voorkomen, en kunt u de expertbronnen waarop u zich baseert meesturen?</w:t>
      </w:r>
    </w:p>
    <w:p w:rsidR="00F2577D" w:rsidP="00F2577D" w:rsidRDefault="00F2577D" w14:paraId="7D0AAE15" w14:textId="77777777"/>
    <w:p w:rsidR="00F2577D" w:rsidP="00F2577D" w:rsidRDefault="00F2577D" w14:paraId="1DC554A4" w14:textId="77777777">
      <w:pPr>
        <w:rPr>
          <w:highlight w:val="yellow"/>
        </w:rPr>
      </w:pPr>
      <w:r>
        <w:t>Antwoord</w:t>
      </w:r>
    </w:p>
    <w:p w:rsidRPr="007D6523" w:rsidR="00F2577D" w:rsidP="00F2577D" w:rsidRDefault="00F2577D" w14:paraId="364CD88B" w14:textId="77777777">
      <w:r>
        <w:t xml:space="preserve">Het proces van de maatwerkaanpak is zo georganiseerd dat de </w:t>
      </w:r>
      <w:proofErr w:type="spellStart"/>
      <w:r>
        <w:t>JLoI</w:t>
      </w:r>
      <w:proofErr w:type="spellEnd"/>
      <w:r>
        <w:t xml:space="preserve"> inspanningsverplichtingen bevat. Zie vraag 7 hierboven voor een nadere toelichting op de afspraken over de overstap van kolen naar aardgas en het voorkomen van een </w:t>
      </w:r>
      <w:proofErr w:type="spellStart"/>
      <w:r>
        <w:t>lock</w:t>
      </w:r>
      <w:proofErr w:type="spellEnd"/>
      <w:r>
        <w:t>-in.</w:t>
      </w:r>
    </w:p>
    <w:p w:rsidR="00F2577D" w:rsidP="00F2577D" w:rsidRDefault="00F2577D" w14:paraId="3D1C127B" w14:textId="77777777"/>
    <w:p w:rsidR="00F2577D" w:rsidP="00F2577D" w:rsidRDefault="00F2577D" w14:paraId="78FDC52F" w14:textId="77777777">
      <w:r w:rsidRPr="007D6523">
        <w:lastRenderedPageBreak/>
        <w:t>9</w:t>
      </w:r>
    </w:p>
    <w:p w:rsidR="00F2577D" w:rsidP="00F2577D" w:rsidRDefault="00F2577D" w14:paraId="3A82875F" w14:textId="77777777">
      <w:r w:rsidRPr="007D6523">
        <w:t xml:space="preserve">Kunt u toelichten hoe en door wie is getoetst en vastgesteld dat de gesubsidieerde maatregelen niet (gedeeltelijk) zien op naleving van bestaande wettelijke verplichtingen van Tata Steel? Hoe wordt precies voorkomen dat publieke middelen worden ingezet voor kosten die op grond van het beginsel </w:t>
      </w:r>
      <w:proofErr w:type="spellStart"/>
      <w:r w:rsidRPr="007D6523">
        <w:t>‘de</w:t>
      </w:r>
      <w:proofErr w:type="spellEnd"/>
      <w:r w:rsidRPr="007D6523">
        <w:t xml:space="preserve"> vervuiler betaalt’ voor rekening van het bedrijf zelf horen te komen?</w:t>
      </w:r>
    </w:p>
    <w:p w:rsidR="00F2577D" w:rsidP="00F2577D" w:rsidRDefault="00F2577D" w14:paraId="3C90258C" w14:textId="77777777"/>
    <w:p w:rsidR="00F2577D" w:rsidP="00F2577D" w:rsidRDefault="00F2577D" w14:paraId="00FD4421" w14:textId="77777777">
      <w:r>
        <w:t>Antwoord</w:t>
      </w:r>
    </w:p>
    <w:p w:rsidR="00F2577D" w:rsidP="00F2577D" w:rsidRDefault="00F2577D" w14:paraId="0F2B586B" w14:textId="77777777">
      <w:pPr>
        <w:rPr>
          <w:vertAlign w:val="superscript"/>
        </w:rPr>
      </w:pPr>
      <w:r>
        <w:t>De maatwerkaanpak richt zich op het realiseren van bovenwettelijke maatregelen, oftewel maatregelen die een grotere reductie bewerkstelligen dan wettelijk verplicht. Er kan dus ook alleen maatwerksteun worden gegeven voor bovenwettelijke maatregelen. De Staat toetst hier streng op. Ook de EC toetst</w:t>
      </w:r>
      <w:r w:rsidRPr="08AFCA05">
        <w:rPr>
          <w:rFonts w:eastAsia="Verdana" w:cs="Verdana"/>
        </w:rPr>
        <w:t xml:space="preserve"> dat de Nederlandse staat alleen maatregelen steunt die verder gaan dan Unienormen.</w:t>
      </w:r>
      <w:r>
        <w:t xml:space="preserve"> Voor de milieumaatregelen specifiek is een juridische analyse gemaakt door de Landsadvocaat, zie ook het antwoord op vraag 2. Hieruit volgt dat de voorgestelde milieumaatregelen op dit moment niet wettelijk afdwingbaar zijn.</w:t>
      </w:r>
      <w:r>
        <w:rPr>
          <w:rStyle w:val="Voetnootmarkering"/>
        </w:rPr>
        <w:footnoteReference w:id="7"/>
      </w:r>
    </w:p>
    <w:p w:rsidR="00F2577D" w:rsidP="00F2577D" w:rsidRDefault="00F2577D" w14:paraId="0CEBBDB8" w14:textId="77777777"/>
    <w:p w:rsidR="00F2577D" w:rsidP="00F2577D" w:rsidRDefault="00F2577D" w14:paraId="4AD9E757" w14:textId="77777777">
      <w:r w:rsidRPr="007D6523">
        <w:t>10</w:t>
      </w:r>
    </w:p>
    <w:p w:rsidR="00F2577D" w:rsidP="00F2577D" w:rsidRDefault="00F2577D" w14:paraId="248CCC3C" w14:textId="77777777">
      <w:r w:rsidRPr="007D6523">
        <w:t xml:space="preserve">Aangezien de voorgestelde steun slechts betrekking heeft op een deel van de staalproductie en Tata Steel zelf niet in staat zou zijn om de productie te </w:t>
      </w:r>
      <w:proofErr w:type="spellStart"/>
      <w:r w:rsidRPr="007D6523">
        <w:t>vergroenen</w:t>
      </w:r>
      <w:proofErr w:type="spellEnd"/>
      <w:r w:rsidRPr="007D6523">
        <w:t>, hoe voorkomt u dat een subsidiefuik ontstaat? Staat niet reeds vast dat Tata Steel straks voor meer subsidie zal aankloppen? En wordt het door de nu voorgestelde steunmaatregelen van 2 miljard euro niet lastiger om deze te weigeren? Kunt u aangeven hoe precies dit scenario wordt voorkomen?</w:t>
      </w:r>
    </w:p>
    <w:p w:rsidR="00F2577D" w:rsidP="00F2577D" w:rsidRDefault="00F2577D" w14:paraId="4883F0DD" w14:textId="77777777"/>
    <w:p w:rsidR="00F2577D" w:rsidP="00F2577D" w:rsidRDefault="00F2577D" w14:paraId="08BC2AAD" w14:textId="77777777">
      <w:r>
        <w:t>Antwoord</w:t>
      </w:r>
    </w:p>
    <w:p w:rsidR="00F2577D" w:rsidP="00F2577D" w:rsidRDefault="00F2577D" w14:paraId="35BDE0E7" w14:textId="77777777">
      <w:pPr>
        <w:rPr>
          <w:rFonts w:eastAsia="Verdana" w:cs="Verdana"/>
        </w:rPr>
      </w:pPr>
      <w:r w:rsidRPr="002458CF">
        <w:t xml:space="preserve">Met de </w:t>
      </w:r>
      <w:proofErr w:type="spellStart"/>
      <w:r>
        <w:t>JLoI</w:t>
      </w:r>
      <w:proofErr w:type="spellEnd"/>
      <w:r w:rsidRPr="002458CF">
        <w:t xml:space="preserve"> </w:t>
      </w:r>
      <w:r>
        <w:t xml:space="preserve">committeert de staat zich op dit moment op geen enkele manier aan aanvullende investeringen boven op de beoogde maatwerksubsidie van 2 miljard euro. Daarbovenop is in de </w:t>
      </w:r>
      <w:proofErr w:type="spellStart"/>
      <w:r w:rsidRPr="1A858FF7">
        <w:t>JLoI</w:t>
      </w:r>
      <w:proofErr w:type="spellEnd"/>
      <w:r w:rsidRPr="1A858FF7">
        <w:t xml:space="preserve"> opgenomen dat er geen maatwerksteun wordt voorzien voor de tweede fase van de verduurzaming van TSN. D</w:t>
      </w:r>
      <w:r w:rsidRPr="0A15B6FA">
        <w:rPr>
          <w:rFonts w:eastAsia="Verdana" w:cs="Verdana"/>
        </w:rPr>
        <w:t xml:space="preserve">e staat ziet op dit moment ook geen realistisch scenario waarin de tweede fase van de verduurzaming van TSN in aanmerking komt voor maatwerkondersteuning. De tweede fase zal naar de huidige verwachting medio jaren ‘30 worden uitgevoerd. Op dat moment zijn naar verwachting hoge EU ETS kosten en een goedwerkende CBAM in combinatie met een mogelijk kolenverbod aan de orde. Dit alles maakt het zeer onwaarschijnlijk dat er überhaupt subsidie mag worden verstrekt voor deze fase. Tegelijkertijd kan dit scenario nooit volledig uitgesloten worden, omdat wet- en regelgeving en klimaatbeleid in de toekomst kan wijzigen. Daarbij is het goed om op te merken dat </w:t>
      </w:r>
      <w:r w:rsidRPr="0A15B6FA">
        <w:rPr>
          <w:rFonts w:eastAsia="Verdana" w:cs="Verdana"/>
        </w:rPr>
        <w:lastRenderedPageBreak/>
        <w:t xml:space="preserve">een individueel bedrijf niet kan worden uitgesloten van eventueel in de toekomst bestaande generieke subsidie-instrumenten. Zie ook de beantwoording van vragen van de leden Kostić (PvdD), Dassen (Volt), </w:t>
      </w:r>
      <w:r>
        <w:rPr>
          <w:rFonts w:eastAsia="Verdana" w:cs="Verdana"/>
        </w:rPr>
        <w:t>V</w:t>
      </w:r>
      <w:r w:rsidRPr="0A15B6FA">
        <w:rPr>
          <w:rFonts w:eastAsia="Verdana" w:cs="Verdana"/>
        </w:rPr>
        <w:t>an</w:t>
      </w:r>
      <w:r>
        <w:rPr>
          <w:rFonts w:eastAsia="Verdana" w:cs="Verdana"/>
        </w:rPr>
        <w:t> </w:t>
      </w:r>
      <w:r w:rsidRPr="0A15B6FA">
        <w:rPr>
          <w:rFonts w:eastAsia="Verdana" w:cs="Verdana"/>
        </w:rPr>
        <w:t xml:space="preserve">Oosterhout en </w:t>
      </w:r>
      <w:proofErr w:type="spellStart"/>
      <w:r w:rsidRPr="0A15B6FA">
        <w:rPr>
          <w:rFonts w:eastAsia="Verdana" w:cs="Verdana"/>
        </w:rPr>
        <w:t>Zalinyan</w:t>
      </w:r>
      <w:proofErr w:type="spellEnd"/>
      <w:r w:rsidRPr="0A15B6FA">
        <w:rPr>
          <w:rFonts w:eastAsia="Verdana" w:cs="Verdana"/>
        </w:rPr>
        <w:t xml:space="preserve"> (beiden GroenLinks-</w:t>
      </w:r>
      <w:proofErr w:type="spellStart"/>
      <w:r w:rsidRPr="0A15B6FA">
        <w:rPr>
          <w:rFonts w:eastAsia="Verdana" w:cs="Verdana"/>
        </w:rPr>
        <w:t>Pvda</w:t>
      </w:r>
      <w:proofErr w:type="spellEnd"/>
      <w:r w:rsidRPr="0A15B6FA">
        <w:rPr>
          <w:rFonts w:eastAsia="Verdana" w:cs="Verdana"/>
        </w:rPr>
        <w:t xml:space="preserve">) die op 4 februari jl. zijn beantwoord en eveneens zien op </w:t>
      </w:r>
      <w:r w:rsidRPr="1A858FF7">
        <w:rPr>
          <w:rFonts w:eastAsia="Verdana" w:cs="Verdana"/>
        </w:rPr>
        <w:t>het voorkomen van</w:t>
      </w:r>
      <w:r w:rsidRPr="0A15B6FA">
        <w:rPr>
          <w:rFonts w:eastAsia="Verdana" w:cs="Verdana"/>
        </w:rPr>
        <w:t>, kort gezegd,</w:t>
      </w:r>
      <w:r>
        <w:rPr>
          <w:rFonts w:eastAsia="Verdana" w:cs="Verdana"/>
        </w:rPr>
        <w:t xml:space="preserve"> een subsidiefuik</w:t>
      </w:r>
      <w:r w:rsidRPr="0A15B6FA">
        <w:rPr>
          <w:rFonts w:eastAsia="Verdana" w:cs="Verdana"/>
        </w:rPr>
        <w:t>.</w:t>
      </w:r>
      <w:r w:rsidRPr="1A858FF7">
        <w:rPr>
          <w:rStyle w:val="Voetnootmarkering"/>
          <w:rFonts w:eastAsia="Verdana" w:cs="Verdana"/>
        </w:rPr>
        <w:footnoteReference w:id="8"/>
      </w:r>
      <w:r w:rsidRPr="1A858FF7">
        <w:rPr>
          <w:rFonts w:eastAsia="Verdana" w:cs="Verdana"/>
        </w:rPr>
        <w:t xml:space="preserve"> Zie voor uw gemak hieronder de exacte vragen en beantwoording:</w:t>
      </w:r>
    </w:p>
    <w:p w:rsidR="00F2577D" w:rsidP="00F2577D" w:rsidRDefault="00F2577D" w14:paraId="5069BE48" w14:textId="77777777">
      <w:pPr>
        <w:rPr>
          <w:rFonts w:eastAsia="Verdana" w:cs="Verdana"/>
        </w:rPr>
      </w:pPr>
    </w:p>
    <w:p w:rsidRPr="0060494A" w:rsidR="00F2577D" w:rsidP="00F2577D" w:rsidRDefault="00F2577D" w14:paraId="03B5AB20" w14:textId="77777777">
      <w:pPr>
        <w:rPr>
          <w:rFonts w:eastAsia="Verdana" w:cs="Verdana"/>
          <w:i/>
          <w:iCs/>
        </w:rPr>
      </w:pPr>
      <w:r w:rsidRPr="0060494A">
        <w:rPr>
          <w:rFonts w:eastAsia="Verdana" w:cs="Verdana"/>
          <w:i/>
          <w:iCs/>
        </w:rPr>
        <w:t>Welke mechanismen voorziet u op te nemen in de definitieve maatwerkafspraak om te voorkomen dat Staat gedwongen wordt tot aanvullende investeringen om eerder geïnvesteerd kapitaal te beschermen?</w:t>
      </w:r>
    </w:p>
    <w:p w:rsidRPr="0060494A" w:rsidR="00F2577D" w:rsidP="00F2577D" w:rsidRDefault="00F2577D" w14:paraId="6B728B5E" w14:textId="77777777">
      <w:pPr>
        <w:ind w:left="709"/>
        <w:rPr>
          <w:rFonts w:eastAsia="Verdana" w:cs="Verdana"/>
          <w:i/>
          <w:iCs/>
        </w:rPr>
      </w:pPr>
    </w:p>
    <w:p w:rsidRPr="0060494A" w:rsidR="00F2577D" w:rsidP="00F2577D" w:rsidRDefault="00F2577D" w14:paraId="24597D73" w14:textId="77777777">
      <w:pPr>
        <w:rPr>
          <w:rFonts w:eastAsia="Verdana" w:cs="Verdana"/>
          <w:i/>
          <w:iCs/>
        </w:rPr>
      </w:pPr>
      <w:r w:rsidRPr="0060494A">
        <w:rPr>
          <w:rFonts w:eastAsia="Verdana" w:cs="Verdana"/>
          <w:i/>
          <w:iCs/>
        </w:rPr>
        <w:t xml:space="preserve">Zoals ook aangegeven in het antwoord op vraag 1 committeert de staat zich met de </w:t>
      </w:r>
      <w:proofErr w:type="spellStart"/>
      <w:r w:rsidRPr="0060494A">
        <w:rPr>
          <w:rFonts w:eastAsia="Verdana" w:cs="Verdana"/>
          <w:i/>
          <w:iCs/>
        </w:rPr>
        <w:t>JLoI</w:t>
      </w:r>
      <w:proofErr w:type="spellEnd"/>
      <w:r w:rsidRPr="0060494A">
        <w:rPr>
          <w:rFonts w:eastAsia="Verdana" w:cs="Verdana"/>
          <w:i/>
          <w:iCs/>
        </w:rPr>
        <w:t xml:space="preserve"> op geen enkele manier aan aanvullende investeringen boven op de beoogde maatwerksubsidie van 2 miljard euro. In de </w:t>
      </w:r>
      <w:proofErr w:type="spellStart"/>
      <w:r w:rsidRPr="0060494A">
        <w:rPr>
          <w:rFonts w:eastAsia="Verdana" w:cs="Verdana"/>
          <w:i/>
          <w:iCs/>
        </w:rPr>
        <w:t>JLoI</w:t>
      </w:r>
      <w:proofErr w:type="spellEnd"/>
      <w:r w:rsidRPr="0060494A">
        <w:rPr>
          <w:rFonts w:eastAsia="Verdana" w:cs="Verdana"/>
          <w:i/>
          <w:iCs/>
        </w:rPr>
        <w:t xml:space="preserve"> staan een aantal mechanismen genoemd waarmee wordt geborgd dat de maatwerksubsidie wordt gebruikt voor het realiseren van de maatschappelijke doelen. Allereerst is er vooraf een grondige beoordeling van de businesscase gemaakt, waarin mogelijke financiële risico’s worden geïdentificeerd. De businesscase wordt getoetst door een financieel adviseur van de staat. Daarnaast zal tijdens de projectperiode de subsidie worden uitgekeerd in tranches; na het behalen van vooraf vastgestelde mijlpalen wordt een tranche voorlopig uitgekeerd. Dat betekent dat de staat de volgende tranche van de subsidie pas overmaakt als er voldoende voortgang is in de projecten en de subsidie wordt pas definitief vastgesteld als de afgesproken doelen zijn behaald. De laatste tranche van de subsidie wordt pas overgemaakt nadat alle projecten zijn opgeleverd. De staat heeft ook de mogelijkheid om de subsidie op te schorten als er een tekort blijkt om de projecten te realiseren. Ook zal een </w:t>
      </w:r>
      <w:proofErr w:type="spellStart"/>
      <w:r w:rsidRPr="0060494A">
        <w:rPr>
          <w:rFonts w:eastAsia="Verdana" w:cs="Verdana"/>
          <w:i/>
          <w:iCs/>
        </w:rPr>
        <w:t>clawback</w:t>
      </w:r>
      <w:proofErr w:type="spellEnd"/>
      <w:r w:rsidRPr="0060494A">
        <w:rPr>
          <w:rFonts w:eastAsia="Verdana" w:cs="Verdana"/>
          <w:i/>
          <w:iCs/>
        </w:rPr>
        <w:t xml:space="preserve"> mechanisme worden ingesteld om overcompensatie te voorkomen. In de </w:t>
      </w:r>
      <w:proofErr w:type="spellStart"/>
      <w:r w:rsidRPr="0060494A">
        <w:rPr>
          <w:rFonts w:eastAsia="Verdana" w:cs="Verdana"/>
          <w:i/>
          <w:iCs/>
        </w:rPr>
        <w:t>JLoI</w:t>
      </w:r>
      <w:proofErr w:type="spellEnd"/>
      <w:r w:rsidRPr="0060494A">
        <w:rPr>
          <w:rFonts w:eastAsia="Verdana" w:cs="Verdana"/>
          <w:i/>
          <w:iCs/>
        </w:rPr>
        <w:t xml:space="preserve"> staan ook de financiële verplichtingen van TSN en TSL, waaronder dat alle kosten voor de projecten buiten de €2 miljard bijdrage van de staat voor rekening van Tata Steel zijn. De staat zal ook zekerheden krijgen om de verstrekte subsidie te beschermen. In de definitieve maatwerkafspraak zullen de afspraken en mechanismen nader worden uitgewerkt. </w:t>
      </w:r>
    </w:p>
    <w:p w:rsidR="00F2577D" w:rsidP="00F2577D" w:rsidRDefault="00F2577D" w14:paraId="182E78A0" w14:textId="77777777">
      <w:pPr>
        <w:rPr>
          <w:rFonts w:eastAsia="Verdana" w:cs="Verdana"/>
        </w:rPr>
      </w:pPr>
    </w:p>
    <w:p w:rsidRPr="00C70E0F" w:rsidR="00F2577D" w:rsidP="00F2577D" w:rsidRDefault="00F2577D" w14:paraId="49D64F6B" w14:textId="77777777">
      <w:pPr>
        <w:rPr>
          <w:i/>
          <w:iCs/>
        </w:rPr>
      </w:pPr>
      <w:r w:rsidRPr="00C70E0F">
        <w:rPr>
          <w:i/>
          <w:iCs/>
        </w:rPr>
        <w:t xml:space="preserve">Wat betekent de formulering 'as </w:t>
      </w:r>
      <w:proofErr w:type="spellStart"/>
      <w:r w:rsidRPr="00C70E0F">
        <w:rPr>
          <w:i/>
          <w:iCs/>
        </w:rPr>
        <w:t>it</w:t>
      </w:r>
      <w:proofErr w:type="spellEnd"/>
      <w:r w:rsidRPr="00C70E0F">
        <w:rPr>
          <w:i/>
          <w:iCs/>
        </w:rPr>
        <w:t xml:space="preserve"> </w:t>
      </w:r>
      <w:proofErr w:type="spellStart"/>
      <w:r w:rsidRPr="00C70E0F">
        <w:rPr>
          <w:i/>
          <w:iCs/>
        </w:rPr>
        <w:t>currently</w:t>
      </w:r>
      <w:proofErr w:type="spellEnd"/>
      <w:r w:rsidRPr="00C70E0F">
        <w:rPr>
          <w:i/>
          <w:iCs/>
        </w:rPr>
        <w:t xml:space="preserve"> stands' in Artikel 7 van de </w:t>
      </w:r>
      <w:proofErr w:type="spellStart"/>
      <w:r w:rsidRPr="00C70E0F">
        <w:rPr>
          <w:i/>
          <w:iCs/>
        </w:rPr>
        <w:t>JLoI</w:t>
      </w:r>
      <w:proofErr w:type="spellEnd"/>
      <w:r w:rsidRPr="00C70E0F">
        <w:rPr>
          <w:i/>
          <w:iCs/>
        </w:rPr>
        <w:t>? Onder welke omstandigheden zou deze formulering niet meer gelden en zou vervolgfinanciering alsnog worden overwogen? Erkent u dat dit ruimte biedt voor toekomstige subsidieverzoeken?</w:t>
      </w:r>
    </w:p>
    <w:p w:rsidRPr="00C70E0F" w:rsidR="00F2577D" w:rsidP="00F2577D" w:rsidRDefault="00F2577D" w14:paraId="3DB185AD" w14:textId="77777777">
      <w:pPr>
        <w:ind w:left="709"/>
        <w:rPr>
          <w:i/>
          <w:iCs/>
        </w:rPr>
      </w:pPr>
    </w:p>
    <w:p w:rsidRPr="00C70E0F" w:rsidR="00F2577D" w:rsidP="00F2577D" w:rsidRDefault="00F2577D" w14:paraId="5E621477" w14:textId="77777777">
      <w:pPr>
        <w:rPr>
          <w:i/>
          <w:iCs/>
        </w:rPr>
      </w:pPr>
      <w:r w:rsidRPr="00C70E0F">
        <w:rPr>
          <w:i/>
          <w:iCs/>
        </w:rPr>
        <w:lastRenderedPageBreak/>
        <w:t>Antwoord</w:t>
      </w:r>
    </w:p>
    <w:p w:rsidRPr="00C70E0F" w:rsidR="00F2577D" w:rsidP="00F2577D" w:rsidRDefault="00F2577D" w14:paraId="73B7F22B" w14:textId="77777777">
      <w:pPr>
        <w:rPr>
          <w:i/>
          <w:iCs/>
        </w:rPr>
      </w:pPr>
      <w:r w:rsidRPr="00C70E0F">
        <w:rPr>
          <w:i/>
          <w:iCs/>
        </w:rPr>
        <w:t>Dit betekent dat de staat op dit moment geen realistisch scenario voor zich ziet waarin de tweede fase van de verduurzaming van TSN in aanmerking komt voor maatwerkondersteuning. Ten eerste is de kans op goedkeuring van de EC voor een tweede steunverzoek voor één bedrijf klein. Daarnaast zal de tweede fase pas medio jaren ‘30 worden uitgevoerd. Op dat moment zijn naar verwachting hoge EU ETS kosten en een goedwerkende CBAM in combinatie met een mogelijk kolenverbod aan de orde, waarmee er vermoedelijk geen sprake is van een onrendabele top en/of bovenwettelijke maatregelen. Dit alles maakt het zeer onwaarschijnlijk dat er überhaupt subsidie mag worden verstrekt voor deze fase. Tegelijkertijd kan dit scenario nooit volledig uitgesloten worden, omdat zowel wet- en regelgeving als klimaatbeleid in de toekomst kunnen wijzigen en een bedrijf niet op voorhand uitgesloten kan worden van eventueel in de toekomst bestaande generieke subsidie-instrumenten. Zoals ook in het antwoord op vraag 1 is beschreven geldt daarnaast dat het ontvangen van een eventuele maatwerksubsidie niet betekent dat het bedrijf geen aanspraak kan maken op andere generieke duurzaamheidssubsidies, zoals bijvoorbeeld de SDE++ voor CCS.</w:t>
      </w:r>
    </w:p>
    <w:p w:rsidR="00F2577D" w:rsidP="00F2577D" w:rsidRDefault="00F2577D" w14:paraId="72D24CC3" w14:textId="77777777">
      <w:pPr>
        <w:ind w:left="709"/>
      </w:pPr>
    </w:p>
    <w:p w:rsidR="00F2577D" w:rsidP="00F2577D" w:rsidRDefault="00F2577D" w14:paraId="08D7B979" w14:textId="77777777">
      <w:r w:rsidRPr="007D6523">
        <w:t>11</w:t>
      </w:r>
    </w:p>
    <w:p w:rsidRPr="007D6523" w:rsidR="00F2577D" w:rsidP="00F2577D" w:rsidRDefault="00F2577D" w14:paraId="56F30855" w14:textId="77777777">
      <w:r>
        <w:t xml:space="preserve">Waarom is er geen volledige en transparante </w:t>
      </w:r>
      <w:proofErr w:type="spellStart"/>
      <w:r>
        <w:t>counterfactual</w:t>
      </w:r>
      <w:proofErr w:type="spellEnd"/>
      <w:r>
        <w:t xml:space="preserve"> analyse gepubliceerd waaruit blijkt welk </w:t>
      </w:r>
      <w:proofErr w:type="spellStart"/>
      <w:r>
        <w:t>investeringspad</w:t>
      </w:r>
      <w:proofErr w:type="spellEnd"/>
      <w:r>
        <w:t xml:space="preserve"> Tata Steel zonder staatssteun zou volgen? Hoe kan zonder zo’n analyse worden vastgesteld dat sprake is van een daadwerkelijk stimulerend effect van de steun?</w:t>
      </w:r>
    </w:p>
    <w:p w:rsidR="00F2577D" w:rsidP="00F2577D" w:rsidRDefault="00F2577D" w14:paraId="4493999E" w14:textId="77777777"/>
    <w:p w:rsidR="00F2577D" w:rsidP="00F2577D" w:rsidRDefault="00F2577D" w14:paraId="6D791C16" w14:textId="77777777">
      <w:pPr>
        <w:rPr>
          <w:highlight w:val="yellow"/>
        </w:rPr>
      </w:pPr>
      <w:r>
        <w:t>Antwoord</w:t>
      </w:r>
    </w:p>
    <w:p w:rsidR="00F2577D" w:rsidP="00F2577D" w:rsidRDefault="00F2577D" w14:paraId="5A376217" w14:textId="77777777">
      <w:r>
        <w:t xml:space="preserve">Het </w:t>
      </w:r>
      <w:proofErr w:type="spellStart"/>
      <w:r>
        <w:t>counterfactual</w:t>
      </w:r>
      <w:proofErr w:type="spellEnd"/>
      <w:r>
        <w:t xml:space="preserve"> scenario bevat bedrijfsvertrouwelijke informatie en is om deze reden, net als de businesscase, niet gepubliceerd. Dit is de gebruikelijke gang van zaken bij dit soort trajecten van individuele ondernemingen. De businesscase en het </w:t>
      </w:r>
      <w:proofErr w:type="spellStart"/>
      <w:r>
        <w:t>counterfactual</w:t>
      </w:r>
      <w:proofErr w:type="spellEnd"/>
      <w:r>
        <w:t xml:space="preserve"> scenario van TSN worden uitvoerig getoetst door de financiële adviseur van de staat. Daarbij moet, voor het verkrijgen van goedkeuring voor de eventuele staatssteun door de EC, zoals de CEEAG voorschrijft, ook inzicht worden geboden in het </w:t>
      </w:r>
      <w:proofErr w:type="spellStart"/>
      <w:r>
        <w:t>counterfactual</w:t>
      </w:r>
      <w:proofErr w:type="spellEnd"/>
      <w:r>
        <w:t xml:space="preserve"> scenario en een onderbouwing van het stimulerend effect worden gegeven. De EC toetst deze dus ook en deze analyse is dus van belang voor het verkrijgen van goedkeuring van de EC voor het verlenen van rechtmatige staatssteun.</w:t>
      </w:r>
    </w:p>
    <w:p w:rsidR="00F2577D" w:rsidP="00F2577D" w:rsidRDefault="00F2577D" w14:paraId="19BAEDFD" w14:textId="77777777"/>
    <w:p w:rsidR="00F2577D" w:rsidP="00F2577D" w:rsidRDefault="00F2577D" w14:paraId="3348D063" w14:textId="77777777">
      <w:r w:rsidRPr="007D6523">
        <w:t>12</w:t>
      </w:r>
    </w:p>
    <w:p w:rsidR="00F2577D" w:rsidP="00F2577D" w:rsidRDefault="00F2577D" w14:paraId="0B6F38C4" w14:textId="77777777">
      <w:r>
        <w:t xml:space="preserve">Hoe verhoudt het ontbreken van een afgeronde milieueffectrapportage en gezondheidseffectrapportage zich tot het vereiste dat de steun bovenwettelijk is en </w:t>
      </w:r>
      <w:r>
        <w:lastRenderedPageBreak/>
        <w:t>daadwerkelijk bijdraagt aan de verbetering van de gezondheid van omwonenden? Op welke onafhankelijke wetenschappelijke adviezen baseert u zich precies?</w:t>
      </w:r>
    </w:p>
    <w:p w:rsidR="00F2577D" w:rsidP="00F2577D" w:rsidRDefault="00F2577D" w14:paraId="44E15FAA" w14:textId="77777777"/>
    <w:p w:rsidR="00F2577D" w:rsidP="00F2577D" w:rsidRDefault="00F2577D" w14:paraId="151FD9E6" w14:textId="77777777">
      <w:r>
        <w:t>Antwoord</w:t>
      </w:r>
    </w:p>
    <w:p w:rsidR="00F2577D" w:rsidP="00F2577D" w:rsidRDefault="00F2577D" w14:paraId="01F6F791" w14:textId="77777777">
      <w:r>
        <w:t xml:space="preserve">Zie de aanbiedingsbrief bij deze beantwoording, de beantwoording van vraag 2 hierboven en de eerdere beantwoording van vergelijkbare vragen over het MER </w:t>
      </w:r>
      <w:r w:rsidRPr="1A858FF7">
        <w:rPr>
          <w:highlight w:val="yellow"/>
        </w:rPr>
        <w:t>[PM verwijzing]</w:t>
      </w:r>
      <w:r>
        <w:t xml:space="preserve">. Daarbij moet worden opgemerkt dat </w:t>
      </w:r>
      <w:proofErr w:type="spellStart"/>
      <w:r>
        <w:t>bovenwettelijkheid</w:t>
      </w:r>
      <w:proofErr w:type="spellEnd"/>
      <w:r>
        <w:t xml:space="preserve"> wordt afgemeten aan (normen uit) nationale en Europese wetgeving, niet aan een het MER of de GER. Een MER of GER is immers een uitwerking van de effecten van de voorgestelde plannen van Tata Steel waar Tata Steel een vergunning voor aanvraagt. Zie ook het eerder aan de Kamer gestuurde advies van de Landsadvocaat.</w:t>
      </w:r>
      <w:r w:rsidRPr="1A858FF7">
        <w:rPr>
          <w:rStyle w:val="Voetnootmarkering"/>
        </w:rPr>
        <w:footnoteReference w:id="9"/>
      </w:r>
      <w:r>
        <w:t xml:space="preserve"> </w:t>
      </w:r>
    </w:p>
    <w:p w:rsidR="00F2577D" w:rsidP="00F2577D" w:rsidRDefault="00F2577D" w14:paraId="7A843330" w14:textId="77777777"/>
    <w:p w:rsidR="00F2577D" w:rsidP="00F2577D" w:rsidRDefault="00F2577D" w14:paraId="3CACBD83" w14:textId="77777777">
      <w:r w:rsidRPr="007D6523">
        <w:t>13</w:t>
      </w:r>
    </w:p>
    <w:p w:rsidR="00F2577D" w:rsidP="00F2577D" w:rsidRDefault="00F2577D" w14:paraId="49EF2BEC" w14:textId="77777777">
      <w:r w:rsidRPr="007D6523">
        <w:t>Kunt u toelichten hoe de gezondheidswinst voor omwonenden van Tata Steel onafhankelijk en zoveel mogelijk real time zal worden gemonitord, conform aangenomen motie-Teunissen c.s. over zo snel mogelijk zorgen voor onafhankelijk, continu en fijnmazig meten van gevaarlijke stoffen bij Tata Steel (Kamerstuk 28089, nr. 302), en welke sancties op welke termijn volgen indien deze uitblijft?</w:t>
      </w:r>
    </w:p>
    <w:p w:rsidR="00F2577D" w:rsidP="00F2577D" w:rsidRDefault="00F2577D" w14:paraId="7774D4B2" w14:textId="77777777"/>
    <w:p w:rsidRPr="007D6523" w:rsidR="00F2577D" w:rsidP="00F2577D" w:rsidRDefault="00F2577D" w14:paraId="5810BA4E" w14:textId="77777777">
      <w:pPr>
        <w:rPr>
          <w:highlight w:val="green"/>
        </w:rPr>
      </w:pPr>
      <w:r>
        <w:t>Antwoord</w:t>
      </w:r>
    </w:p>
    <w:p w:rsidR="00F2577D" w:rsidP="00F2577D" w:rsidRDefault="00F2577D" w14:paraId="14C8361A" w14:textId="77777777">
      <w:r>
        <w:t>Deze elementen worden nader uitgewerkt richting het sluiten van de maatwerkafspraak. Zie ook de aanbiedingsbrief bij deze beantwoording. Zoals reeds geantwoord</w:t>
      </w:r>
      <w:r w:rsidRPr="6CCD411C">
        <w:rPr>
          <w:rStyle w:val="Voetnootmarkering"/>
        </w:rPr>
        <w:footnoteReference w:id="10"/>
      </w:r>
      <w:r>
        <w:t xml:space="preserve"> op 25 november 2025 op een eerdere vraag van de leden Kostić (PvdD) en Koekkoek (Volt) over dit onderwerp is in artikel 8.2.d van de </w:t>
      </w:r>
      <w:proofErr w:type="spellStart"/>
      <w:r>
        <w:t>JLoI</w:t>
      </w:r>
      <w:proofErr w:type="spellEnd"/>
      <w:r>
        <w:t xml:space="preserve"> afgesproken dat TSN onderzoekt hoe ze onafhankelijke en transparante metingen en monitoring kan versterken, boven op de wettelijke verplichtingen die TSN op het gebied van meten en monitoren al heeft.</w:t>
      </w:r>
    </w:p>
    <w:p w:rsidR="00F2577D" w:rsidP="00F2577D" w:rsidRDefault="00F2577D" w14:paraId="5FD04F45" w14:textId="77777777"/>
    <w:p w:rsidR="00F2577D" w:rsidP="00F2577D" w:rsidRDefault="00F2577D" w14:paraId="557E0360" w14:textId="77777777">
      <w:r w:rsidRPr="007D6523">
        <w:t>14</w:t>
      </w:r>
    </w:p>
    <w:p w:rsidR="00F2577D" w:rsidP="00F2577D" w:rsidRDefault="00F2577D" w14:paraId="5E5456A2" w14:textId="77777777">
      <w:r w:rsidRPr="007D6523">
        <w:t>Kunt u toelichten of de Europese Commissie al een eerste analyse heeft gemaakt van de steunmaatregelen? Wat is de status van de beoordeling door de Commissie? Kunt u het standpunt van de Commissie met de Kamer delen?</w:t>
      </w:r>
    </w:p>
    <w:p w:rsidR="00F2577D" w:rsidP="00F2577D" w:rsidRDefault="00F2577D" w14:paraId="648C801B" w14:textId="77777777"/>
    <w:p w:rsidR="00F2577D" w:rsidP="00F2577D" w:rsidRDefault="00F2577D" w14:paraId="7D1B844A" w14:textId="77777777">
      <w:pPr>
        <w:rPr>
          <w:highlight w:val="yellow"/>
        </w:rPr>
      </w:pPr>
      <w:r>
        <w:t>Antwoord</w:t>
      </w:r>
    </w:p>
    <w:p w:rsidR="00F2577D" w:rsidP="00F2577D" w:rsidRDefault="00F2577D" w14:paraId="23AF0E16" w14:textId="77777777">
      <w:r>
        <w:lastRenderedPageBreak/>
        <w:t xml:space="preserve">Zoals aangeven bij het antwoord op vraag 3 is met de EC gesproken over de voorwaarden vanuit het steunkader waaronder rechtmatige staatssteun zou kunnen worden verleend. De gesprekken met de EC worden doorlopend gevoerd en zijn constructief. Echter, het formele notificatie traject van de steunmaatregel bij de EC is nog niet gestart en de EC heeft dus ook nog geen formele beoordeling afgerond. </w:t>
      </w:r>
    </w:p>
    <w:p w:rsidR="00F2577D" w:rsidP="00F2577D" w:rsidRDefault="00F2577D" w14:paraId="0DBC1792" w14:textId="77777777"/>
    <w:p w:rsidR="00F2577D" w:rsidP="00F2577D" w:rsidRDefault="00F2577D" w14:paraId="03E0EAA6" w14:textId="77777777">
      <w:r w:rsidRPr="007D6523">
        <w:t>15</w:t>
      </w:r>
    </w:p>
    <w:p w:rsidRPr="007D6523" w:rsidR="00F2577D" w:rsidP="00F2577D" w:rsidRDefault="00F2577D" w14:paraId="66969507" w14:textId="77777777">
      <w:r w:rsidRPr="007D6523">
        <w:t>Bent u bereid verdere besluitvorming en een eventuele staatssteunmelding bij de Europese Commissie op te schorten totdat (a) een volledige juridische staatssteunanalyse is afgerond en gedeeld met de Kamer, (b) bindende klimaatdoelen en gezondheidsdoelen zijn vastgelegd (in lijn met de onafhankelijke adviezen van o.a. Expertgroep Gezondheid IJmond), en (c)</w:t>
      </w:r>
    </w:p>
    <w:p w:rsidRPr="007D6523" w:rsidR="00F2577D" w:rsidP="00F2577D" w:rsidRDefault="00F2577D" w14:paraId="39E02C9F" w14:textId="77777777">
      <w:r w:rsidRPr="007D6523">
        <w:t>duidelijk is dat de maatregelen daadwerkelijk bijdragen aan de mondiale klimaatdoelen?</w:t>
      </w:r>
    </w:p>
    <w:p w:rsidR="00F2577D" w:rsidP="00F2577D" w:rsidRDefault="00F2577D" w14:paraId="681CABFF" w14:textId="77777777"/>
    <w:p w:rsidR="00F2577D" w:rsidP="00F2577D" w:rsidRDefault="00F2577D" w14:paraId="2EFF467B" w14:textId="77777777">
      <w:r>
        <w:t>Antwoord</w:t>
      </w:r>
    </w:p>
    <w:p w:rsidR="00F2577D" w:rsidP="00F2577D" w:rsidRDefault="00F2577D" w14:paraId="123FA54B" w14:textId="77777777">
      <w:r>
        <w:t xml:space="preserve">Zoals ook toegelicht in het antwoord op vraag 3, zal de verenigbaarheid met de interne markt van de beoogde steunmaatregel door de EC worden getoetst aan de hand van de CEEAG en is de maatregel om die reden zo vormgegeven dat aan de betreffende voorwaarden voldaan kan worden. De maatwerkafspraak met TSN is de snelste en effectiefste weg naar verduurzaming en verbetering van de leefomgeving en gezondheid van omwonenden. De inzet voor de maatwerkafspraak is gebaseerd op verschillende adviezen en rapporten, waaronder de adviezen van de Expertgroep Gezondheid IJmond. De staat heeft experts ingehuurd om de voorstellen en mogelijke afspraken juridisch, technisch en financieel te toetsten. Het kabinet vindt het in het belang van de omwonenden en het klimaat dat Tata Steel op de kortst mogelijke termijn de nodige verbeteringen gaat realiseren. Verdere onderzoeken zullen het proces vertragen terwijl het juist in ons allerbelang is om voortgang te boeken. Zoals eerder in deze en eerdere beantwoording aangegeven worden de juridische waarborgen voor het behalen van de doelen de komende periode verder uitgewerkt en opgenomen in de maatwerkafspraak. De EC toetst bepaalde aspecten van deze waarborgen ook bij het beoordelen van de maatregel aan het relevante staatssteunkader, CEEAG. Het goedkeuringsbesluit van de EC wordt openbaar gemaakt. </w:t>
      </w:r>
    </w:p>
    <w:p w:rsidR="00F2577D" w:rsidP="00F2577D" w:rsidRDefault="00F2577D" w14:paraId="2EB4E219" w14:textId="77777777"/>
    <w:p w:rsidR="00F2577D" w:rsidP="00F2577D" w:rsidRDefault="00F2577D" w14:paraId="6C52A73B" w14:textId="77777777">
      <w:r w:rsidRPr="007D6523">
        <w:t>16</w:t>
      </w:r>
    </w:p>
    <w:p w:rsidRPr="007D6523" w:rsidR="00F2577D" w:rsidP="00F2577D" w:rsidRDefault="00F2577D" w14:paraId="39E66D95" w14:textId="77777777">
      <w:r w:rsidRPr="007D6523">
        <w:t xml:space="preserve">Herinnert u zich dat eerdere analyses van experts benadrukken dat de transformatie van Tata Steel naar aardgasproductie met CCS de Nederlandse energietransitie belemmert door grootschalige vraag naar (groen)gas, wat mest uit de bio-industrie </w:t>
      </w:r>
      <w:r w:rsidRPr="007D6523">
        <w:lastRenderedPageBreak/>
        <w:t xml:space="preserve">vereist en daarmee een </w:t>
      </w:r>
      <w:proofErr w:type="spellStart"/>
      <w:r w:rsidRPr="007D6523">
        <w:t>lock</w:t>
      </w:r>
      <w:proofErr w:type="spellEnd"/>
      <w:r w:rsidRPr="007D6523">
        <w:t>-in van intensieve veehouderij creëert, inclusief greenwashing-effecten? Hoe beoordeelt u deze bevindingen en op welke wetenschappelijke bronnen baseert u die beoordeling? Erkent u dat industrie afhankelijk maken van de intensieve veehouderij ingaat tegen de aangenomen motie-Tjeerd de Groot om die intensieve veehouderij af te bouwen? Hoe wordt precies gewaarborgd dat de stappen die worden genomen met Tata Steel die afbouw niet vertragen of dwarsbomen?</w:t>
      </w:r>
    </w:p>
    <w:p w:rsidR="00F2577D" w:rsidP="00F2577D" w:rsidRDefault="00F2577D" w14:paraId="5806BD60" w14:textId="77777777"/>
    <w:p w:rsidR="00F2577D" w:rsidP="00F2577D" w:rsidRDefault="00F2577D" w14:paraId="159BFA52" w14:textId="77777777">
      <w:pPr>
        <w:rPr>
          <w:highlight w:val="yellow"/>
        </w:rPr>
      </w:pPr>
      <w:r>
        <w:t>Antwoord</w:t>
      </w:r>
    </w:p>
    <w:p w:rsidR="00F2577D" w:rsidP="00F2577D" w:rsidRDefault="00F2577D" w14:paraId="1BDEEB97" w14:textId="77777777">
      <w:r>
        <w:t>Zoals in eerdere beantwoording van Kamervragen aangegeven</w:t>
      </w:r>
      <w:r>
        <w:rPr>
          <w:rStyle w:val="Voetnootmarkering"/>
        </w:rPr>
        <w:footnoteReference w:id="11"/>
      </w:r>
      <w:r>
        <w:t xml:space="preserve">, leidt het gebruik van </w:t>
      </w:r>
      <w:proofErr w:type="spellStart"/>
      <w:r>
        <w:t>biomethaan</w:t>
      </w:r>
      <w:proofErr w:type="spellEnd"/>
      <w:r>
        <w:t xml:space="preserve"> niet tot een afhankelijkheid van mest. </w:t>
      </w:r>
      <w:proofErr w:type="spellStart"/>
      <w:r>
        <w:t>Biomethaan</w:t>
      </w:r>
      <w:proofErr w:type="spellEnd"/>
      <w:r>
        <w:t xml:space="preserve"> kan namelijk ook uit andere rest- en afvalstromen worden geproduceerd. Daarbij wordt ook import van </w:t>
      </w:r>
      <w:proofErr w:type="spellStart"/>
      <w:r>
        <w:t>biomethaan</w:t>
      </w:r>
      <w:proofErr w:type="spellEnd"/>
      <w:r>
        <w:t xml:space="preserve"> voorzien. Er is dus geen sprake van een afhankelijkheid tussen de verduurzaming van de industrie en de intensieve veehouderij. </w:t>
      </w:r>
      <w:r w:rsidRPr="00CB1184">
        <w:t xml:space="preserve">Het milieubeleid en de bijbehorende regelgeving in de landbouw, waar een vermindering van de omvang van de veestapel onderdeel van uitmaakt, bepaalt de hoeveelheid mest die geproduceerd wordt in Nederland. Het kabinet houdt bij de vormgeving van </w:t>
      </w:r>
      <w:proofErr w:type="spellStart"/>
      <w:r w:rsidRPr="00CB1184">
        <w:t>biomethaan</w:t>
      </w:r>
      <w:proofErr w:type="spellEnd"/>
      <w:r>
        <w:t xml:space="preserve"> </w:t>
      </w:r>
      <w:r w:rsidRPr="00CB1184">
        <w:t xml:space="preserve">beleid rekening met een krimp van de veestapel. Waarbij een daling in de hoeveelheid beschikbare mest geen risico vormt voor het </w:t>
      </w:r>
      <w:proofErr w:type="spellStart"/>
      <w:r w:rsidRPr="00CB1184">
        <w:t>biomethaan</w:t>
      </w:r>
      <w:proofErr w:type="spellEnd"/>
      <w:r w:rsidRPr="00CB1184">
        <w:t xml:space="preserve"> beleid</w:t>
      </w:r>
      <w:r>
        <w:t>.</w:t>
      </w:r>
      <w:r w:rsidRPr="00CB1184">
        <w:rPr>
          <w:rStyle w:val="Voetnootmarkering"/>
        </w:rPr>
        <w:footnoteReference w:id="12"/>
      </w:r>
    </w:p>
    <w:p w:rsidR="00F2577D" w:rsidP="00F2577D" w:rsidRDefault="00F2577D" w14:paraId="5200C47D" w14:textId="77777777"/>
    <w:p w:rsidR="00F2577D" w:rsidP="00F2577D" w:rsidRDefault="00F2577D" w14:paraId="027ED7F0" w14:textId="77777777">
      <w:pPr>
        <w:spacing w:line="240" w:lineRule="auto"/>
      </w:pPr>
      <w:r>
        <w:br w:type="page"/>
      </w:r>
    </w:p>
    <w:p w:rsidR="00F2577D" w:rsidP="00F2577D" w:rsidRDefault="00F2577D" w14:paraId="572ED493" w14:textId="77777777">
      <w:r w:rsidRPr="007D6523">
        <w:lastRenderedPageBreak/>
        <w:t>17</w:t>
      </w:r>
    </w:p>
    <w:p w:rsidRPr="007D6523" w:rsidR="00F2577D" w:rsidP="00F2577D" w:rsidRDefault="00F2577D" w14:paraId="3A9DE2B2" w14:textId="77777777">
      <w:r w:rsidRPr="007D6523">
        <w:t xml:space="preserve">Welke maatregelen treft u om te voorkomen dat de 2 miljard euro steun aan Tata Steel leidt tot een afhankelijkheid van gas en </w:t>
      </w:r>
      <w:proofErr w:type="spellStart"/>
      <w:r w:rsidRPr="007D6523">
        <w:t>biomethaan</w:t>
      </w:r>
      <w:proofErr w:type="spellEnd"/>
      <w:r w:rsidRPr="007D6523">
        <w:t xml:space="preserve"> uit veeteeltmest in plaats van een versnelling van de overstap naar echt hernieuwbare energiebronnen, zoals wind- en zonne-energie direct voor groene waterstofproductie?</w:t>
      </w:r>
    </w:p>
    <w:p w:rsidR="00F2577D" w:rsidP="00F2577D" w:rsidRDefault="00F2577D" w14:paraId="560EA898" w14:textId="77777777"/>
    <w:p w:rsidR="00F2577D" w:rsidP="00F2577D" w:rsidRDefault="00F2577D" w14:paraId="0B66B892" w14:textId="77777777">
      <w:pPr>
        <w:rPr>
          <w:highlight w:val="yellow"/>
        </w:rPr>
      </w:pPr>
      <w:r>
        <w:t>Antwoord</w:t>
      </w:r>
    </w:p>
    <w:p w:rsidR="00F2577D" w:rsidP="00F2577D" w:rsidRDefault="00F2577D" w14:paraId="7EC37B59" w14:textId="77777777">
      <w:r>
        <w:t>Zie het antwoord op vraag 16.</w:t>
      </w:r>
    </w:p>
    <w:p w:rsidR="00F2577D" w:rsidP="00F2577D" w:rsidRDefault="00F2577D" w14:paraId="2C5FFC05" w14:textId="77777777"/>
    <w:p w:rsidR="00F2577D" w:rsidP="00F2577D" w:rsidRDefault="00F2577D" w14:paraId="79541ADD" w14:textId="77777777">
      <w:r w:rsidRPr="007D6523">
        <w:t>18</w:t>
      </w:r>
    </w:p>
    <w:p w:rsidR="00F2577D" w:rsidP="00F2577D" w:rsidRDefault="00F2577D" w14:paraId="2A978254" w14:textId="77777777">
      <w:r w:rsidRPr="007D6523">
        <w:t>Kunt u deze vragen individueel en vóór het debat over de Joint</w:t>
      </w:r>
      <w:r>
        <w:t xml:space="preserve"> L</w:t>
      </w:r>
      <w:r w:rsidRPr="007D6523">
        <w:t xml:space="preserve">etter of </w:t>
      </w:r>
      <w:proofErr w:type="spellStart"/>
      <w:r w:rsidRPr="007D6523">
        <w:t>Intent</w:t>
      </w:r>
      <w:proofErr w:type="spellEnd"/>
      <w:r w:rsidRPr="007D6523">
        <w:t xml:space="preserve"> met Tata Steel beantwoorden?</w:t>
      </w:r>
    </w:p>
    <w:p w:rsidR="00F2577D" w:rsidP="00F2577D" w:rsidRDefault="00F2577D" w14:paraId="116F95AD" w14:textId="77777777"/>
    <w:p w:rsidR="00F2577D" w:rsidP="00F2577D" w:rsidRDefault="00F2577D" w14:paraId="00CDDA6E" w14:textId="77777777">
      <w:r>
        <w:t>Antwoord</w:t>
      </w:r>
    </w:p>
    <w:p w:rsidRPr="007D6523" w:rsidR="00F2577D" w:rsidP="00F2577D" w:rsidRDefault="00F2577D" w14:paraId="7441537F" w14:textId="77777777">
      <w:r>
        <w:t>Ja.</w:t>
      </w:r>
    </w:p>
    <w:p w:rsidR="00F2577D" w:rsidP="00F2577D" w:rsidRDefault="00F2577D" w14:paraId="092D2F6B" w14:textId="77777777"/>
    <w:p w:rsidRPr="00E71F2D" w:rsidR="00F2577D" w:rsidP="00F2577D" w:rsidRDefault="00F2577D" w14:paraId="2580D9B0" w14:textId="77777777"/>
    <w:p w:rsidR="002C0363" w:rsidRDefault="002C0363" w14:paraId="5B2C0928" w14:textId="77777777"/>
    <w:sectPr w:rsidR="002C0363" w:rsidSect="00F2577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796F" w14:textId="77777777" w:rsidR="00F2577D" w:rsidRDefault="00F2577D" w:rsidP="00F2577D">
      <w:pPr>
        <w:spacing w:after="0" w:line="240" w:lineRule="auto"/>
      </w:pPr>
      <w:r>
        <w:separator/>
      </w:r>
    </w:p>
  </w:endnote>
  <w:endnote w:type="continuationSeparator" w:id="0">
    <w:p w14:paraId="348DE56C" w14:textId="77777777" w:rsidR="00F2577D" w:rsidRDefault="00F2577D" w:rsidP="00F2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B33A" w14:textId="77777777" w:rsidR="00F2577D" w:rsidRPr="00F2577D" w:rsidRDefault="00F2577D" w:rsidP="00F257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1B7F" w14:textId="77777777" w:rsidR="00F2577D" w:rsidRPr="00F2577D" w:rsidRDefault="00F2577D" w:rsidP="00F257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BE17" w14:textId="77777777" w:rsidR="00F2577D" w:rsidRPr="00F2577D" w:rsidRDefault="00F2577D" w:rsidP="00F257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AFDD" w14:textId="77777777" w:rsidR="00F2577D" w:rsidRDefault="00F2577D" w:rsidP="00F2577D">
      <w:pPr>
        <w:spacing w:after="0" w:line="240" w:lineRule="auto"/>
      </w:pPr>
      <w:r>
        <w:separator/>
      </w:r>
    </w:p>
  </w:footnote>
  <w:footnote w:type="continuationSeparator" w:id="0">
    <w:p w14:paraId="6D6CAA64" w14:textId="77777777" w:rsidR="00F2577D" w:rsidRDefault="00F2577D" w:rsidP="00F2577D">
      <w:pPr>
        <w:spacing w:after="0" w:line="240" w:lineRule="auto"/>
      </w:pPr>
      <w:r>
        <w:continuationSeparator/>
      </w:r>
    </w:p>
  </w:footnote>
  <w:footnote w:id="1">
    <w:p w14:paraId="706C269A" w14:textId="77777777" w:rsidR="00F2577D" w:rsidRDefault="00F2577D" w:rsidP="00F2577D">
      <w:pPr>
        <w:pStyle w:val="Voetnoottekst"/>
      </w:pPr>
      <w:r w:rsidRPr="7BCFA091">
        <w:rPr>
          <w:rStyle w:val="Voetnootmarkering"/>
        </w:rPr>
        <w:footnoteRef/>
      </w:r>
      <w:r>
        <w:t xml:space="preserve"> </w:t>
      </w:r>
      <w:hyperlink r:id="rId1">
        <w:r w:rsidRPr="7BCFA091">
          <w:rPr>
            <w:rStyle w:val="Hyperlink"/>
          </w:rPr>
          <w:t xml:space="preserve">Overheid.nl | Consultatie Publieke consultatie Joint Letter of </w:t>
        </w:r>
        <w:proofErr w:type="spellStart"/>
        <w:r w:rsidRPr="7BCFA091">
          <w:rPr>
            <w:rStyle w:val="Hyperlink"/>
          </w:rPr>
          <w:t>Intent</w:t>
        </w:r>
        <w:proofErr w:type="spellEnd"/>
        <w:r w:rsidRPr="7BCFA091">
          <w:rPr>
            <w:rStyle w:val="Hyperlink"/>
          </w:rPr>
          <w:t xml:space="preserve"> met Tata Steel, reactie</w:t>
        </w:r>
      </w:hyperlink>
    </w:p>
  </w:footnote>
  <w:footnote w:id="2">
    <w:p w14:paraId="0011DA5C" w14:textId="77777777" w:rsidR="00F2577D" w:rsidRDefault="00F2577D" w:rsidP="00F2577D">
      <w:pPr>
        <w:pStyle w:val="Voetnoottekst"/>
      </w:pPr>
      <w:r>
        <w:rPr>
          <w:rStyle w:val="Voetnootmarkering"/>
        </w:rPr>
        <w:footnoteRef/>
      </w:r>
      <w:r>
        <w:t xml:space="preserve"> </w:t>
      </w:r>
      <w:hyperlink r:id="rId2" w:history="1">
        <w:r w:rsidRPr="00FB0FD6">
          <w:rPr>
            <w:rStyle w:val="Hyperlink"/>
          </w:rPr>
          <w:t>Juridische analyse milieumaatregelen Tata Steel | Brief | Rijksoverheid.nl</w:t>
        </w:r>
      </w:hyperlink>
    </w:p>
  </w:footnote>
  <w:footnote w:id="3">
    <w:p w14:paraId="47F2AB00" w14:textId="77777777" w:rsidR="00F2577D" w:rsidRPr="00AF3126" w:rsidRDefault="00F2577D" w:rsidP="00F2577D">
      <w:pPr>
        <w:pStyle w:val="Voetnoottekst"/>
      </w:pPr>
      <w:r w:rsidRPr="3879FC52">
        <w:rPr>
          <w:rStyle w:val="Voetnootmarkering"/>
        </w:rPr>
        <w:footnoteRef/>
      </w:r>
      <w:r w:rsidRPr="00AF3126">
        <w:t xml:space="preserve"> </w:t>
      </w:r>
      <w:r>
        <w:t>Kamerstuk 29826, nr. 266</w:t>
      </w:r>
    </w:p>
  </w:footnote>
  <w:footnote w:id="4">
    <w:p w14:paraId="439705F4" w14:textId="77777777" w:rsidR="00F2577D" w:rsidRPr="00AF3126" w:rsidRDefault="00F2577D" w:rsidP="00F2577D">
      <w:pPr>
        <w:pStyle w:val="Voetnoottekst"/>
      </w:pPr>
      <w:r w:rsidRPr="3879FC52">
        <w:rPr>
          <w:rStyle w:val="Voetnootmarkering"/>
        </w:rPr>
        <w:footnoteRef/>
      </w:r>
      <w:r w:rsidRPr="00AF3126">
        <w:t xml:space="preserve"> </w:t>
      </w:r>
      <w:hyperlink r:id="rId3">
        <w:r w:rsidRPr="00AF3126">
          <w:rPr>
            <w:rStyle w:val="Hyperlink"/>
          </w:rPr>
          <w:t xml:space="preserve">Technical </w:t>
        </w:r>
        <w:proofErr w:type="spellStart"/>
        <w:r w:rsidRPr="00AF3126">
          <w:rPr>
            <w:rStyle w:val="Hyperlink"/>
          </w:rPr>
          <w:t>Advisory</w:t>
        </w:r>
        <w:proofErr w:type="spellEnd"/>
        <w:r w:rsidRPr="00AF3126">
          <w:rPr>
            <w:rStyle w:val="Hyperlink"/>
          </w:rPr>
          <w:t xml:space="preserve"> Report Joint Letter of </w:t>
        </w:r>
        <w:proofErr w:type="spellStart"/>
        <w:r w:rsidRPr="00AF3126">
          <w:rPr>
            <w:rStyle w:val="Hyperlink"/>
          </w:rPr>
          <w:t>Intent</w:t>
        </w:r>
        <w:proofErr w:type="spellEnd"/>
        <w:r w:rsidRPr="00AF3126">
          <w:rPr>
            <w:rStyle w:val="Hyperlink"/>
          </w:rPr>
          <w:t xml:space="preserve"> Tata Steel Netherlands | Rapport | Rijksoverheid.nl</w:t>
        </w:r>
      </w:hyperlink>
    </w:p>
  </w:footnote>
  <w:footnote w:id="5">
    <w:p w14:paraId="13CC38C9" w14:textId="77777777" w:rsidR="00F2577D" w:rsidRDefault="00F2577D" w:rsidP="00F2577D">
      <w:pPr>
        <w:pStyle w:val="Voetnoottekst"/>
      </w:pPr>
      <w:r>
        <w:rPr>
          <w:rStyle w:val="Voetnootmarkering"/>
        </w:rPr>
        <w:footnoteRef/>
      </w:r>
      <w:r>
        <w:t xml:space="preserve"> </w:t>
      </w:r>
      <w:hyperlink r:id="rId4">
        <w:r w:rsidRPr="00AF3126">
          <w:rPr>
            <w:rStyle w:val="Hyperlink"/>
          </w:rPr>
          <w:t xml:space="preserve">Technical </w:t>
        </w:r>
        <w:proofErr w:type="spellStart"/>
        <w:r w:rsidRPr="00AF3126">
          <w:rPr>
            <w:rStyle w:val="Hyperlink"/>
          </w:rPr>
          <w:t>Advisory</w:t>
        </w:r>
        <w:proofErr w:type="spellEnd"/>
        <w:r w:rsidRPr="00AF3126">
          <w:rPr>
            <w:rStyle w:val="Hyperlink"/>
          </w:rPr>
          <w:t xml:space="preserve"> Report Joint Letter of </w:t>
        </w:r>
        <w:proofErr w:type="spellStart"/>
        <w:r w:rsidRPr="00AF3126">
          <w:rPr>
            <w:rStyle w:val="Hyperlink"/>
          </w:rPr>
          <w:t>Intent</w:t>
        </w:r>
        <w:proofErr w:type="spellEnd"/>
        <w:r w:rsidRPr="00AF3126">
          <w:rPr>
            <w:rStyle w:val="Hyperlink"/>
          </w:rPr>
          <w:t xml:space="preserve"> Tata Steel Netherlands | Rapport | Rijksoverheid.nl</w:t>
        </w:r>
      </w:hyperlink>
    </w:p>
  </w:footnote>
  <w:footnote w:id="6">
    <w:p w14:paraId="1CAB3403" w14:textId="77777777" w:rsidR="00F2577D" w:rsidRDefault="00F2577D" w:rsidP="00F2577D">
      <w:pPr>
        <w:pStyle w:val="Voetnoottekst"/>
      </w:pPr>
      <w:r>
        <w:rPr>
          <w:rStyle w:val="Voetnootmarkering"/>
        </w:rPr>
        <w:footnoteRef/>
      </w:r>
      <w:r>
        <w:t xml:space="preserve"> </w:t>
      </w:r>
      <w:hyperlink r:id="rId5" w:history="1">
        <w:r w:rsidRPr="00F1708C">
          <w:rPr>
            <w:rStyle w:val="Hyperlink"/>
          </w:rPr>
          <w:t>Beantwoording vragen over de additionele kosten voor Tata Steel aangaande de maatwerkaanpak | Kamerstuk | Rijksoverheid.nl</w:t>
        </w:r>
      </w:hyperlink>
      <w:r>
        <w:t xml:space="preserve"> – vraag 18</w:t>
      </w:r>
    </w:p>
  </w:footnote>
  <w:footnote w:id="7">
    <w:p w14:paraId="6EF72B62" w14:textId="77777777" w:rsidR="00F2577D" w:rsidRDefault="00F2577D" w:rsidP="00F2577D">
      <w:pPr>
        <w:pStyle w:val="Voetnoottekst"/>
      </w:pPr>
      <w:r>
        <w:rPr>
          <w:rStyle w:val="Voetnootmarkering"/>
        </w:rPr>
        <w:footnoteRef/>
      </w:r>
      <w:r>
        <w:t xml:space="preserve"> </w:t>
      </w:r>
      <w:hyperlink r:id="rId6" w:history="1">
        <w:r w:rsidRPr="00D21C11">
          <w:rPr>
            <w:rStyle w:val="Hyperlink"/>
          </w:rPr>
          <w:t>Juridische analyse milieumaatregelen Tata Steel | Brief | Rijksoverheid.nl</w:t>
        </w:r>
      </w:hyperlink>
    </w:p>
  </w:footnote>
  <w:footnote w:id="8">
    <w:p w14:paraId="1B4835B5" w14:textId="77777777" w:rsidR="00F2577D" w:rsidRDefault="00F2577D" w:rsidP="00F2577D">
      <w:pPr>
        <w:pStyle w:val="Voetnoottekst"/>
      </w:pPr>
      <w:r>
        <w:rPr>
          <w:rStyle w:val="Voetnootmarkering"/>
        </w:rPr>
        <w:footnoteRef/>
      </w:r>
      <w:r>
        <w:t xml:space="preserve"> </w:t>
      </w:r>
      <w:hyperlink r:id="rId7" w:history="1">
        <w:r w:rsidRPr="00F1708C">
          <w:rPr>
            <w:rStyle w:val="Hyperlink"/>
          </w:rPr>
          <w:t>Beantwoording vragen over de additionele kosten voor Tata Steel aangaande de maatwerkaanpak | Kamerstuk | Rijksoverheid.nl</w:t>
        </w:r>
      </w:hyperlink>
      <w:r>
        <w:t xml:space="preserve"> – vraag 16 en 17</w:t>
      </w:r>
    </w:p>
    <w:p w14:paraId="3C4111D5" w14:textId="77777777" w:rsidR="00F2577D" w:rsidRDefault="00F2577D" w:rsidP="00F2577D">
      <w:pPr>
        <w:pStyle w:val="Voetnoottekst"/>
      </w:pPr>
    </w:p>
  </w:footnote>
  <w:footnote w:id="9">
    <w:p w14:paraId="2755F13F" w14:textId="77777777" w:rsidR="00F2577D" w:rsidRDefault="00F2577D" w:rsidP="00F2577D">
      <w:pPr>
        <w:pStyle w:val="Voetnoottekst"/>
      </w:pPr>
      <w:r w:rsidRPr="1A858FF7">
        <w:rPr>
          <w:rStyle w:val="Voetnootmarkering"/>
        </w:rPr>
        <w:footnoteRef/>
      </w:r>
      <w:r>
        <w:t xml:space="preserve"> </w:t>
      </w:r>
      <w:hyperlink r:id="rId8" w:history="1">
        <w:r w:rsidRPr="00FB0FD6">
          <w:rPr>
            <w:rStyle w:val="Hyperlink"/>
          </w:rPr>
          <w:t>Juridische analyse milieumaatregelen Tata Steel | Brief | Rijksoverheid.nl</w:t>
        </w:r>
      </w:hyperlink>
    </w:p>
  </w:footnote>
  <w:footnote w:id="10">
    <w:p w14:paraId="2714C1B3" w14:textId="77777777" w:rsidR="00F2577D" w:rsidRPr="000D792A" w:rsidRDefault="00F2577D" w:rsidP="00F2577D">
      <w:pPr>
        <w:pStyle w:val="Voetnoottekst"/>
        <w:rPr>
          <w:sz w:val="14"/>
          <w:szCs w:val="14"/>
        </w:rPr>
      </w:pPr>
      <w:r w:rsidRPr="00132F52">
        <w:rPr>
          <w:rStyle w:val="Voetnootmarkering"/>
          <w:sz w:val="14"/>
          <w:szCs w:val="14"/>
        </w:rPr>
        <w:footnoteRef/>
      </w:r>
      <w:r w:rsidRPr="00132F52">
        <w:rPr>
          <w:sz w:val="14"/>
          <w:szCs w:val="14"/>
        </w:rPr>
        <w:t xml:space="preserve"> Aanhangsel van de Handelingen, vergaderjaar 2025-2026, nr. 450 – antwoord op vraag 23.</w:t>
      </w:r>
    </w:p>
  </w:footnote>
  <w:footnote w:id="11">
    <w:p w14:paraId="6257B243" w14:textId="77777777" w:rsidR="00F2577D" w:rsidRDefault="00F2577D" w:rsidP="00F2577D">
      <w:pPr>
        <w:pStyle w:val="Voetnoottekst"/>
      </w:pPr>
      <w:r>
        <w:rPr>
          <w:rStyle w:val="Voetnootmarkering"/>
        </w:rPr>
        <w:footnoteRef/>
      </w:r>
      <w:r>
        <w:t xml:space="preserve"> </w:t>
      </w:r>
      <w:hyperlink r:id="rId9" w:history="1">
        <w:r w:rsidRPr="003D725F">
          <w:rPr>
            <w:rStyle w:val="Hyperlink"/>
          </w:rPr>
          <w:t>Beantwoording vragen over de additionele kosten voor Tata Steel aangaande de maatwerkaanpak | Kamerstuk | Rijksoverheid.nl</w:t>
        </w:r>
      </w:hyperlink>
      <w:r>
        <w:t xml:space="preserve"> – vraag 21</w:t>
      </w:r>
    </w:p>
  </w:footnote>
  <w:footnote w:id="12">
    <w:p w14:paraId="595EA40F" w14:textId="77777777" w:rsidR="00F2577D" w:rsidRDefault="00F2577D" w:rsidP="00F2577D">
      <w:pPr>
        <w:pStyle w:val="Voetnoottekst"/>
      </w:pPr>
      <w:r>
        <w:rPr>
          <w:rStyle w:val="Voetnootmarkering"/>
        </w:rPr>
        <w:footnoteRef/>
      </w:r>
      <w:r>
        <w:t xml:space="preserve"> </w:t>
      </w:r>
      <w:r w:rsidRPr="00CB1184">
        <w:t>CE_Delft_220377_Vervolgstudie-Bijmengverplichting-groen-gas_Def.pdf – p. 64: Gevoeligheidsanalyse krimp veestapel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2426" w14:textId="77777777" w:rsidR="00F2577D" w:rsidRPr="00F2577D" w:rsidRDefault="00F2577D" w:rsidP="00F257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57ED" w14:textId="77777777" w:rsidR="00F2577D" w:rsidRPr="00F2577D" w:rsidRDefault="00F2577D" w:rsidP="00F257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8E7A" w14:textId="77777777" w:rsidR="00F2577D" w:rsidRPr="00F2577D" w:rsidRDefault="00F2577D" w:rsidP="00F257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7D"/>
    <w:rsid w:val="001356A8"/>
    <w:rsid w:val="002C0363"/>
    <w:rsid w:val="00F25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E9D1"/>
  <w15:chartTrackingRefBased/>
  <w15:docId w15:val="{69DFC19C-DE08-4F84-B1C6-87D7A611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5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577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577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577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57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7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7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7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7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57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57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57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57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57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7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7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77D"/>
    <w:rPr>
      <w:rFonts w:eastAsiaTheme="majorEastAsia" w:cstheme="majorBidi"/>
      <w:color w:val="272727" w:themeColor="text1" w:themeTint="D8"/>
    </w:rPr>
  </w:style>
  <w:style w:type="paragraph" w:styleId="Titel">
    <w:name w:val="Title"/>
    <w:basedOn w:val="Standaard"/>
    <w:next w:val="Standaard"/>
    <w:link w:val="TitelChar"/>
    <w:uiPriority w:val="10"/>
    <w:qFormat/>
    <w:rsid w:val="00F25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7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7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7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7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77D"/>
    <w:rPr>
      <w:i/>
      <w:iCs/>
      <w:color w:val="404040" w:themeColor="text1" w:themeTint="BF"/>
    </w:rPr>
  </w:style>
  <w:style w:type="paragraph" w:styleId="Lijstalinea">
    <w:name w:val="List Paragraph"/>
    <w:basedOn w:val="Standaard"/>
    <w:uiPriority w:val="34"/>
    <w:qFormat/>
    <w:rsid w:val="00F2577D"/>
    <w:pPr>
      <w:ind w:left="720"/>
      <w:contextualSpacing/>
    </w:pPr>
  </w:style>
  <w:style w:type="character" w:styleId="Intensievebenadrukking">
    <w:name w:val="Intense Emphasis"/>
    <w:basedOn w:val="Standaardalinea-lettertype"/>
    <w:uiPriority w:val="21"/>
    <w:qFormat/>
    <w:rsid w:val="00F2577D"/>
    <w:rPr>
      <w:i/>
      <w:iCs/>
      <w:color w:val="2F5496" w:themeColor="accent1" w:themeShade="BF"/>
    </w:rPr>
  </w:style>
  <w:style w:type="paragraph" w:styleId="Duidelijkcitaat">
    <w:name w:val="Intense Quote"/>
    <w:basedOn w:val="Standaard"/>
    <w:next w:val="Standaard"/>
    <w:link w:val="DuidelijkcitaatChar"/>
    <w:uiPriority w:val="30"/>
    <w:qFormat/>
    <w:rsid w:val="00F25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577D"/>
    <w:rPr>
      <w:i/>
      <w:iCs/>
      <w:color w:val="2F5496" w:themeColor="accent1" w:themeShade="BF"/>
    </w:rPr>
  </w:style>
  <w:style w:type="character" w:styleId="Intensieveverwijzing">
    <w:name w:val="Intense Reference"/>
    <w:basedOn w:val="Standaardalinea-lettertype"/>
    <w:uiPriority w:val="32"/>
    <w:qFormat/>
    <w:rsid w:val="00F2577D"/>
    <w:rPr>
      <w:b/>
      <w:bCs/>
      <w:smallCaps/>
      <w:color w:val="2F5496" w:themeColor="accent1" w:themeShade="BF"/>
      <w:spacing w:val="5"/>
    </w:rPr>
  </w:style>
  <w:style w:type="paragraph" w:styleId="Koptekst">
    <w:name w:val="header"/>
    <w:basedOn w:val="Standaard"/>
    <w:link w:val="KoptekstChar"/>
    <w:rsid w:val="00F257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2577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257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2577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2577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2577D"/>
    <w:rPr>
      <w:rFonts w:ascii="Verdana" w:hAnsi="Verdana"/>
      <w:noProof/>
      <w:sz w:val="13"/>
      <w:szCs w:val="24"/>
      <w:lang w:eastAsia="nl-NL"/>
    </w:rPr>
  </w:style>
  <w:style w:type="paragraph" w:customStyle="1" w:styleId="Huisstijl-Gegeven">
    <w:name w:val="Huisstijl-Gegeven"/>
    <w:basedOn w:val="Standaard"/>
    <w:link w:val="Huisstijl-GegevenCharChar"/>
    <w:rsid w:val="00F2577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2577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2577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2577D"/>
    <w:rPr>
      <w:color w:val="0000FF"/>
      <w:u w:val="single"/>
    </w:rPr>
  </w:style>
  <w:style w:type="paragraph" w:customStyle="1" w:styleId="Huisstijl-Retouradres">
    <w:name w:val="Huisstijl-Retouradres"/>
    <w:basedOn w:val="Standaard"/>
    <w:rsid w:val="00F2577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2577D"/>
    <w:pPr>
      <w:spacing w:after="0"/>
    </w:pPr>
    <w:rPr>
      <w:b/>
    </w:rPr>
  </w:style>
  <w:style w:type="paragraph" w:customStyle="1" w:styleId="Huisstijl-Paginanummering">
    <w:name w:val="Huisstijl-Paginanummering"/>
    <w:basedOn w:val="Standaard"/>
    <w:rsid w:val="00F2577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2577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2577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2577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F2577D"/>
    <w:rPr>
      <w:vertAlign w:val="superscript"/>
    </w:rPr>
  </w:style>
  <w:style w:type="paragraph" w:styleId="Geenafstand">
    <w:name w:val="No Spacing"/>
    <w:uiPriority w:val="1"/>
    <w:qFormat/>
    <w:rsid w:val="00F257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brieven/2025/09/29/notitie-juridische-analyse-milieumaatregelen-tsn-april-2025" TargetMode="External"/><Relationship Id="rId3" Type="http://schemas.openxmlformats.org/officeDocument/2006/relationships/hyperlink" Target="https://www.rijksoverheid.nl/documenten/rapporten/2025/09/29/technical-advisory-report-joint-letter-of-intent-tata-steel-netherlands" TargetMode="External"/><Relationship Id="rId7" Type="http://schemas.openxmlformats.org/officeDocument/2006/relationships/hyperlink" Target="https://www.rijksoverheid.nl/documenten/kamerstukken/2026/02/04/beantwoording-vragen-over-de-additionele-kosten-voor-tata-steel-aangaande-de-maatwerkaanpak" TargetMode="External"/><Relationship Id="rId2" Type="http://schemas.openxmlformats.org/officeDocument/2006/relationships/hyperlink" Target="https://www.rijksoverheid.nl/documenten/brieven/2025/09/29/notitie-juridische-analyse-milieumaatregelen-tsn-april-2025" TargetMode="External"/><Relationship Id="rId1" Type="http://schemas.openxmlformats.org/officeDocument/2006/relationships/hyperlink" Target="https://www.internetconsultatie.nl/jloi_tata_steel/reactie/ef1f1c09-e52b-4289-baca-e0a959ec0593" TargetMode="External"/><Relationship Id="rId6" Type="http://schemas.openxmlformats.org/officeDocument/2006/relationships/hyperlink" Target="https://www.rijksoverheid.nl/documenten/brieven/2025/09/29/notitie-juridische-analyse-milieumaatregelen-tsn-april-2025" TargetMode="External"/><Relationship Id="rId5" Type="http://schemas.openxmlformats.org/officeDocument/2006/relationships/hyperlink" Target="https://www.rijksoverheid.nl/documenten/kamerstukken/2026/02/04/beantwoording-vragen-over-de-additionele-kosten-voor-tata-steel-aangaande-de-maatwerkaanpak" TargetMode="External"/><Relationship Id="rId4" Type="http://schemas.openxmlformats.org/officeDocument/2006/relationships/hyperlink" Target="https://www.rijksoverheid.nl/documenten/rapporten/2025/09/29/technical-advisory-report-joint-letter-of-intent-tata-steel-netherlands" TargetMode="External"/><Relationship Id="rId9" Type="http://schemas.openxmlformats.org/officeDocument/2006/relationships/hyperlink" Target="https://www.rijksoverheid.nl/documenten/kamerstukken/2026/02/04/beantwoording-vragen-over-de-additionele-kosten-voor-tata-steel-aangaande-de-maatwerkaanpa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4014</ap:Words>
  <ap:Characters>22077</ap:Characters>
  <ap:DocSecurity>0</ap:DocSecurity>
  <ap:Lines>183</ap:Lines>
  <ap:Paragraphs>52</ap:Paragraphs>
  <ap:ScaleCrop>false</ap:ScaleCrop>
  <ap:LinksUpToDate>false</ap:LinksUpToDate>
  <ap:CharactersWithSpaces>26039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2026-04-02T13:44:00.0000000Z</dcterms:created>
  <dcterms:modified xsi:type="dcterms:W3CDTF">2026-04-02T13:46:00.0000000Z</dcterms:modified>
  <version/>
  <category/>
</coreProperties>
</file>