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0384" w:rsidP="00A731DF" w:rsidRDefault="00950384" w14:paraId="79963C48" w14:textId="4A76954E">
      <w:r>
        <w:t xml:space="preserve">Geachte </w:t>
      </w:r>
      <w:r w:rsidR="000C1BF1">
        <w:t>V</w:t>
      </w:r>
      <w:r>
        <w:t>oorzitter,</w:t>
      </w:r>
    </w:p>
    <w:p w:rsidRPr="005D1605" w:rsidR="005D1605" w:rsidP="00A731DF" w:rsidRDefault="005D1605" w14:paraId="5D0F6904" w14:textId="77777777">
      <w:r w:rsidRPr="005D1605">
        <w:t> </w:t>
      </w:r>
    </w:p>
    <w:p w:rsidRPr="005D1605" w:rsidR="00B34B1F" w:rsidP="00B34B1F" w:rsidRDefault="00B34B1F" w14:paraId="6E558CCF" w14:textId="77777777">
      <w:pPr>
        <w:spacing w:line="276" w:lineRule="auto"/>
        <w:contextualSpacing/>
      </w:pPr>
      <w:r w:rsidRPr="005D1605">
        <w:t>Op 29 september 2025 heeft de staat de Joint Letter of Intent (JLoI) met Tata Steel Nederland (TSN), Tata Steel Limited (TSL) en de Provincie Noord-Holland (PNH) ondertekend: een belangrijke tussenstap naar een definitieve maatwerkafspraak en het realiseren van groenere, schonere en meer circulaire staalproductie in de IJmond.</w:t>
      </w:r>
      <w:r>
        <w:t xml:space="preserve"> </w:t>
      </w:r>
    </w:p>
    <w:p w:rsidRPr="005D1605" w:rsidR="00B34B1F" w:rsidP="00B34B1F" w:rsidRDefault="00B34B1F" w14:paraId="6307D590" w14:textId="77777777">
      <w:pPr>
        <w:spacing w:line="276" w:lineRule="auto"/>
        <w:contextualSpacing/>
      </w:pPr>
      <w:r w:rsidRPr="005D1605">
        <w:t> </w:t>
      </w:r>
    </w:p>
    <w:p w:rsidRPr="002C36F7" w:rsidR="00B34B1F" w:rsidP="00B34B1F" w:rsidRDefault="00B34B1F" w14:paraId="3E98D299" w14:textId="77777777">
      <w:pPr>
        <w:spacing w:line="276" w:lineRule="auto"/>
        <w:contextualSpacing/>
        <w:rPr>
          <w:i/>
          <w:iCs/>
        </w:rPr>
      </w:pPr>
      <w:r w:rsidRPr="005D1605">
        <w:t>Met deze brief informeert het kabinet de Kamer, vooruitlopend op het plenaire debat over Tata Steel op 7 april a.s., over een aantal ontwikkelingen sinds de ondertekening van de JLoI, namelijk: de publieke consultatie over de JLoI met Tata Steel en de oplevering van de </w:t>
      </w:r>
      <w:r>
        <w:t>rapportage van de werkgroep-GER: “</w:t>
      </w:r>
      <w:r w:rsidRPr="006E2767">
        <w:rPr>
          <w:i/>
          <w:iCs/>
        </w:rPr>
        <w:t>I</w:t>
      </w:r>
      <w:r w:rsidRPr="002C36F7">
        <w:rPr>
          <w:i/>
          <w:iCs/>
        </w:rPr>
        <w:t xml:space="preserve">nschatting gezondheidseffecten van een deel van de aanvullende maatregelen </w:t>
      </w:r>
    </w:p>
    <w:p w:rsidRPr="005D1605" w:rsidR="00B34B1F" w:rsidP="00B34B1F" w:rsidRDefault="00B34B1F" w14:paraId="07D416E5" w14:textId="77777777">
      <w:pPr>
        <w:spacing w:line="276" w:lineRule="auto"/>
        <w:contextualSpacing/>
      </w:pPr>
      <w:r w:rsidRPr="002C36F7">
        <w:rPr>
          <w:i/>
          <w:iCs/>
        </w:rPr>
        <w:t>conform Joint Letter of Intent van Tata Steel, provincie Noord-Holland en de Staat</w:t>
      </w:r>
      <w:r>
        <w:rPr>
          <w:i/>
          <w:iCs/>
        </w:rPr>
        <w:t>”</w:t>
      </w:r>
      <w:r w:rsidRPr="005D1605">
        <w:t>. Ook wordt met deze brief, zoals verzocht</w:t>
      </w:r>
      <w:r>
        <w:rPr>
          <w:rStyle w:val="Voetnootmarkering"/>
        </w:rPr>
        <w:footnoteReference w:id="1"/>
      </w:r>
      <w:r w:rsidRPr="005D1605">
        <w:t> door de vaste commissie voor Infrastructuur en Waterstaat, gereageerd op de </w:t>
      </w:r>
      <w:r w:rsidRPr="005D1605">
        <w:rPr>
          <w:i/>
          <w:iCs/>
        </w:rPr>
        <w:t>position papers</w:t>
      </w:r>
      <w:r w:rsidRPr="005D1605">
        <w:t> die aan uw Kamer zijn gezonden ten behoeve van het gesprek over de gezondheidseffecten van de JLoI op 19 maart jl.</w:t>
      </w:r>
      <w:r>
        <w:t xml:space="preserve"> </w:t>
      </w:r>
    </w:p>
    <w:p w:rsidRPr="005D1605" w:rsidR="00B34B1F" w:rsidP="00B34B1F" w:rsidRDefault="00B34B1F" w14:paraId="6E7F0477" w14:textId="77777777">
      <w:pPr>
        <w:spacing w:line="276" w:lineRule="auto"/>
        <w:contextualSpacing/>
      </w:pPr>
      <w:r w:rsidRPr="005D1605">
        <w:t> </w:t>
      </w:r>
    </w:p>
    <w:p w:rsidR="00B34B1F" w:rsidP="00B34B1F" w:rsidRDefault="00B34B1F" w14:paraId="19DB28B1" w14:textId="77777777">
      <w:pPr>
        <w:spacing w:line="276" w:lineRule="auto"/>
        <w:contextualSpacing/>
      </w:pPr>
      <w:r w:rsidRPr="005D1605">
        <w:rPr>
          <w:b/>
          <w:bCs/>
        </w:rPr>
        <w:t>Publieke consul</w:t>
      </w:r>
      <w:r>
        <w:rPr>
          <w:b/>
          <w:bCs/>
        </w:rPr>
        <w:t>t</w:t>
      </w:r>
      <w:r w:rsidRPr="005D1605">
        <w:rPr>
          <w:b/>
          <w:bCs/>
        </w:rPr>
        <w:t>atie Joint Letter of Intent met Tata Steel</w:t>
      </w:r>
      <w:r>
        <w:rPr>
          <w:b/>
          <w:bCs/>
        </w:rPr>
        <w:t xml:space="preserve"> </w:t>
      </w:r>
    </w:p>
    <w:p w:rsidRPr="005D1605" w:rsidR="00B34B1F" w:rsidP="00B34B1F" w:rsidRDefault="00B34B1F" w14:paraId="07B4D1AA" w14:textId="77777777">
      <w:pPr>
        <w:spacing w:line="276" w:lineRule="auto"/>
        <w:contextualSpacing/>
      </w:pPr>
      <w:r w:rsidRPr="005D1605">
        <w:t xml:space="preserve">Van 7 november tot en met 19 december 2025 kon </w:t>
      </w:r>
      <w:r>
        <w:t>iedereen</w:t>
      </w:r>
      <w:r w:rsidRPr="005D1605">
        <w:t> via een internetconsultatie reageren op de JLoI met TSN, TSL en de PNH en de hierin beoogde doelen, projecten en het steunbedrag. Met deze publieke consultatie is voldaan aan de vereisten voor het organiseren van inspraak uit het relevante Europese staatssteunkader (CEEAG) en het Verdrag van Aarhus. Het verduurzamen en het verminderen van de impact van de staalproductie bij TSN op de leefomgeving en gezondheid van omwonenden kent vele belanghebbenden. De consultatie is breed onder de aandacht gebracht bij maatschappelijke en omwonenden-organisaties, via regionale media, kanalen van de rijksoverheid en tijdens de informatiebijeenkomst voor omwonenden in de IJmond op 8 december 2025.</w:t>
      </w:r>
      <w:r>
        <w:t xml:space="preserve"> </w:t>
      </w:r>
    </w:p>
    <w:p w:rsidRPr="005D1605" w:rsidR="00B34B1F" w:rsidP="00B34B1F" w:rsidRDefault="00B34B1F" w14:paraId="3EDC258C" w14:textId="77777777">
      <w:pPr>
        <w:keepNext/>
        <w:spacing w:line="276" w:lineRule="auto"/>
        <w:contextualSpacing/>
      </w:pPr>
      <w:r w:rsidRPr="005D1605">
        <w:rPr>
          <w:i/>
          <w:iCs/>
        </w:rPr>
        <w:lastRenderedPageBreak/>
        <w:t>Verwerking van de reacties op de consultatie</w:t>
      </w:r>
      <w:r w:rsidRPr="005D1605">
        <w:t> </w:t>
      </w:r>
    </w:p>
    <w:p w:rsidRPr="005D1605" w:rsidR="00B34B1F" w:rsidP="00B34B1F" w:rsidRDefault="00B34B1F" w14:paraId="1E994DF1" w14:textId="77777777">
      <w:pPr>
        <w:keepNext/>
        <w:spacing w:line="276" w:lineRule="auto"/>
        <w:contextualSpacing/>
      </w:pPr>
      <w:r w:rsidRPr="005D1605">
        <w:t>In totaal zijn er 444 reacties binnengekomen op de consultatie</w:t>
      </w:r>
      <w:r>
        <w:t>.</w:t>
      </w:r>
      <w:r w:rsidRPr="005D1605">
        <w:t> We zijn dankbaar dat een groot aantal belanghebbenden de tijd en moeite heeft genomen om op deze consultatie te reageren.</w:t>
      </w:r>
      <w:r>
        <w:t xml:space="preserve"> </w:t>
      </w:r>
    </w:p>
    <w:p w:rsidRPr="005D1605" w:rsidR="00B34B1F" w:rsidP="00B34B1F" w:rsidRDefault="00B34B1F" w14:paraId="7A4FE778" w14:textId="77777777">
      <w:pPr>
        <w:spacing w:line="276" w:lineRule="auto"/>
        <w:contextualSpacing/>
      </w:pPr>
      <w:r w:rsidRPr="005D1605">
        <w:t> </w:t>
      </w:r>
    </w:p>
    <w:p w:rsidRPr="005D1605" w:rsidR="00B34B1F" w:rsidP="00B34B1F" w:rsidRDefault="00B34B1F" w14:paraId="666FED63" w14:textId="77777777">
      <w:pPr>
        <w:spacing w:line="276" w:lineRule="auto"/>
        <w:contextualSpacing/>
      </w:pPr>
      <w:r w:rsidRPr="005D1605">
        <w:t xml:space="preserve">De reacties op deze publieke consulatie worden met deze brief met de Kamer gedeeld in de vorm van een hoofdlijnenverslag met daarin een </w:t>
      </w:r>
      <w:r>
        <w:t xml:space="preserve">samenvatting </w:t>
      </w:r>
      <w:r w:rsidRPr="005D1605">
        <w:t>(zie bijlage 1). Het hoofdlijnenverslag is een weergave van de binnengekomen reacties en bevat dus enkel de meningen en opvatting van de respondenten. Eventuele feitelijke onjuistheden in de reacties zijn daarom niet gecorrigeerd in het hoofdlijnenverslag. </w:t>
      </w:r>
    </w:p>
    <w:p w:rsidR="00B34B1F" w:rsidP="00B34B1F" w:rsidRDefault="00B34B1F" w14:paraId="6EF2E679" w14:textId="77777777">
      <w:pPr>
        <w:spacing w:line="276" w:lineRule="auto"/>
        <w:contextualSpacing/>
      </w:pPr>
    </w:p>
    <w:p w:rsidRPr="0085539A" w:rsidR="00B34B1F" w:rsidP="00B34B1F" w:rsidRDefault="00B34B1F" w14:paraId="7780A54B" w14:textId="77777777">
      <w:pPr>
        <w:spacing w:line="276" w:lineRule="auto"/>
        <w:contextualSpacing/>
      </w:pPr>
      <w:r w:rsidRPr="0085539A">
        <w:rPr>
          <w:i/>
          <w:iCs/>
        </w:rPr>
        <w:t>Beeld uit de ingediende reacties</w:t>
      </w:r>
      <w:r w:rsidRPr="0085539A">
        <w:t> </w:t>
      </w:r>
    </w:p>
    <w:p w:rsidRPr="0085539A" w:rsidR="00B34B1F" w:rsidP="00B34B1F" w:rsidRDefault="00B34B1F" w14:paraId="1D521979" w14:textId="77777777">
      <w:pPr>
        <w:spacing w:line="276" w:lineRule="auto"/>
        <w:contextualSpacing/>
      </w:pPr>
      <w:r w:rsidRPr="0085539A">
        <w:t>Uit het hoofdlijnenverslag zijn, ondanks de verscheidenheid aan binnengekomen reacties, enkele hoofdlijnen te destilleren. Ongeveer 70% van de respondenten heeft overwegend instemmend gereageerd op de JLoI met TSN. Ongeveer een kwart van de respondenten laat zich kritisch uit over de JLoI met TSN.</w:t>
      </w:r>
      <w:r>
        <w:t xml:space="preserve"> </w:t>
      </w:r>
    </w:p>
    <w:p w:rsidRPr="0085539A" w:rsidR="00B34B1F" w:rsidP="00B34B1F" w:rsidRDefault="00B34B1F" w14:paraId="71A7E7BC" w14:textId="77777777">
      <w:pPr>
        <w:spacing w:line="276" w:lineRule="auto"/>
        <w:contextualSpacing/>
      </w:pPr>
      <w:r w:rsidRPr="0085539A">
        <w:t> </w:t>
      </w:r>
    </w:p>
    <w:p w:rsidRPr="0085539A" w:rsidR="00B34B1F" w:rsidP="00B34B1F" w:rsidRDefault="00B34B1F" w14:paraId="5171FAA7" w14:textId="77777777">
      <w:pPr>
        <w:spacing w:line="276" w:lineRule="auto"/>
        <w:contextualSpacing/>
      </w:pPr>
      <w:r w:rsidRPr="0085539A">
        <w:t>In het hoofdlijnenverslag worden de reacties geanalyseerd aan de hand van vijf (uitgevraagde) hoofdthema’s: 1) de doelen van de maatwerkafspraak, 2) de lokale economische impact, 3) staatssteun, 4) de projecten en 5) vertrouwen en verantwoording door TSN.</w:t>
      </w:r>
      <w:r>
        <w:t xml:space="preserve"> </w:t>
      </w:r>
    </w:p>
    <w:p w:rsidRPr="0085539A" w:rsidR="00B34B1F" w:rsidP="00B34B1F" w:rsidRDefault="00B34B1F" w14:paraId="1CA9AD1D" w14:textId="77777777">
      <w:pPr>
        <w:spacing w:line="276" w:lineRule="auto"/>
        <w:contextualSpacing/>
      </w:pPr>
      <w:r w:rsidRPr="0085539A">
        <w:t> </w:t>
      </w:r>
    </w:p>
    <w:p w:rsidRPr="0085539A" w:rsidR="00B34B1F" w:rsidP="00B34B1F" w:rsidRDefault="00B34B1F" w14:paraId="34630036" w14:textId="77777777">
      <w:pPr>
        <w:spacing w:line="276" w:lineRule="auto"/>
        <w:contextualSpacing/>
      </w:pPr>
      <w:r w:rsidRPr="0085539A">
        <w:t>De reacties onderschrijven in meerderheid de hoofddoelen van de maatwerkafspraak: vermindering van de impact van het bedrijf op het klimaat, gezondheid en leefomgeving. Dit sluit aan op de inzet van de maatwerkafspraak van het kabinet: verduurzaming en verbetering van de leefomgeving en gezondheid van omwonenden. Daarnaast wordt door een groot deel van de respondenten gewezen op de (regionale) economische waarde van bedrijf, bijvoorbeeld op het gebied van werkgelegenheid en de strategische positie van TSN.</w:t>
      </w:r>
      <w:r>
        <w:t xml:space="preserve"> </w:t>
      </w:r>
    </w:p>
    <w:p w:rsidRPr="0085539A" w:rsidR="00B34B1F" w:rsidP="00B34B1F" w:rsidRDefault="00B34B1F" w14:paraId="550BE6D1" w14:textId="77777777">
      <w:pPr>
        <w:spacing w:line="276" w:lineRule="auto"/>
        <w:contextualSpacing/>
      </w:pPr>
      <w:r w:rsidRPr="0085539A">
        <w:t> </w:t>
      </w:r>
    </w:p>
    <w:p w:rsidRPr="0085539A" w:rsidR="00B34B1F" w:rsidP="00B34B1F" w:rsidRDefault="00B34B1F" w14:paraId="44A2B98A" w14:textId="77777777">
      <w:pPr>
        <w:spacing w:line="276" w:lineRule="auto"/>
        <w:contextualSpacing/>
      </w:pPr>
      <w:r w:rsidRPr="0085539A">
        <w:t>Waar een meerderheid van de respondenten de doelstellingen ambitieus en realistisch vindt, is een beperkter deel van mening dat de doelstellingen ondermaats zijn en dat de economische waarde van het bedrijf wordt overschat.</w:t>
      </w:r>
      <w:r>
        <w:t xml:space="preserve"> </w:t>
      </w:r>
      <w:r w:rsidRPr="0085539A">
        <w:br/>
      </w:r>
    </w:p>
    <w:p w:rsidRPr="0085539A" w:rsidR="00B34B1F" w:rsidP="00B34B1F" w:rsidRDefault="00B34B1F" w14:paraId="31B4C644" w14:textId="77777777">
      <w:pPr>
        <w:spacing w:line="276" w:lineRule="auto"/>
        <w:contextualSpacing/>
      </w:pPr>
      <w:r w:rsidRPr="0085539A">
        <w:t xml:space="preserve">De verscheidenheid aan binnengekomen reacties toont de complexiteit van de opgave en de verschillende belangen. Met de maatwerkafspraak met TSN zal niet aan ieders wensen kunnen worden voldaan. Wel wordt met de </w:t>
      </w:r>
      <w:r>
        <w:t xml:space="preserve">maatwerkafspraak </w:t>
      </w:r>
      <w:r w:rsidRPr="0085539A">
        <w:t xml:space="preserve">naar verwachting een belangrijke stap gezet naar </w:t>
      </w:r>
      <w:r>
        <w:t xml:space="preserve">industriële vergroening </w:t>
      </w:r>
      <w:r w:rsidRPr="0085539A">
        <w:t>en</w:t>
      </w:r>
      <w:r>
        <w:t xml:space="preserve"> verbetering </w:t>
      </w:r>
      <w:r w:rsidRPr="0085539A">
        <w:t>van de leefomgeving en gezondheid van omwonenden</w:t>
      </w:r>
      <w:r>
        <w:t xml:space="preserve"> die ook bijdraagt aan banen in de regio</w:t>
      </w:r>
      <w:r w:rsidRPr="0085539A">
        <w:t>. </w:t>
      </w:r>
    </w:p>
    <w:p w:rsidRPr="0085539A" w:rsidR="00B34B1F" w:rsidP="00B34B1F" w:rsidRDefault="00B34B1F" w14:paraId="7F26DE17" w14:textId="77777777">
      <w:pPr>
        <w:spacing w:line="276" w:lineRule="auto"/>
        <w:contextualSpacing/>
      </w:pPr>
      <w:r w:rsidRPr="0085539A">
        <w:t> </w:t>
      </w:r>
    </w:p>
    <w:p w:rsidRPr="0085539A" w:rsidR="00B34B1F" w:rsidP="00B34B1F" w:rsidRDefault="00B34B1F" w14:paraId="11230BD3" w14:textId="77777777">
      <w:pPr>
        <w:spacing w:line="276" w:lineRule="auto"/>
        <w:contextualSpacing/>
      </w:pPr>
      <w:r w:rsidRPr="0085539A">
        <w:rPr>
          <w:i/>
          <w:iCs/>
        </w:rPr>
        <w:t>Vervolg</w:t>
      </w:r>
      <w:r w:rsidRPr="0085539A">
        <w:t> </w:t>
      </w:r>
    </w:p>
    <w:p w:rsidRPr="0085539A" w:rsidR="00B34B1F" w:rsidP="00B34B1F" w:rsidRDefault="00B34B1F" w14:paraId="1675F69D" w14:textId="3C782704">
      <w:pPr>
        <w:spacing w:line="276" w:lineRule="auto"/>
        <w:contextualSpacing/>
      </w:pPr>
      <w:r w:rsidRPr="0085539A">
        <w:t xml:space="preserve">De komende periode zal worden bezien welke reacties op de </w:t>
      </w:r>
      <w:r>
        <w:t xml:space="preserve">consultatie </w:t>
      </w:r>
      <w:r w:rsidRPr="0085539A">
        <w:t xml:space="preserve">kunnen worden meegenomen in de maatwerkafspraak met TSN. Voor enkele inhoudelijke onderwerpen geldt dat in de JLoI is aangegeven dat dit zal worden </w:t>
      </w:r>
      <w:r w:rsidRPr="0085539A">
        <w:lastRenderedPageBreak/>
        <w:t xml:space="preserve">uitgewerkt. Een grote groep respondenten roept op tot het maken van </w:t>
      </w:r>
      <w:r>
        <w:t>duidelijke</w:t>
      </w:r>
      <w:r w:rsidRPr="0085539A">
        <w:t xml:space="preserve">, afdwingbare afspraken met stevige garanties. Deze </w:t>
      </w:r>
      <w:r>
        <w:t xml:space="preserve">oproep </w:t>
      </w:r>
      <w:r w:rsidRPr="0085539A">
        <w:t>onderschrijft het kabinet volledig. Ook voor het kabinet staat voorop dat de doelen behaald moeten worden. De beoogde doelen uit de JLoI moeten in de maatwerkafspraak dan ook worden vastgelegd als bindende en afdwingbare resultaatsverplichtingen. Hier werkt het kabinet de komende tijd aan verder. </w:t>
      </w:r>
    </w:p>
    <w:p w:rsidRPr="0085539A" w:rsidR="00B34B1F" w:rsidP="00B34B1F" w:rsidRDefault="00B34B1F" w14:paraId="468295D0" w14:textId="77777777">
      <w:pPr>
        <w:spacing w:line="276" w:lineRule="auto"/>
        <w:contextualSpacing/>
      </w:pPr>
    </w:p>
    <w:p w:rsidRPr="0085539A" w:rsidR="00B34B1F" w:rsidP="00B34B1F" w:rsidRDefault="00B34B1F" w14:paraId="1ABA2FEC" w14:textId="77777777">
      <w:pPr>
        <w:spacing w:line="276" w:lineRule="auto"/>
        <w:contextualSpacing/>
      </w:pPr>
      <w:r w:rsidRPr="0085539A">
        <w:t>Ook ten aanzien van de financiële borging van de afspraken worden een aantal concrete voorstellen gedaan, zoals het verbieden van winstuitkeringen en terugbetaalconstructies. Een aantal van deze punten waren al opgenomen in de JLoI en worden verder uitgewerkt en waar mogelijk vastgelegd in de maatwerkafspraak. </w:t>
      </w:r>
    </w:p>
    <w:p w:rsidRPr="0085539A" w:rsidR="00B34B1F" w:rsidP="00B34B1F" w:rsidRDefault="00B34B1F" w14:paraId="73CD1EAA" w14:textId="77777777">
      <w:pPr>
        <w:spacing w:line="276" w:lineRule="auto"/>
        <w:contextualSpacing/>
      </w:pPr>
    </w:p>
    <w:p w:rsidRPr="0085539A" w:rsidR="00B34B1F" w:rsidP="00B34B1F" w:rsidRDefault="00B34B1F" w14:paraId="1F1E46DD" w14:textId="77777777">
      <w:pPr>
        <w:spacing w:line="276" w:lineRule="auto"/>
        <w:contextualSpacing/>
      </w:pPr>
      <w:r w:rsidRPr="0085539A">
        <w:t>Daarnaast wordt het belang van onafhankelijk meten en monitoren veelvuldig benoemd door de respondenten. Dit uitgangspunt is afgesproken in de JLoI en de reacties ziet het kabinet als verdere ondersteuning om dit uit te werken in de maatwerkafspraak. Daarbij komt dit punt ook terug in de motie-Teunissen c.s. over het onafhankelijk, continu en fijnmazig meten van gevaarlijke stoffen bij Tata Steel. Het kabinet ziet dit als een onderwerp dat niet alleen rond Tata Steel, maar in bredere zin rond industriële locaties van belang is. In de brief van 18 december 2025 over de uitkomsten van de Actieagenda Industrie en Omwonenden</w:t>
      </w:r>
      <w:r>
        <w:rPr>
          <w:rStyle w:val="Voetnootmarkering"/>
        </w:rPr>
        <w:footnoteReference w:id="2"/>
      </w:r>
      <w:r w:rsidRPr="0085539A">
        <w:t> is de Kamer geïnformeerd over de stappen die het kabinet op dit gebied zet, waarmee uitvoering wordt gegeven aan de motie-Teunissen c.s. </w:t>
      </w:r>
    </w:p>
    <w:p w:rsidRPr="0085539A" w:rsidR="00B34B1F" w:rsidP="00B34B1F" w:rsidRDefault="00B34B1F" w14:paraId="67913D5C" w14:textId="77777777">
      <w:pPr>
        <w:spacing w:line="276" w:lineRule="auto"/>
        <w:contextualSpacing/>
      </w:pPr>
      <w:r w:rsidRPr="0085539A">
        <w:t> </w:t>
      </w:r>
    </w:p>
    <w:p w:rsidRPr="0085539A" w:rsidR="00B34B1F" w:rsidP="00B34B1F" w:rsidRDefault="00B34B1F" w14:paraId="49EBF1A6" w14:textId="77777777">
      <w:pPr>
        <w:spacing w:line="276" w:lineRule="auto"/>
        <w:contextualSpacing/>
      </w:pPr>
      <w:r w:rsidRPr="0085539A">
        <w:t>Gelet op de lopende onderhandelingen kan het kabinet nu niet in detail vooruitlopen op de uiteindelijke maatwerkafspraak. Ook is het van belang om te benadrukken dat niet alle reacties op de publieke consulatie mee kunnen worden genomen in de onderhandelingen over de maatwerkafspraak met TSN, onder andere omdat reacties onverenigbaar met elkaar zijn, maar ook omdat de maatwerkafspra</w:t>
      </w:r>
      <w:r>
        <w:t>a</w:t>
      </w:r>
      <w:r w:rsidRPr="0085539A">
        <w:t xml:space="preserve">k beperkingen </w:t>
      </w:r>
      <w:r>
        <w:t xml:space="preserve">kent </w:t>
      </w:r>
      <w:r w:rsidRPr="0085539A">
        <w:t>in tijd en in geld, waardoor niet alles in één keer te realiseren is. </w:t>
      </w:r>
    </w:p>
    <w:p w:rsidRPr="0085539A" w:rsidR="00B34B1F" w:rsidP="00B34B1F" w:rsidRDefault="00B34B1F" w14:paraId="7BA2577A" w14:textId="77777777">
      <w:pPr>
        <w:spacing w:line="276" w:lineRule="auto"/>
        <w:contextualSpacing/>
      </w:pPr>
    </w:p>
    <w:p w:rsidRPr="0085539A" w:rsidR="00B34B1F" w:rsidP="00B34B1F" w:rsidRDefault="00B34B1F" w14:paraId="1E02CBEC" w14:textId="77777777">
      <w:pPr>
        <w:spacing w:line="276" w:lineRule="auto"/>
        <w:contextualSpacing/>
      </w:pPr>
      <w:r w:rsidRPr="0085539A">
        <w:t xml:space="preserve">Met de consultatie konden belanghebbende reageren op de JLoI, oftewel de contouren van de definitieve maatwerkafspraak. Reacties waarbij wordt </w:t>
      </w:r>
      <w:r>
        <w:t xml:space="preserve">voorgesteld geen maatwerkafspraak met TSN te sluiten, maar waarin bijvoorbeeld </w:t>
      </w:r>
      <w:r w:rsidRPr="0085539A">
        <w:t>sluiting van TSN wordt voorgesteld, vallen buiten deze scope en kunnen om die reden in het huidige proces van onderhandelingen niet worden meegenomen. De inzet van het kabinet is immers om een maatwerkafspraak met TSN te sluiten om zo tot een grote reductie van de CO</w:t>
      </w:r>
      <w:r w:rsidRPr="0085539A">
        <w:rPr>
          <w:vertAlign w:val="subscript"/>
        </w:rPr>
        <w:t>2</w:t>
      </w:r>
      <w:r w:rsidRPr="0085539A">
        <w:t xml:space="preserve">-uitstoot en </w:t>
      </w:r>
      <w:r>
        <w:t xml:space="preserve">forse </w:t>
      </w:r>
      <w:r w:rsidRPr="0085539A">
        <w:t>verbetering van de gezondheid en leefomgeving te komen én de economische en strategische waarde van staalproductie in de IJmond te behouden voor Nederland en Europa. </w:t>
      </w:r>
    </w:p>
    <w:p w:rsidRPr="0085539A" w:rsidR="00B34B1F" w:rsidP="00B34B1F" w:rsidRDefault="00B34B1F" w14:paraId="6C55E616" w14:textId="77777777">
      <w:pPr>
        <w:spacing w:line="276" w:lineRule="auto"/>
        <w:contextualSpacing/>
      </w:pPr>
    </w:p>
    <w:p w:rsidRPr="0085539A" w:rsidR="00B34B1F" w:rsidP="00B34B1F" w:rsidRDefault="00B34B1F" w14:paraId="3668D387" w14:textId="77777777">
      <w:pPr>
        <w:spacing w:line="276" w:lineRule="auto"/>
        <w:contextualSpacing/>
      </w:pPr>
      <w:r>
        <w:t>Ten slotte</w:t>
      </w:r>
      <w:r w:rsidRPr="0085539A">
        <w:t xml:space="preserve"> zien enkele punten uit de consultatie op beleidsontwikkelingen die breder spelen dan de maatwerkafspraak met TSN, bijvoorbeeld de ontwikkeling </w:t>
      </w:r>
      <w:r w:rsidRPr="0085539A">
        <w:lastRenderedPageBreak/>
        <w:t>van de waterstofeconomie en het beleid rondom staalslakken. De opvolging van deze punten wordt, waar mogelijk, niet in de maatwerkafspraak, maar op andere manieren – bijvoorbeeld via generiek beleid – ter handen genomen.</w:t>
      </w:r>
      <w:r>
        <w:t xml:space="preserve"> </w:t>
      </w:r>
    </w:p>
    <w:p w:rsidR="00B34B1F" w:rsidP="00B34B1F" w:rsidRDefault="00B34B1F" w14:paraId="6E87AD7E" w14:textId="77777777">
      <w:pPr>
        <w:spacing w:line="276" w:lineRule="auto"/>
        <w:contextualSpacing/>
      </w:pPr>
    </w:p>
    <w:p w:rsidR="00B34B1F" w:rsidP="00B34B1F" w:rsidRDefault="00B34B1F" w14:paraId="6617B79A" w14:textId="77777777">
      <w:pPr>
        <w:spacing w:line="276" w:lineRule="auto"/>
        <w:contextualSpacing/>
        <w:rPr>
          <w:rFonts w:eastAsia="Calibri" w:cs="Calibri"/>
          <w:b/>
          <w:bCs/>
        </w:rPr>
      </w:pPr>
      <w:r w:rsidRPr="0E3F1B79">
        <w:rPr>
          <w:rFonts w:eastAsia="Calibri" w:cs="Calibri"/>
          <w:b/>
          <w:bCs/>
        </w:rPr>
        <w:t>Voortgang totstandkoming gezondheidseffectrapportage</w:t>
      </w:r>
    </w:p>
    <w:p w:rsidRPr="002A6AB7" w:rsidR="00B34B1F" w:rsidP="00B34B1F" w:rsidRDefault="00B34B1F" w14:paraId="36EB8076" w14:textId="77777777">
      <w:pPr>
        <w:spacing w:line="276" w:lineRule="auto"/>
        <w:contextualSpacing/>
        <w:rPr>
          <w:rFonts w:eastAsia="Verdana" w:cs="Verdana"/>
          <w:szCs w:val="18"/>
        </w:rPr>
      </w:pPr>
      <w:r w:rsidRPr="002A6AB7">
        <w:rPr>
          <w:rFonts w:eastAsia="Verdana" w:cs="Verdana"/>
          <w:szCs w:val="18"/>
        </w:rPr>
        <w:t>Naar aanleiding van een advies van de Expertgroep Gezondheid IJmond</w:t>
      </w:r>
      <w:r w:rsidRPr="002A6AB7">
        <w:rPr>
          <w:rStyle w:val="Voetnootmarkering"/>
          <w:rFonts w:eastAsia="Verdana" w:cs="Verdana"/>
          <w:szCs w:val="18"/>
        </w:rPr>
        <w:footnoteReference w:id="3"/>
      </w:r>
      <w:r w:rsidRPr="002A6AB7">
        <w:rPr>
          <w:rFonts w:eastAsia="Verdana" w:cs="Verdana"/>
          <w:szCs w:val="18"/>
        </w:rPr>
        <w:t xml:space="preserve"> en de motie-Gabriëls c.s.</w:t>
      </w:r>
      <w:r w:rsidRPr="002A6AB7">
        <w:rPr>
          <w:rStyle w:val="Voetnootmarkering"/>
          <w:rFonts w:eastAsia="Verdana" w:cs="Verdana"/>
          <w:szCs w:val="18"/>
        </w:rPr>
        <w:footnoteReference w:id="4"/>
      </w:r>
      <w:r w:rsidRPr="002A6AB7">
        <w:rPr>
          <w:rFonts w:eastAsia="Verdana" w:cs="Verdana"/>
          <w:szCs w:val="18"/>
        </w:rPr>
        <w:t xml:space="preserve"> is in 2024 gestart met het concretiseren van een gezondheidseffectrapportage (GER) voor de TSN-plannen. Voor het opstellen van de GER heeft het ministerie van IenW een onafhankelijke werkgroep ingesteld. Het voorzitterschap en secretariaat van de werkgroep is belegd bij ABDTOPConsult. Inhoudelijke expertise wordt geleverd door het Rijksinstituut voor Volksgezondheid en Milieu (RIVM), de Gemeentelijke Gezondheidsdienst (GGD) Kennemerland en een expert van het Institute for Risk Assessment Sciences (IRAS) van de Universiteit Utrecht. Het is veel en ingewikkeld werk om een nieuw instrument te ontwikkelen en het kabinet spreekt dan ook zijn dank uit aan de werkgroep voor haar inspanningen.</w:t>
      </w:r>
    </w:p>
    <w:p w:rsidRPr="002A6AB7" w:rsidR="00B34B1F" w:rsidP="00B34B1F" w:rsidRDefault="00B34B1F" w14:paraId="03AC0FD4" w14:textId="77777777">
      <w:pPr>
        <w:spacing w:line="276" w:lineRule="auto"/>
        <w:contextualSpacing/>
        <w:rPr>
          <w:rFonts w:eastAsia="Verdana" w:cs="Verdana"/>
          <w:szCs w:val="18"/>
        </w:rPr>
      </w:pPr>
    </w:p>
    <w:p w:rsidRPr="002A6AB7" w:rsidR="00B34B1F" w:rsidP="00B34B1F" w:rsidRDefault="00B34B1F" w14:paraId="7AE7ED23" w14:textId="77777777">
      <w:pPr>
        <w:spacing w:line="276" w:lineRule="auto"/>
        <w:contextualSpacing/>
        <w:rPr>
          <w:rFonts w:eastAsia="Verdana" w:cs="Verdana"/>
        </w:rPr>
      </w:pPr>
      <w:r w:rsidRPr="002A6AB7">
        <w:rPr>
          <w:rFonts w:eastAsia="Verdana" w:cs="Verdana"/>
          <w:szCs w:val="18"/>
        </w:rPr>
        <w:t>De GER heeft tot doel inzicht te bieden in de effecten van de beoogde maatwerkafspraak op de gezondheid van omwonenden. Het ontwikkelen en toepassen van dit nieuwe instrument onderstreept de inzet van het kabinet om gezondheid, naast CO</w:t>
      </w:r>
      <w:r w:rsidRPr="002A6AB7">
        <w:rPr>
          <w:rFonts w:eastAsia="Verdana" w:cs="Verdana"/>
          <w:szCs w:val="18"/>
          <w:vertAlign w:val="subscript"/>
        </w:rPr>
        <w:t>2</w:t>
      </w:r>
      <w:r w:rsidRPr="002A6AB7">
        <w:rPr>
          <w:rFonts w:eastAsia="Verdana" w:cs="Verdana"/>
          <w:szCs w:val="18"/>
        </w:rPr>
        <w:t xml:space="preserve">-reductie, een volwaardige plek te geven in de (besluitvorming over de) maatwerkafspraak. De GER is hiervoor één van de beschikbare instrumenten, maar zeker niet de enige. </w:t>
      </w:r>
      <w:r w:rsidRPr="002A6AB7">
        <w:rPr>
          <w:rFonts w:eastAsia="Verdana" w:cs="Verdana"/>
        </w:rPr>
        <w:t>Eerder was onafhankelijk onderzoek beschikbaar waar de inzet van het kabinet voor gezondheid op is gebaseerd. Dit ziet onder andere op onderzoeken door het RIVM en de Expertgroep Gezondheid IJmond. Twee rapporten zijn in het bijzonder van belang geweest bij het bepalen van de doelstellingen. Dit ziet op de studie van het RIVM: “</w:t>
      </w:r>
      <w:r w:rsidRPr="002A6AB7">
        <w:rPr>
          <w:rFonts w:eastAsia="Verdana" w:cs="Verdana"/>
          <w:i/>
        </w:rPr>
        <w:t>De bijdrage van Tata Steel Nederland aan de gezondheidsrisico's van omwonenden en de kwaliteit van hun leefomgeving</w:t>
      </w:r>
      <w:r w:rsidRPr="002A6AB7">
        <w:rPr>
          <w:rFonts w:eastAsia="Verdana" w:cs="Verdana"/>
        </w:rPr>
        <w:t>”</w:t>
      </w:r>
      <w:r w:rsidRPr="002A6AB7">
        <w:rPr>
          <w:rStyle w:val="Voetnootmarkering"/>
          <w:rFonts w:eastAsia="Verdana" w:cs="Verdana"/>
          <w:i/>
        </w:rPr>
        <w:footnoteReference w:id="5"/>
      </w:r>
      <w:r w:rsidRPr="002A6AB7">
        <w:rPr>
          <w:rFonts w:eastAsia="Verdana" w:cs="Verdana"/>
        </w:rPr>
        <w:t xml:space="preserve"> en het advies: “</w:t>
      </w:r>
      <w:r w:rsidRPr="002A6AB7">
        <w:rPr>
          <w:rFonts w:eastAsia="Verdana" w:cs="Verdana"/>
          <w:i/>
        </w:rPr>
        <w:t>Gezondheid geborgd, de eerste bevindingen van de Expertgroep Gezondheid IJmond”</w:t>
      </w:r>
      <w:r w:rsidRPr="002A6AB7">
        <w:rPr>
          <w:rFonts w:eastAsia="Verdana" w:cs="Verdana"/>
        </w:rPr>
        <w:t>.</w:t>
      </w:r>
      <w:r w:rsidRPr="002A6AB7">
        <w:rPr>
          <w:rStyle w:val="Voetnootmarkering"/>
          <w:rFonts w:eastAsia="Verdana" w:cs="Verdana"/>
        </w:rPr>
        <w:footnoteReference w:id="6"/>
      </w:r>
      <w:r w:rsidRPr="002A6AB7">
        <w:rPr>
          <w:rFonts w:eastAsia="Verdana" w:cs="Verdana"/>
        </w:rPr>
        <w:t xml:space="preserve"> </w:t>
      </w:r>
    </w:p>
    <w:p w:rsidRPr="002A6AB7" w:rsidR="00B34B1F" w:rsidP="00B34B1F" w:rsidRDefault="00B34B1F" w14:paraId="2E814F9A" w14:textId="77777777">
      <w:pPr>
        <w:spacing w:line="276" w:lineRule="auto"/>
        <w:contextualSpacing/>
        <w:rPr>
          <w:rFonts w:eastAsia="Verdana" w:cs="Verdana"/>
        </w:rPr>
      </w:pPr>
    </w:p>
    <w:p w:rsidRPr="002A6AB7" w:rsidR="00B34B1F" w:rsidP="00B34B1F" w:rsidRDefault="00B34B1F" w14:paraId="31D79266" w14:textId="77777777">
      <w:pPr>
        <w:spacing w:line="276" w:lineRule="auto"/>
        <w:contextualSpacing/>
        <w:rPr>
          <w:rFonts w:eastAsia="Verdana" w:cs="Verdana"/>
        </w:rPr>
      </w:pPr>
      <w:r w:rsidRPr="002A6AB7">
        <w:rPr>
          <w:rFonts w:eastAsia="Verdana" w:cs="Verdana"/>
        </w:rPr>
        <w:t>Een relevante ontwikkeling is dat de GER-werkgroep – in overleg met de opdrachtgever (het ministerie van IenW) – inmiddels een inschatting van de gezondheidseffecten van een deel van de milieu- en gezondheidsmaatregelen heeft opgesteld. Het gaat dan vooral om de overkappingen en de aanvullende windschermen voor grondstoffenopslag. De GER-werkgroep heeft hierbij alleen gekeken naar de gezondheidseffecten van de blootstelling aan fijnstof. De werkgroep benadrukt dat de rapportage niet de GER is die het kabinet heeft toegezegd</w:t>
      </w:r>
      <w:r>
        <w:rPr>
          <w:rFonts w:eastAsia="Verdana" w:cs="Verdana"/>
        </w:rPr>
        <w:t xml:space="preserve"> maar, zoals hier boven ook al staat, een deel daarvan</w:t>
      </w:r>
      <w:r w:rsidRPr="002A6AB7">
        <w:rPr>
          <w:rFonts w:eastAsia="Verdana" w:cs="Verdana"/>
        </w:rPr>
        <w:t xml:space="preserve">. Naast het feit dat de rapportage niet gaat over op de effecten van de bouw van de nieuwe installatie (de DRP-EAF), zijn ook de effecten van het maatregelenpakket Roadmap+ niet meegenomen. Daarnaast merkt de werkgroep GER ook op dat de </w:t>
      </w:r>
      <w:r w:rsidRPr="002A6AB7">
        <w:rPr>
          <w:rFonts w:eastAsia="Verdana" w:cs="Verdana"/>
        </w:rPr>
        <w:lastRenderedPageBreak/>
        <w:t xml:space="preserve">inschattingen meerdere onzekerheden kennen en dat de data afkomstig is van TSN en niet is gevalideerd. </w:t>
      </w:r>
      <w:r w:rsidRPr="002A6AB7">
        <w:rPr>
          <w:rFonts w:eastAsia="Verdana" w:cs="Verdana"/>
          <w:szCs w:val="18"/>
        </w:rPr>
        <w:t xml:space="preserve">U treft de rapportage bij deze Kamerbrief. </w:t>
      </w:r>
      <w:r w:rsidRPr="002A6AB7">
        <w:rPr>
          <w:rFonts w:eastAsia="Verdana" w:cs="Verdana"/>
        </w:rPr>
        <w:t xml:space="preserve">Het kabinet neemt de inzichten uit de rapportage </w:t>
      </w:r>
      <w:r>
        <w:rPr>
          <w:rFonts w:eastAsia="Verdana" w:cs="Verdana"/>
        </w:rPr>
        <w:t xml:space="preserve">serieus en neemt ze </w:t>
      </w:r>
      <w:r w:rsidRPr="002A6AB7">
        <w:rPr>
          <w:rFonts w:eastAsia="Verdana" w:cs="Verdana"/>
        </w:rPr>
        <w:t>mee in het komen tot de maatwerkafspraak</w:t>
      </w:r>
      <w:r>
        <w:rPr>
          <w:rFonts w:eastAsia="Verdana" w:cs="Verdana"/>
        </w:rPr>
        <w:t>, in lijn met de afspraken hierover in de JLoI</w:t>
      </w:r>
      <w:r>
        <w:rPr>
          <w:rStyle w:val="Voetnootmarkering"/>
          <w:rFonts w:eastAsia="Verdana" w:cs="Verdana"/>
        </w:rPr>
        <w:footnoteReference w:id="7"/>
      </w:r>
      <w:r w:rsidRPr="002A6AB7">
        <w:rPr>
          <w:rFonts w:eastAsia="Verdana" w:cs="Verdana"/>
        </w:rPr>
        <w:t xml:space="preserve">. </w:t>
      </w:r>
    </w:p>
    <w:p w:rsidRPr="002A6AB7" w:rsidR="00B34B1F" w:rsidP="00B34B1F" w:rsidRDefault="00B34B1F" w14:paraId="36182986" w14:textId="77777777">
      <w:pPr>
        <w:spacing w:line="276" w:lineRule="auto"/>
        <w:contextualSpacing/>
        <w:rPr>
          <w:rFonts w:eastAsia="Verdana" w:cs="Verdana"/>
        </w:rPr>
      </w:pPr>
    </w:p>
    <w:p w:rsidRPr="002A6AB7" w:rsidR="00B34B1F" w:rsidP="00B34B1F" w:rsidRDefault="00B34B1F" w14:paraId="57FDC4AF" w14:textId="77777777">
      <w:pPr>
        <w:spacing w:line="276" w:lineRule="auto"/>
        <w:contextualSpacing/>
        <w:rPr>
          <w:rFonts w:eastAsia="Verdana" w:cs="Verdana"/>
        </w:rPr>
      </w:pPr>
      <w:r w:rsidRPr="002A6AB7">
        <w:rPr>
          <w:rFonts w:eastAsia="Verdana" w:cs="Verdana"/>
        </w:rPr>
        <w:t>Uit de rapportage komt naar voren dat de onderzochte maatregelen (beperkte) gezondheidswinst opleveren voor de omwonenden van Tata Steel. De bijdrage van TSN aan de gezondheidsrisico’s van fijnstof neemt door de maatregelen naar schatting met 11-16 procent af. Hoe dichter mensen bij de bron wonen, hoe meer baat zij hebben bij deze maatregelen en omgekeerd. Meer concreet resulteren de aanvullende maatregelen naar schatting tot een winst in de verwachte levensduur van één dag per inwoner in Heemskerk tot negen dagen per inwoner in Wijk aan Zee. Zolang de maatregelen van kracht zijn, leiden deze elk jaar tot ongeveer twaalf extra gezonde levensjaren voor alle bewoners van het gebied samen.</w:t>
      </w:r>
    </w:p>
    <w:p w:rsidRPr="002A6AB7" w:rsidR="00B34B1F" w:rsidP="00B34B1F" w:rsidRDefault="00B34B1F" w14:paraId="3D6F4098" w14:textId="77777777">
      <w:pPr>
        <w:spacing w:line="276" w:lineRule="auto"/>
        <w:contextualSpacing/>
        <w:rPr>
          <w:rFonts w:eastAsia="Verdana" w:cs="Verdana"/>
        </w:rPr>
      </w:pPr>
    </w:p>
    <w:p w:rsidRPr="002A6AB7" w:rsidR="00B34B1F" w:rsidP="00B34B1F" w:rsidRDefault="00B34B1F" w14:paraId="700DEAF2" w14:textId="77777777">
      <w:pPr>
        <w:spacing w:line="276" w:lineRule="auto"/>
        <w:contextualSpacing/>
        <w:rPr>
          <w:rFonts w:eastAsia="Verdana" w:cs="Verdana"/>
        </w:rPr>
      </w:pPr>
      <w:r w:rsidRPr="002A6AB7">
        <w:rPr>
          <w:rFonts w:eastAsia="Verdana" w:cs="Verdana"/>
        </w:rPr>
        <w:t xml:space="preserve">In tabel 2 van Annex 2 van de JLoI is zichtbaar hoe de verwachte </w:t>
      </w:r>
      <w:r w:rsidRPr="002A6AB7">
        <w:rPr>
          <w:rFonts w:eastAsia="Verdana" w:cs="Verdana"/>
          <w:i/>
          <w:iCs/>
        </w:rPr>
        <w:t>immissie</w:t>
      </w:r>
      <w:r w:rsidRPr="002A6AB7">
        <w:rPr>
          <w:rFonts w:eastAsia="Verdana" w:cs="Verdana"/>
        </w:rPr>
        <w:t>reductie, dus de reductie van de concentraties in de lucht, geacht wordt zich te ontwikkelen</w:t>
      </w:r>
      <w:r>
        <w:rPr>
          <w:rFonts w:eastAsia="Verdana" w:cs="Verdana"/>
        </w:rPr>
        <w:t xml:space="preserve"> nadat het plan door TSN is uitgevoerd</w:t>
      </w:r>
      <w:r w:rsidRPr="002A6AB7">
        <w:rPr>
          <w:rFonts w:eastAsia="Verdana" w:cs="Verdana"/>
        </w:rPr>
        <w:t xml:space="preserve">. Daaruit blijkt dat de onderdelen die niet in deze rapportage zijn betrokken tot een aanzienlijke fijnstofreductie – en daarmee gezondheidswinst leiden. De inschatting van de werkgroep GER komt bovendien overeen met de imissiereductie die in de JLoI </w:t>
      </w:r>
      <w:r>
        <w:rPr>
          <w:rFonts w:eastAsia="Verdana" w:cs="Verdana"/>
        </w:rPr>
        <w:t>staat opgenomen bij dit deel van de maatregelen</w:t>
      </w:r>
      <w:r w:rsidRPr="002A6AB7">
        <w:rPr>
          <w:rFonts w:eastAsia="Verdana" w:cs="Verdana"/>
        </w:rPr>
        <w:t xml:space="preserve">. </w:t>
      </w:r>
    </w:p>
    <w:p w:rsidRPr="002A6AB7" w:rsidR="00B34B1F" w:rsidP="00B34B1F" w:rsidRDefault="00B34B1F" w14:paraId="60FB3D0C" w14:textId="77777777">
      <w:pPr>
        <w:spacing w:line="276" w:lineRule="auto"/>
        <w:contextualSpacing/>
        <w:rPr>
          <w:rFonts w:eastAsia="Verdana" w:cs="Verdana"/>
        </w:rPr>
      </w:pPr>
    </w:p>
    <w:p w:rsidRPr="002A6AB7" w:rsidR="00B34B1F" w:rsidP="00B34B1F" w:rsidRDefault="00B34B1F" w14:paraId="2161EE5F" w14:textId="77777777">
      <w:pPr>
        <w:spacing w:line="276" w:lineRule="auto"/>
        <w:contextualSpacing/>
        <w:rPr>
          <w:rFonts w:eastAsia="Verdana" w:cs="Verdana"/>
        </w:rPr>
      </w:pPr>
      <w:r w:rsidRPr="002A6AB7">
        <w:rPr>
          <w:rFonts w:eastAsia="Verdana" w:cs="Verdana"/>
        </w:rPr>
        <w:t xml:space="preserve">De uitkomsten van deze rapportage laten, wat het kabinet betreft, een beeld zien van een deel van de potentiële gezondheidswinst die met een maatwerkafspraak kan worden gerealiseerd. </w:t>
      </w:r>
      <w:r w:rsidRPr="002A6AB7">
        <w:t>Het kabinet vindt het cruciaal dat </w:t>
      </w:r>
      <w:r>
        <w:t>die winst</w:t>
      </w:r>
      <w:r w:rsidRPr="002A6AB7">
        <w:t xml:space="preserve"> zo snel mogelijk wordt </w:t>
      </w:r>
      <w:r>
        <w:t xml:space="preserve">verzilverd met de daartoe te nemen maatregelen. </w:t>
      </w:r>
      <w:r w:rsidRPr="002A6AB7">
        <w:rPr>
          <w:rFonts w:eastAsia="Verdana" w:cs="Verdana"/>
        </w:rPr>
        <w:t>Uiteraard spant het kabinet zich daarnaast in brede zin in om ook andere bronnen van luchtvervuiling aan te pakken en de Europese doelen voor luchtkwaliteit te halen. Naast TSN zijn er immers meerdere (kleinere) bronnen van luchtvervuiling die samen voor aanzienlijke gezondheidseffecten zorgen, zowel in de IJmond als in de rest van Nederland.</w:t>
      </w:r>
    </w:p>
    <w:p w:rsidR="00B34B1F" w:rsidP="00B34B1F" w:rsidRDefault="00B34B1F" w14:paraId="45027366" w14:textId="77777777">
      <w:pPr>
        <w:spacing w:line="276" w:lineRule="auto"/>
        <w:contextualSpacing/>
      </w:pPr>
    </w:p>
    <w:p w:rsidR="00B34B1F" w:rsidP="00B34B1F" w:rsidRDefault="00B34B1F" w14:paraId="0A11F570" w14:textId="77777777">
      <w:pPr>
        <w:spacing w:line="276" w:lineRule="auto"/>
        <w:contextualSpacing/>
      </w:pPr>
      <w:r w:rsidRPr="002A6AB7">
        <w:t>De werkgroep wil de komende tijd verder werken aan de GER</w:t>
      </w:r>
      <w:r>
        <w:t xml:space="preserve"> en</w:t>
      </w:r>
      <w:r w:rsidRPr="005F60A5">
        <w:t xml:space="preserve"> heeft aangegeven dat een GER idealiter wordt opgesteld op basis van een definitieve MER, die ook beoordeeld is door de Commissie mer en het bevoegd gezag, omdat de data dan volledig gevalideerd zijn. Zoals eerder gemeld is deze definitieve versie van het MER nog niet beschikbaar. </w:t>
      </w:r>
      <w:r>
        <w:t xml:space="preserve">Tegelijkertijd bestaat de wens om zo spoedig mogelijk een GER op te stellen. Doordat de GER voor het eerst wordt uitgevoerd en de uitvoering afhankelijk is van de m.e.r.-procedure, </w:t>
      </w:r>
    </w:p>
    <w:p w:rsidR="00B34B1F" w:rsidP="00B34B1F" w:rsidRDefault="00B34B1F" w14:paraId="6E0173F2" w14:textId="77777777">
      <w:pPr>
        <w:spacing w:line="276" w:lineRule="auto"/>
        <w:contextualSpacing/>
      </w:pPr>
      <w:r>
        <w:t>is de exacte duur van de verdere uitvoering niet geheel te voorspellen, maar alle</w:t>
      </w:r>
    </w:p>
    <w:p w:rsidR="00B34B1F" w:rsidP="00B34B1F" w:rsidRDefault="00B34B1F" w14:paraId="48C9F5D6" w14:textId="77777777">
      <w:pPr>
        <w:spacing w:line="276" w:lineRule="auto"/>
        <w:contextualSpacing/>
        <w:rPr>
          <w:rFonts w:eastAsia="Verdana" w:cs="Verdana"/>
        </w:rPr>
      </w:pPr>
      <w:r>
        <w:t xml:space="preserve">betrokken partijen zijn zich bewust van de wens van de Kamer tot snelheid en zetten zich daarvoor in. </w:t>
      </w:r>
    </w:p>
    <w:p w:rsidR="00B34B1F" w:rsidP="00B34B1F" w:rsidRDefault="00B34B1F" w14:paraId="06E8F461" w14:textId="77777777">
      <w:pPr>
        <w:spacing w:line="276" w:lineRule="auto"/>
        <w:contextualSpacing/>
        <w:rPr>
          <w:rFonts w:eastAsia="Verdana" w:cs="Verdana"/>
        </w:rPr>
      </w:pPr>
    </w:p>
    <w:p w:rsidRPr="00C317C5" w:rsidR="00B34B1F" w:rsidP="00B34B1F" w:rsidRDefault="00B34B1F" w14:paraId="31F3D45A" w14:textId="77777777">
      <w:pPr>
        <w:spacing w:line="276" w:lineRule="auto"/>
        <w:contextualSpacing/>
        <w:rPr>
          <w:rFonts w:eastAsia="Calibri" w:cs="Calibri"/>
          <w:b/>
          <w:bCs/>
        </w:rPr>
      </w:pPr>
      <w:r>
        <w:lastRenderedPageBreak/>
        <w:t>De GER zal geen oordeel bevatten over de vraag of de voorgenomen maatregelen voldoende of onvoldoende zijn om de gezondheid van werknemers en omwonenden te borgen; het is een instrument om de gezondheidseffecten in kaart te brengen.</w:t>
      </w:r>
      <w:r w:rsidRPr="009636D8">
        <w:rPr>
          <w:rFonts w:eastAsia="Verdana" w:cs="Verdana"/>
        </w:rPr>
        <w:t xml:space="preserve"> </w:t>
      </w:r>
      <w:r w:rsidRPr="002A6AB7">
        <w:rPr>
          <w:rFonts w:eastAsia="Verdana" w:cs="Verdana"/>
        </w:rPr>
        <w:t xml:space="preserve">De GER kan, ook na het sluiten van de maatwerkafspraak, helpen om inzichtelijk te krijgen of de doelen gehaald worden. Hier wordt </w:t>
      </w:r>
      <w:r>
        <w:rPr>
          <w:rFonts w:eastAsia="Verdana" w:cs="Verdana"/>
        </w:rPr>
        <w:t>hieronder op</w:t>
      </w:r>
      <w:r w:rsidRPr="002A6AB7">
        <w:rPr>
          <w:rFonts w:eastAsia="Verdana" w:cs="Verdana"/>
        </w:rPr>
        <w:t xml:space="preserve"> ingegaan onder het kopje: “</w:t>
      </w:r>
      <w:r w:rsidRPr="002A6AB7">
        <w:rPr>
          <w:rFonts w:eastAsia="Verdana" w:cs="Verdana"/>
          <w:i/>
          <w:szCs w:val="18"/>
        </w:rPr>
        <w:t xml:space="preserve">Reactie </w:t>
      </w:r>
      <w:r w:rsidRPr="002A6AB7">
        <w:rPr>
          <w:rFonts w:eastAsia="Verdana" w:cs="Verdana"/>
          <w:i/>
          <w:iCs/>
          <w:szCs w:val="18"/>
        </w:rPr>
        <w:t>op position paper</w:t>
      </w:r>
      <w:r w:rsidRPr="002A6AB7">
        <w:rPr>
          <w:rFonts w:eastAsia="Verdana" w:cs="Verdana"/>
          <w:szCs w:val="18"/>
        </w:rPr>
        <w:t xml:space="preserve"> </w:t>
      </w:r>
      <w:r w:rsidRPr="002A6AB7">
        <w:rPr>
          <w:rFonts w:eastAsia="Verdana" w:cs="Verdana"/>
          <w:i/>
          <w:szCs w:val="18"/>
        </w:rPr>
        <w:t xml:space="preserve">Expertgroep </w:t>
      </w:r>
      <w:r w:rsidRPr="002A6AB7">
        <w:rPr>
          <w:rFonts w:eastAsia="Verdana" w:cs="Verdana"/>
          <w:i/>
          <w:iCs/>
          <w:szCs w:val="18"/>
        </w:rPr>
        <w:t xml:space="preserve">Gezondheid </w:t>
      </w:r>
      <w:r w:rsidRPr="002A6AB7">
        <w:rPr>
          <w:rFonts w:eastAsia="Verdana" w:cs="Verdana"/>
          <w:i/>
          <w:szCs w:val="18"/>
        </w:rPr>
        <w:t xml:space="preserve">IJmond” </w:t>
      </w:r>
      <w:r w:rsidRPr="002A6AB7">
        <w:rPr>
          <w:rFonts w:eastAsia="Verdana" w:cs="Verdana"/>
          <w:iCs/>
          <w:szCs w:val="18"/>
        </w:rPr>
        <w:t xml:space="preserve">onder “1. </w:t>
      </w:r>
      <w:r w:rsidRPr="002A6AB7">
        <w:rPr>
          <w:rFonts w:eastAsia="Verdana" w:cs="Verdana"/>
          <w:szCs w:val="18"/>
          <w:u w:val="single"/>
        </w:rPr>
        <w:t>De GER als structureel sturingselement</w:t>
      </w:r>
      <w:r w:rsidRPr="002A6AB7">
        <w:rPr>
          <w:rFonts w:eastAsia="Verdana" w:cs="Verdana"/>
          <w:szCs w:val="18"/>
        </w:rPr>
        <w:t>”.</w:t>
      </w:r>
    </w:p>
    <w:p w:rsidRPr="002A6AB7" w:rsidR="00B34B1F" w:rsidP="00B34B1F" w:rsidRDefault="00B34B1F" w14:paraId="7226537D" w14:textId="77777777">
      <w:pPr>
        <w:spacing w:line="276" w:lineRule="auto"/>
        <w:contextualSpacing/>
      </w:pPr>
    </w:p>
    <w:p w:rsidR="00B34B1F" w:rsidP="00B34B1F" w:rsidRDefault="00B34B1F" w14:paraId="435DD799" w14:textId="77777777">
      <w:pPr>
        <w:spacing w:line="276" w:lineRule="auto"/>
        <w:contextualSpacing/>
        <w:rPr>
          <w:rFonts w:eastAsia="Verdana" w:cs="Verdana"/>
          <w:b/>
          <w:bCs/>
          <w:szCs w:val="18"/>
        </w:rPr>
      </w:pPr>
      <w:r w:rsidRPr="0A2FC3F2">
        <w:rPr>
          <w:rFonts w:eastAsia="Verdana" w:cs="Verdana"/>
          <w:b/>
          <w:szCs w:val="18"/>
        </w:rPr>
        <w:t xml:space="preserve">Reactie op </w:t>
      </w:r>
      <w:r w:rsidRPr="0A2FC3F2">
        <w:rPr>
          <w:rFonts w:eastAsia="Verdana" w:cs="Verdana"/>
          <w:b/>
          <w:i/>
          <w:szCs w:val="18"/>
        </w:rPr>
        <w:t>position papers</w:t>
      </w:r>
      <w:r w:rsidRPr="0A2FC3F2">
        <w:rPr>
          <w:rFonts w:eastAsia="Verdana" w:cs="Verdana"/>
          <w:b/>
          <w:szCs w:val="18"/>
        </w:rPr>
        <w:t xml:space="preserve"> Commissie </w:t>
      </w:r>
      <w:r w:rsidRPr="0A2FC3F2">
        <w:rPr>
          <w:rFonts w:eastAsia="Verdana" w:cs="Verdana"/>
          <w:b/>
          <w:bCs/>
          <w:szCs w:val="18"/>
        </w:rPr>
        <w:t>mer</w:t>
      </w:r>
      <w:r w:rsidRPr="0A2FC3F2">
        <w:rPr>
          <w:rFonts w:eastAsia="Verdana" w:cs="Verdana"/>
          <w:b/>
          <w:szCs w:val="18"/>
        </w:rPr>
        <w:t xml:space="preserve"> en Expertgroep Gezondheid</w:t>
      </w:r>
      <w:r w:rsidRPr="5C599A75">
        <w:rPr>
          <w:rFonts w:eastAsia="Verdana" w:cs="Verdana"/>
          <w:b/>
          <w:szCs w:val="18"/>
        </w:rPr>
        <w:t xml:space="preserve"> </w:t>
      </w:r>
      <w:r w:rsidRPr="0A2FC3F2">
        <w:rPr>
          <w:rFonts w:eastAsia="Verdana" w:cs="Verdana"/>
          <w:b/>
          <w:bCs/>
          <w:szCs w:val="18"/>
        </w:rPr>
        <w:t>IJmond</w:t>
      </w:r>
    </w:p>
    <w:p w:rsidRPr="00007E28" w:rsidR="00B34B1F" w:rsidP="00B34B1F" w:rsidRDefault="00B34B1F" w14:paraId="0224E5B9" w14:textId="77777777">
      <w:pPr>
        <w:spacing w:line="276" w:lineRule="auto"/>
        <w:contextualSpacing/>
        <w:rPr>
          <w:rFonts w:eastAsia="Verdana" w:cs="Verdana"/>
          <w:b/>
          <w:szCs w:val="18"/>
        </w:rPr>
      </w:pPr>
      <w:r w:rsidRPr="5000E405">
        <w:rPr>
          <w:rFonts w:eastAsia="Calibri" w:cs="Calibri"/>
          <w:szCs w:val="18"/>
        </w:rPr>
        <w:t xml:space="preserve">Op 19 maart </w:t>
      </w:r>
      <w:r w:rsidRPr="5C599A75">
        <w:rPr>
          <w:rFonts w:eastAsia="Calibri" w:cs="Calibri"/>
          <w:szCs w:val="18"/>
        </w:rPr>
        <w:t xml:space="preserve">jl. </w:t>
      </w:r>
      <w:r w:rsidRPr="4D07BF5A">
        <w:rPr>
          <w:rFonts w:eastAsia="Calibri" w:cs="Calibri"/>
          <w:szCs w:val="18"/>
        </w:rPr>
        <w:t xml:space="preserve">vond </w:t>
      </w:r>
      <w:r w:rsidRPr="644DA5F8">
        <w:rPr>
          <w:rFonts w:eastAsia="Calibri" w:cs="Calibri"/>
          <w:szCs w:val="18"/>
        </w:rPr>
        <w:t xml:space="preserve">in de </w:t>
      </w:r>
      <w:r w:rsidRPr="1F7370DC">
        <w:rPr>
          <w:rFonts w:eastAsia="Calibri" w:cs="Calibri"/>
          <w:szCs w:val="18"/>
        </w:rPr>
        <w:t>Tweede Kamer een</w:t>
      </w:r>
      <w:r w:rsidRPr="4A359657">
        <w:rPr>
          <w:rFonts w:eastAsia="Calibri" w:cs="Calibri"/>
          <w:szCs w:val="18"/>
        </w:rPr>
        <w:t xml:space="preserve"> gesprek plaats met de </w:t>
      </w:r>
      <w:r w:rsidRPr="7C2CC3C7">
        <w:rPr>
          <w:rFonts w:eastAsia="Calibri" w:cs="Calibri"/>
          <w:szCs w:val="18"/>
        </w:rPr>
        <w:t xml:space="preserve">Commissie </w:t>
      </w:r>
      <w:r w:rsidRPr="5C599A75">
        <w:rPr>
          <w:rFonts w:eastAsia="Calibri" w:cs="Calibri"/>
          <w:szCs w:val="18"/>
        </w:rPr>
        <w:t>mer</w:t>
      </w:r>
      <w:r w:rsidRPr="2A86893E">
        <w:rPr>
          <w:rFonts w:eastAsia="Calibri" w:cs="Calibri"/>
          <w:szCs w:val="18"/>
        </w:rPr>
        <w:t xml:space="preserve"> en de </w:t>
      </w:r>
      <w:r w:rsidRPr="5C599A75">
        <w:rPr>
          <w:rFonts w:eastAsia="Calibri" w:cs="Calibri"/>
          <w:szCs w:val="18"/>
        </w:rPr>
        <w:t>Expertgroep</w:t>
      </w:r>
      <w:r w:rsidRPr="2A86893E">
        <w:rPr>
          <w:rFonts w:eastAsia="Calibri" w:cs="Calibri"/>
          <w:szCs w:val="18"/>
        </w:rPr>
        <w:t xml:space="preserve"> </w:t>
      </w:r>
      <w:r w:rsidRPr="41D15437">
        <w:rPr>
          <w:rFonts w:eastAsia="Calibri" w:cs="Calibri"/>
          <w:szCs w:val="18"/>
        </w:rPr>
        <w:t xml:space="preserve">Gezondheid </w:t>
      </w:r>
      <w:r w:rsidRPr="5C599A75">
        <w:rPr>
          <w:rFonts w:eastAsia="Calibri" w:cs="Calibri"/>
          <w:szCs w:val="18"/>
        </w:rPr>
        <w:t>IJmond over de gezondheidseffecten van de</w:t>
      </w:r>
      <w:r w:rsidRPr="18693D80">
        <w:rPr>
          <w:rFonts w:eastAsia="Calibri" w:cs="Calibri"/>
          <w:szCs w:val="18"/>
        </w:rPr>
        <w:t xml:space="preserve"> </w:t>
      </w:r>
      <w:r w:rsidRPr="5C599A75">
        <w:rPr>
          <w:rFonts w:eastAsia="Calibri" w:cs="Calibri"/>
          <w:szCs w:val="18"/>
        </w:rPr>
        <w:t>JLoI</w:t>
      </w:r>
      <w:r w:rsidRPr="6BE13446">
        <w:rPr>
          <w:rFonts w:eastAsia="Calibri" w:cs="Calibri"/>
          <w:szCs w:val="18"/>
        </w:rPr>
        <w:t xml:space="preserve">. </w:t>
      </w:r>
      <w:r w:rsidRPr="5C599A75">
        <w:rPr>
          <w:rFonts w:eastAsia="Calibri" w:cs="Calibri"/>
          <w:szCs w:val="18"/>
        </w:rPr>
        <w:t xml:space="preserve">Ten behoeve van </w:t>
      </w:r>
      <w:r w:rsidRPr="0452FC4F">
        <w:rPr>
          <w:rFonts w:eastAsia="Calibri" w:cs="Calibri"/>
          <w:szCs w:val="18"/>
        </w:rPr>
        <w:t xml:space="preserve">dit gesprek hebben deze organisaties </w:t>
      </w:r>
      <w:r w:rsidRPr="2CB3E06B">
        <w:rPr>
          <w:rFonts w:eastAsia="Calibri" w:cs="Calibri"/>
          <w:i/>
          <w:iCs/>
          <w:szCs w:val="18"/>
        </w:rPr>
        <w:t>position papers</w:t>
      </w:r>
      <w:r w:rsidRPr="0452FC4F">
        <w:rPr>
          <w:rFonts w:eastAsia="Calibri" w:cs="Calibri"/>
          <w:szCs w:val="18"/>
        </w:rPr>
        <w:t xml:space="preserve"> </w:t>
      </w:r>
      <w:r w:rsidRPr="5C599A75">
        <w:rPr>
          <w:rFonts w:eastAsia="Calibri" w:cs="Calibri"/>
          <w:szCs w:val="18"/>
        </w:rPr>
        <w:t xml:space="preserve">met de Kamer </w:t>
      </w:r>
      <w:r w:rsidRPr="0452FC4F">
        <w:rPr>
          <w:rFonts w:eastAsia="Calibri" w:cs="Calibri"/>
          <w:szCs w:val="18"/>
        </w:rPr>
        <w:t xml:space="preserve">gedeeld. </w:t>
      </w:r>
      <w:r w:rsidRPr="5C599A75">
        <w:rPr>
          <w:rFonts w:eastAsia="Calibri" w:cs="Calibri"/>
          <w:szCs w:val="18"/>
        </w:rPr>
        <w:t xml:space="preserve">De vaste commissie voor Infrastructuur en Waterstaat heeft de staatssecretaris van Infrastructuur en Waterstaat op 26 maart jl. om </w:t>
      </w:r>
      <w:r w:rsidRPr="4354B653">
        <w:rPr>
          <w:rFonts w:eastAsia="Calibri" w:cs="Calibri"/>
          <w:szCs w:val="18"/>
        </w:rPr>
        <w:t xml:space="preserve">een reactie </w:t>
      </w:r>
      <w:r w:rsidRPr="47555003">
        <w:rPr>
          <w:rFonts w:eastAsia="Calibri" w:cs="Calibri"/>
          <w:szCs w:val="18"/>
        </w:rPr>
        <w:t xml:space="preserve">op deze </w:t>
      </w:r>
      <w:r w:rsidRPr="2CB3E06B">
        <w:rPr>
          <w:rFonts w:eastAsia="Calibri" w:cs="Calibri"/>
          <w:i/>
          <w:iCs/>
          <w:szCs w:val="18"/>
        </w:rPr>
        <w:t>position papers</w:t>
      </w:r>
      <w:r w:rsidRPr="47555003">
        <w:rPr>
          <w:rFonts w:eastAsia="Calibri" w:cs="Calibri"/>
          <w:szCs w:val="18"/>
        </w:rPr>
        <w:t xml:space="preserve"> verzocht</w:t>
      </w:r>
      <w:r w:rsidRPr="5C599A75">
        <w:rPr>
          <w:rStyle w:val="Voetnootmarkering"/>
          <w:rFonts w:eastAsia="Calibri" w:cs="Calibri"/>
          <w:szCs w:val="18"/>
        </w:rPr>
        <w:footnoteReference w:id="8"/>
      </w:r>
      <w:r w:rsidRPr="5C599A75">
        <w:rPr>
          <w:rFonts w:eastAsia="Calibri" w:cs="Calibri"/>
          <w:szCs w:val="18"/>
        </w:rPr>
        <w:t>. Deze reactie is hieronder opgenomen.</w:t>
      </w:r>
    </w:p>
    <w:p w:rsidR="00B34B1F" w:rsidP="00B34B1F" w:rsidRDefault="00B34B1F" w14:paraId="5C8D9537" w14:textId="77777777">
      <w:pPr>
        <w:spacing w:line="276" w:lineRule="auto"/>
        <w:contextualSpacing/>
        <w:rPr>
          <w:rFonts w:eastAsia="Calibri" w:cs="Calibri"/>
          <w:szCs w:val="18"/>
        </w:rPr>
      </w:pPr>
    </w:p>
    <w:p w:rsidR="00B34B1F" w:rsidP="00B34B1F" w:rsidRDefault="00B34B1F" w14:paraId="3EA242DD" w14:textId="77777777">
      <w:pPr>
        <w:spacing w:line="276" w:lineRule="auto"/>
        <w:contextualSpacing/>
        <w:rPr>
          <w:rFonts w:eastAsia="Calibri" w:cs="Calibri"/>
          <w:szCs w:val="18"/>
        </w:rPr>
      </w:pPr>
      <w:r w:rsidRPr="0A2FC3F2">
        <w:rPr>
          <w:rFonts w:eastAsia="Calibri" w:cs="Calibri"/>
          <w:i/>
          <w:iCs/>
          <w:szCs w:val="18"/>
        </w:rPr>
        <w:t xml:space="preserve">Reactie op </w:t>
      </w:r>
      <w:r w:rsidRPr="00F078B2">
        <w:rPr>
          <w:rFonts w:eastAsia="Calibri" w:cs="Calibri"/>
          <w:i/>
          <w:iCs/>
          <w:szCs w:val="18"/>
        </w:rPr>
        <w:t>position paper</w:t>
      </w:r>
      <w:r w:rsidRPr="0A2FC3F2">
        <w:rPr>
          <w:rFonts w:eastAsia="Calibri" w:cs="Calibri"/>
          <w:szCs w:val="18"/>
        </w:rPr>
        <w:t xml:space="preserve"> </w:t>
      </w:r>
      <w:r w:rsidRPr="0A2FC3F2">
        <w:rPr>
          <w:rFonts w:eastAsia="Calibri" w:cs="Calibri"/>
          <w:i/>
          <w:iCs/>
          <w:szCs w:val="18"/>
        </w:rPr>
        <w:t>Commissie mer</w:t>
      </w:r>
    </w:p>
    <w:p w:rsidR="00B34B1F" w:rsidP="00B34B1F" w:rsidRDefault="00B34B1F" w14:paraId="71EBE7A2" w14:textId="77777777">
      <w:pPr>
        <w:spacing w:line="276" w:lineRule="auto"/>
        <w:contextualSpacing/>
        <w:rPr>
          <w:rFonts w:eastAsia="Verdana" w:cs="Verdana"/>
          <w:szCs w:val="18"/>
        </w:rPr>
      </w:pPr>
      <w:r w:rsidRPr="0923DCD0">
        <w:rPr>
          <w:rFonts w:eastAsia="Verdana" w:cs="Verdana"/>
        </w:rPr>
        <w:t xml:space="preserve">De Kamer heeft verzocht om </w:t>
      </w:r>
      <w:r w:rsidRPr="0923DCD0">
        <w:rPr>
          <w:rFonts w:eastAsia="Calibri" w:cs="Calibri"/>
        </w:rPr>
        <w:t>de – voor de overstap naar een groene staalproductie relevante – vergunningstrajecten en procedures waar mogelijk te versnellen en centraal te coördineren</w:t>
      </w:r>
      <w:r w:rsidRPr="0923DCD0">
        <w:rPr>
          <w:rStyle w:val="Voetnootmarkering"/>
          <w:rFonts w:eastAsia="Calibri" w:cs="Calibri"/>
        </w:rPr>
        <w:footnoteReference w:id="9"/>
      </w:r>
      <w:r w:rsidRPr="0923DCD0">
        <w:rPr>
          <w:rFonts w:eastAsia="Calibri" w:cs="Calibri"/>
        </w:rPr>
        <w:t>. Zoals bekend, is het coördinerend bevoegd gezag voor dit traject de provincie Noord-Holland. De provincie Noord-Holland heeft reeds vergaande stappen gezet om het vergunningentraject zo snel mogelijk te doorlopen, met inachtneming van de geldende wet- en regelgeving en de vereiste zorgvuldigheid. In dat kader is door de provincie onder andere besloten een projectbesluitprocedure te doorlopen</w:t>
      </w:r>
      <w:r w:rsidRPr="0923DCD0">
        <w:rPr>
          <w:rStyle w:val="Voetnootmarkering"/>
          <w:rFonts w:eastAsia="Calibri" w:cs="Calibri"/>
        </w:rPr>
        <w:footnoteReference w:id="10"/>
      </w:r>
      <w:r w:rsidRPr="0923DCD0">
        <w:rPr>
          <w:rFonts w:eastAsia="Calibri" w:cs="Calibri"/>
        </w:rPr>
        <w:t xml:space="preserve">. Daarmee worden de procedures centraal gecoördineerd en is sprake van beroep in één instantie, wat de doorlooptijden tot een onherroepelijk besluit aanzienlijk verkort. </w:t>
      </w:r>
      <w:r w:rsidRPr="0923DCD0">
        <w:rPr>
          <w:rFonts w:eastAsia="Verdana" w:cs="Verdana"/>
        </w:rPr>
        <w:t>Het Rijk steunt de inzet van de provincie en draagt in dat kader vooralsnog ca. € 19 miljoen bij aan de provincie Noord-Holland voor de uitbreiding van de capaciteit bij de omgevingsdienst Noordzeekanaalgebied.</w:t>
      </w:r>
    </w:p>
    <w:p w:rsidR="00B34B1F" w:rsidP="00B34B1F" w:rsidRDefault="00B34B1F" w14:paraId="02221968" w14:textId="77777777">
      <w:pPr>
        <w:spacing w:line="276" w:lineRule="auto"/>
        <w:contextualSpacing/>
        <w:rPr>
          <w:rFonts w:eastAsia="Calibri" w:cs="Calibri"/>
          <w:szCs w:val="18"/>
        </w:rPr>
      </w:pPr>
    </w:p>
    <w:p w:rsidR="00B34B1F" w:rsidP="00B34B1F" w:rsidRDefault="00B34B1F" w14:paraId="71355F74" w14:textId="77777777">
      <w:pPr>
        <w:spacing w:line="276" w:lineRule="auto"/>
        <w:contextualSpacing/>
        <w:rPr>
          <w:rFonts w:eastAsia="Verdana" w:cs="Verdana"/>
        </w:rPr>
      </w:pPr>
      <w:r w:rsidRPr="06B83A1B">
        <w:rPr>
          <w:rFonts w:eastAsia="Verdana" w:cs="Verdana"/>
        </w:rPr>
        <w:t xml:space="preserve">Het </w:t>
      </w:r>
      <w:r w:rsidRPr="06B83A1B">
        <w:rPr>
          <w:rFonts w:eastAsia="Verdana" w:cs="Verdana"/>
          <w:i/>
        </w:rPr>
        <w:t xml:space="preserve">position paper </w:t>
      </w:r>
      <w:r w:rsidRPr="06B83A1B">
        <w:rPr>
          <w:rFonts w:eastAsia="Verdana" w:cs="Verdana"/>
        </w:rPr>
        <w:t>van de Commissie mer schetst de rol van de Commissie mer en de hoofdlijnen van het tussentijdse advies over het tussentijdse MER</w:t>
      </w:r>
      <w:r w:rsidRPr="56D7DB9E">
        <w:rPr>
          <w:rFonts w:eastAsia="Verdana" w:cs="Verdana"/>
        </w:rPr>
        <w:t xml:space="preserve">, in lijn met het wettelijk </w:t>
      </w:r>
      <w:r w:rsidRPr="66C19534">
        <w:rPr>
          <w:rFonts w:eastAsia="Verdana" w:cs="Verdana"/>
        </w:rPr>
        <w:t>kader (de Omgevingswet).</w:t>
      </w:r>
      <w:r w:rsidRPr="06B83A1B">
        <w:rPr>
          <w:rFonts w:eastAsia="Verdana" w:cs="Verdana"/>
        </w:rPr>
        <w:t xml:space="preserve"> </w:t>
      </w:r>
      <w:r w:rsidRPr="4DE3D745">
        <w:rPr>
          <w:rFonts w:eastAsia="Verdana" w:cs="Verdana"/>
        </w:rPr>
        <w:t>De Commissie mer vervult haar adviserende taak op verzoek van het bevoegd gezag.</w:t>
      </w:r>
      <w:r>
        <w:rPr>
          <w:rFonts w:eastAsia="Verdana" w:cs="Verdana"/>
        </w:rPr>
        <w:t xml:space="preserve"> </w:t>
      </w:r>
      <w:r w:rsidRPr="21DD7280">
        <w:rPr>
          <w:rFonts w:eastAsia="Verdana" w:cs="Verdana"/>
        </w:rPr>
        <w:t xml:space="preserve">Het kabinet </w:t>
      </w:r>
      <w:r w:rsidRPr="5099EA87">
        <w:rPr>
          <w:rFonts w:eastAsia="Verdana" w:cs="Verdana"/>
        </w:rPr>
        <w:t xml:space="preserve">stelt vast dat </w:t>
      </w:r>
      <w:r w:rsidRPr="2B34E446">
        <w:rPr>
          <w:rFonts w:eastAsia="Verdana" w:cs="Verdana"/>
        </w:rPr>
        <w:t xml:space="preserve">het </w:t>
      </w:r>
      <w:r w:rsidRPr="2B34E446">
        <w:rPr>
          <w:rFonts w:eastAsia="Verdana" w:cs="Verdana"/>
          <w:i/>
          <w:iCs/>
        </w:rPr>
        <w:t>position paper</w:t>
      </w:r>
      <w:r w:rsidRPr="2B34E446">
        <w:rPr>
          <w:rFonts w:eastAsia="Verdana" w:cs="Verdana"/>
        </w:rPr>
        <w:t xml:space="preserve"> </w:t>
      </w:r>
      <w:r w:rsidRPr="5037B349">
        <w:rPr>
          <w:rFonts w:eastAsia="Verdana" w:cs="Verdana"/>
        </w:rPr>
        <w:t xml:space="preserve">een beschrijving </w:t>
      </w:r>
      <w:r w:rsidRPr="6A53B7A2">
        <w:rPr>
          <w:rFonts w:eastAsia="Verdana" w:cs="Verdana"/>
        </w:rPr>
        <w:t>bevat</w:t>
      </w:r>
      <w:r w:rsidRPr="5037B349">
        <w:rPr>
          <w:rFonts w:eastAsia="Verdana" w:cs="Verdana"/>
        </w:rPr>
        <w:t xml:space="preserve"> van de feitelijk geldende </w:t>
      </w:r>
      <w:r w:rsidRPr="4CD60D02">
        <w:rPr>
          <w:rFonts w:eastAsia="Verdana" w:cs="Verdana"/>
        </w:rPr>
        <w:t>situatie</w:t>
      </w:r>
      <w:r w:rsidRPr="73ED9B5A">
        <w:rPr>
          <w:rFonts w:eastAsia="Verdana" w:cs="Verdana"/>
        </w:rPr>
        <w:t xml:space="preserve">. </w:t>
      </w:r>
      <w:r w:rsidRPr="6D22B098">
        <w:rPr>
          <w:rFonts w:eastAsia="Verdana" w:cs="Verdana"/>
        </w:rPr>
        <w:t>Daarmee behoeft dit geen aanvullende reactie.</w:t>
      </w:r>
    </w:p>
    <w:p w:rsidR="00B34B1F" w:rsidP="00B34B1F" w:rsidRDefault="00B34B1F" w14:paraId="279BD995" w14:textId="77777777">
      <w:pPr>
        <w:spacing w:line="276" w:lineRule="auto"/>
        <w:contextualSpacing/>
        <w:rPr>
          <w:rFonts w:eastAsia="Verdana" w:cs="Verdana"/>
          <w:szCs w:val="18"/>
        </w:rPr>
      </w:pPr>
    </w:p>
    <w:p w:rsidR="00B34B1F" w:rsidP="00B34B1F" w:rsidRDefault="00B34B1F" w14:paraId="3E7BFE4D" w14:textId="77777777">
      <w:pPr>
        <w:spacing w:line="276" w:lineRule="auto"/>
        <w:contextualSpacing/>
        <w:rPr>
          <w:rFonts w:eastAsia="Verdana" w:cs="Verdana"/>
          <w:i/>
          <w:szCs w:val="18"/>
        </w:rPr>
      </w:pPr>
      <w:r w:rsidRPr="633F4FAF">
        <w:rPr>
          <w:rFonts w:eastAsia="Verdana" w:cs="Verdana"/>
          <w:i/>
          <w:szCs w:val="18"/>
        </w:rPr>
        <w:t xml:space="preserve">Reactie </w:t>
      </w:r>
      <w:r w:rsidRPr="5C599A75">
        <w:rPr>
          <w:rFonts w:eastAsia="Verdana" w:cs="Verdana"/>
          <w:i/>
          <w:iCs/>
          <w:szCs w:val="18"/>
        </w:rPr>
        <w:t xml:space="preserve">op </w:t>
      </w:r>
      <w:r w:rsidRPr="00F078B2">
        <w:rPr>
          <w:rFonts w:eastAsia="Verdana" w:cs="Verdana"/>
          <w:i/>
          <w:iCs/>
          <w:szCs w:val="18"/>
        </w:rPr>
        <w:t>position paper</w:t>
      </w:r>
      <w:r w:rsidRPr="5C599A75">
        <w:rPr>
          <w:rFonts w:eastAsia="Verdana" w:cs="Verdana"/>
          <w:szCs w:val="18"/>
        </w:rPr>
        <w:t xml:space="preserve"> </w:t>
      </w:r>
      <w:r w:rsidRPr="5C599A75">
        <w:rPr>
          <w:rFonts w:eastAsia="Verdana" w:cs="Verdana"/>
          <w:i/>
          <w:szCs w:val="18"/>
        </w:rPr>
        <w:t xml:space="preserve">Expertgroep </w:t>
      </w:r>
      <w:r w:rsidRPr="0FECD211">
        <w:rPr>
          <w:rFonts w:eastAsia="Verdana" w:cs="Verdana"/>
          <w:i/>
          <w:iCs/>
          <w:szCs w:val="18"/>
        </w:rPr>
        <w:t xml:space="preserve">Gezondheid </w:t>
      </w:r>
      <w:r w:rsidRPr="633F4FAF">
        <w:rPr>
          <w:rFonts w:eastAsia="Verdana" w:cs="Verdana"/>
          <w:i/>
          <w:szCs w:val="18"/>
        </w:rPr>
        <w:t>IJmond</w:t>
      </w:r>
    </w:p>
    <w:p w:rsidR="00B34B1F" w:rsidP="00B34B1F" w:rsidRDefault="00B34B1F" w14:paraId="35D7ACCF" w14:textId="77777777">
      <w:pPr>
        <w:spacing w:line="276" w:lineRule="auto"/>
        <w:contextualSpacing/>
        <w:rPr>
          <w:rFonts w:eastAsia="Verdana" w:cs="Verdana"/>
          <w:szCs w:val="18"/>
        </w:rPr>
      </w:pPr>
      <w:r w:rsidRPr="4CE02421">
        <w:rPr>
          <w:rFonts w:eastAsia="Verdana" w:cs="Verdana"/>
          <w:szCs w:val="18"/>
        </w:rPr>
        <w:t xml:space="preserve">Het </w:t>
      </w:r>
      <w:r w:rsidRPr="2CB3E06B">
        <w:rPr>
          <w:rFonts w:eastAsia="Verdana" w:cs="Verdana"/>
          <w:i/>
          <w:iCs/>
          <w:szCs w:val="18"/>
        </w:rPr>
        <w:t xml:space="preserve">position paper </w:t>
      </w:r>
      <w:r w:rsidRPr="4CE02421">
        <w:rPr>
          <w:rFonts w:eastAsia="Verdana" w:cs="Verdana"/>
          <w:szCs w:val="18"/>
        </w:rPr>
        <w:t>van de Expertgroep Gezondheid IJmond gaat in op de zaken die</w:t>
      </w:r>
      <w:r w:rsidRPr="2CB3E06B">
        <w:rPr>
          <w:rFonts w:eastAsia="Verdana" w:cs="Verdana"/>
          <w:szCs w:val="18"/>
        </w:rPr>
        <w:t xml:space="preserve"> op advies van de Expertgroep</w:t>
      </w:r>
      <w:r>
        <w:rPr>
          <w:rFonts w:eastAsia="Verdana" w:cs="Verdana"/>
          <w:szCs w:val="18"/>
        </w:rPr>
        <w:t xml:space="preserve"> </w:t>
      </w:r>
      <w:r w:rsidRPr="4CE02421">
        <w:rPr>
          <w:rFonts w:eastAsia="Verdana" w:cs="Verdana"/>
          <w:szCs w:val="18"/>
        </w:rPr>
        <w:t>Gezondheid IJmond</w:t>
      </w:r>
      <w:r>
        <w:rPr>
          <w:rFonts w:eastAsia="Verdana" w:cs="Verdana"/>
          <w:szCs w:val="18"/>
        </w:rPr>
        <w:t xml:space="preserve"> in de finale JLoI</w:t>
      </w:r>
      <w:r w:rsidRPr="2CB3E06B">
        <w:rPr>
          <w:rFonts w:eastAsia="Verdana" w:cs="Verdana"/>
          <w:szCs w:val="18"/>
        </w:rPr>
        <w:t xml:space="preserve"> zijn aangescherpt ten opzichte van de concept-JLoI</w:t>
      </w:r>
      <w:r w:rsidRPr="4CE02421">
        <w:rPr>
          <w:rFonts w:eastAsia="Verdana" w:cs="Verdana"/>
          <w:szCs w:val="18"/>
        </w:rPr>
        <w:t xml:space="preserve">, zoals ook aan de Kamer gemeld </w:t>
      </w:r>
      <w:r w:rsidRPr="4CE02421">
        <w:rPr>
          <w:rFonts w:eastAsia="Verdana" w:cs="Verdana"/>
          <w:szCs w:val="18"/>
        </w:rPr>
        <w:lastRenderedPageBreak/>
        <w:t>bij de ondertekening van de JLoI</w:t>
      </w:r>
      <w:r w:rsidRPr="5C599A75">
        <w:rPr>
          <w:rStyle w:val="Voetnootmarkering"/>
          <w:rFonts w:eastAsia="Verdana" w:cs="Verdana"/>
          <w:szCs w:val="18"/>
        </w:rPr>
        <w:footnoteReference w:id="11"/>
      </w:r>
      <w:r w:rsidRPr="4CE02421">
        <w:rPr>
          <w:rFonts w:eastAsia="Verdana" w:cs="Verdana"/>
          <w:szCs w:val="18"/>
        </w:rPr>
        <w:t>. Het gaat dan om het verankeren van de GER in de JLoI; het opnemen van een inspanningsverplichting om emissies van ultrafijnstof te reduceren; het vastleggen van beoogde emissieplafonds voor een aantal vluchtige organische stoffen en zeer zorgwekkende stoffen; en het aanscherpen van de beoogde emissiereductiedoelstelling voor fijnstof. Het kabinet dankt de Expertgroep Gezondheid IJmond (net als de AMVI) nogmaals voor hun waardevolle advies over de concept-JLoI en benadrukt dat deze adviezen hun beslag hebben gekregen in de definitieve JLoI, die weer het kader vormt voor de beoogde maatwerkafspraak.</w:t>
      </w:r>
    </w:p>
    <w:p w:rsidR="00B34B1F" w:rsidP="00B34B1F" w:rsidRDefault="00B34B1F" w14:paraId="2E0D5D10" w14:textId="77777777">
      <w:pPr>
        <w:spacing w:line="276" w:lineRule="auto"/>
        <w:contextualSpacing/>
        <w:rPr>
          <w:rFonts w:eastAsia="Verdana" w:cs="Verdana"/>
          <w:szCs w:val="18"/>
        </w:rPr>
      </w:pPr>
    </w:p>
    <w:p w:rsidR="00B34B1F" w:rsidP="00B34B1F" w:rsidRDefault="00B34B1F" w14:paraId="51B7FCD0" w14:textId="77777777">
      <w:pPr>
        <w:spacing w:line="276" w:lineRule="auto"/>
        <w:contextualSpacing/>
        <w:rPr>
          <w:rFonts w:eastAsia="Verdana" w:cs="Verdana"/>
          <w:szCs w:val="18"/>
        </w:rPr>
      </w:pPr>
      <w:r w:rsidRPr="4CE02421">
        <w:rPr>
          <w:rFonts w:eastAsia="Verdana" w:cs="Verdana"/>
          <w:szCs w:val="18"/>
        </w:rPr>
        <w:t xml:space="preserve">Het </w:t>
      </w:r>
      <w:r w:rsidRPr="4CE02421">
        <w:rPr>
          <w:rFonts w:eastAsia="Verdana" w:cs="Verdana"/>
          <w:i/>
          <w:iCs/>
          <w:szCs w:val="18"/>
        </w:rPr>
        <w:t>position paper</w:t>
      </w:r>
      <w:r w:rsidRPr="4CE02421">
        <w:rPr>
          <w:rFonts w:eastAsia="Verdana" w:cs="Verdana"/>
          <w:szCs w:val="18"/>
        </w:rPr>
        <w:t xml:space="preserve"> gaat vervolgens in op het feit dat drie zaken nog nadere uitwerking behoeven in de definitieve maatwerkafspraak:</w:t>
      </w:r>
    </w:p>
    <w:p w:rsidR="00B34B1F" w:rsidP="00B34B1F" w:rsidRDefault="00B34B1F" w14:paraId="1A6A94C7" w14:textId="77777777">
      <w:pPr>
        <w:spacing w:line="276" w:lineRule="auto"/>
        <w:contextualSpacing/>
        <w:rPr>
          <w:rFonts w:eastAsia="Verdana" w:cs="Verdana"/>
          <w:szCs w:val="18"/>
        </w:rPr>
      </w:pPr>
    </w:p>
    <w:p w:rsidR="00B34B1F" w:rsidP="00B34B1F" w:rsidRDefault="00B34B1F" w14:paraId="05DA4846" w14:textId="77777777">
      <w:pPr>
        <w:pStyle w:val="Lijstalinea"/>
        <w:numPr>
          <w:ilvl w:val="0"/>
          <w:numId w:val="16"/>
        </w:numPr>
        <w:spacing w:after="0" w:line="276" w:lineRule="auto"/>
        <w:rPr>
          <w:rFonts w:ascii="Verdana" w:hAnsi="Verdana" w:eastAsia="Verdana" w:cs="Verdana"/>
          <w:sz w:val="18"/>
          <w:szCs w:val="18"/>
        </w:rPr>
      </w:pPr>
      <w:r w:rsidRPr="709040E8">
        <w:rPr>
          <w:rFonts w:ascii="Verdana" w:hAnsi="Verdana" w:eastAsia="Verdana" w:cs="Verdana"/>
          <w:sz w:val="18"/>
          <w:szCs w:val="18"/>
          <w:u w:val="single"/>
        </w:rPr>
        <w:t>De GER als structureel sturingselement:</w:t>
      </w:r>
      <w:r w:rsidRPr="709040E8">
        <w:rPr>
          <w:rFonts w:ascii="Verdana" w:hAnsi="Verdana" w:eastAsia="Verdana" w:cs="Verdana"/>
          <w:sz w:val="18"/>
          <w:szCs w:val="18"/>
        </w:rPr>
        <w:t xml:space="preserve"> het kabinet neemt deze suggestie mee bij de uitwerking van de beoogde maatwerkafspraak. Gegeven de omvang en complexiteit van de te steunen bovenwettelijke verbeteringen zijn gedegen afspraken over monitoring van de doelstellingen (zie ook punt 3 hieronder) essentieel. De suggestie om elke 2 jaar een voortgangsrapportage te maken en elke 5 jaar een volledige GER uit te voeren wordt meegewogen binnen het bredere potentiële instrumentarium.</w:t>
      </w:r>
    </w:p>
    <w:p w:rsidR="00B34B1F" w:rsidP="00B34B1F" w:rsidRDefault="00B34B1F" w14:paraId="22135ED4" w14:textId="77777777">
      <w:pPr>
        <w:pStyle w:val="Lijstalinea"/>
        <w:spacing w:after="0" w:line="276" w:lineRule="auto"/>
        <w:ind w:left="360"/>
        <w:rPr>
          <w:rFonts w:ascii="Verdana" w:hAnsi="Verdana" w:eastAsia="Verdana" w:cs="Verdana"/>
          <w:sz w:val="18"/>
          <w:szCs w:val="18"/>
        </w:rPr>
      </w:pPr>
    </w:p>
    <w:p w:rsidR="00B34B1F" w:rsidP="00B34B1F" w:rsidRDefault="00B34B1F" w14:paraId="5C29A3BC" w14:textId="77777777">
      <w:pPr>
        <w:pStyle w:val="Lijstalinea"/>
        <w:numPr>
          <w:ilvl w:val="0"/>
          <w:numId w:val="16"/>
        </w:numPr>
        <w:spacing w:after="0" w:line="276" w:lineRule="auto"/>
        <w:rPr>
          <w:rFonts w:ascii="Verdana" w:hAnsi="Verdana" w:eastAsia="Verdana" w:cs="Verdana"/>
          <w:sz w:val="18"/>
          <w:szCs w:val="18"/>
          <w:u w:val="single"/>
        </w:rPr>
      </w:pPr>
      <w:r w:rsidRPr="633F4FAF">
        <w:rPr>
          <w:rFonts w:ascii="Verdana" w:hAnsi="Verdana" w:eastAsia="Verdana" w:cs="Verdana"/>
          <w:sz w:val="18"/>
          <w:szCs w:val="18"/>
          <w:u w:val="single"/>
        </w:rPr>
        <w:t>Ambitieuzere doelen voor:</w:t>
      </w:r>
    </w:p>
    <w:p w:rsidR="00B34B1F" w:rsidP="00B34B1F" w:rsidRDefault="00B34B1F" w14:paraId="447B5064" w14:textId="3BEE81E9">
      <w:pPr>
        <w:pStyle w:val="Lijstalinea"/>
        <w:numPr>
          <w:ilvl w:val="1"/>
          <w:numId w:val="16"/>
        </w:numPr>
        <w:spacing w:after="0" w:line="276" w:lineRule="auto"/>
        <w:rPr>
          <w:rFonts w:ascii="Verdana" w:hAnsi="Verdana" w:eastAsia="Verdana" w:cs="Verdana"/>
          <w:sz w:val="18"/>
          <w:szCs w:val="18"/>
        </w:rPr>
      </w:pPr>
      <w:r w:rsidRPr="4CE02421">
        <w:rPr>
          <w:rFonts w:ascii="Verdana" w:hAnsi="Verdana" w:eastAsia="Verdana" w:cs="Verdana"/>
          <w:sz w:val="18"/>
          <w:szCs w:val="18"/>
          <w:u w:val="single"/>
        </w:rPr>
        <w:t>Fijnstof:</w:t>
      </w:r>
      <w:r w:rsidRPr="4CE02421">
        <w:rPr>
          <w:rFonts w:ascii="Verdana" w:hAnsi="Verdana" w:eastAsia="Verdana" w:cs="Verdana"/>
          <w:sz w:val="18"/>
          <w:szCs w:val="18"/>
        </w:rPr>
        <w:t xml:space="preserve"> zoals in het </w:t>
      </w:r>
      <w:r w:rsidRPr="2CB3E06B">
        <w:rPr>
          <w:rFonts w:ascii="Verdana" w:hAnsi="Verdana" w:eastAsia="Verdana" w:cs="Verdana"/>
          <w:i/>
          <w:iCs/>
          <w:sz w:val="18"/>
          <w:szCs w:val="18"/>
        </w:rPr>
        <w:t>position paper</w:t>
      </w:r>
      <w:r w:rsidRPr="4CE02421">
        <w:rPr>
          <w:rFonts w:ascii="Verdana" w:hAnsi="Verdana" w:eastAsia="Verdana" w:cs="Verdana"/>
          <w:sz w:val="18"/>
          <w:szCs w:val="18"/>
        </w:rPr>
        <w:t xml:space="preserve"> aangegeven heeft de Kamer de motie-Zalinyan/</w:t>
      </w:r>
      <w:r w:rsidRPr="4CE02421" w:rsidR="00056F6F">
        <w:rPr>
          <w:rFonts w:ascii="Verdana" w:hAnsi="Verdana" w:eastAsia="Verdana" w:cs="Verdana"/>
          <w:sz w:val="18"/>
          <w:szCs w:val="18"/>
        </w:rPr>
        <w:t>Kostić</w:t>
      </w:r>
      <w:r w:rsidRPr="4CE02421">
        <w:rPr>
          <w:rStyle w:val="Voetnootmarkering"/>
          <w:rFonts w:ascii="Verdana" w:hAnsi="Verdana" w:eastAsia="Verdana" w:cs="Verdana"/>
          <w:sz w:val="18"/>
          <w:szCs w:val="18"/>
        </w:rPr>
        <w:footnoteReference w:id="12"/>
      </w:r>
      <w:r w:rsidRPr="4CE02421">
        <w:rPr>
          <w:rFonts w:ascii="Verdana" w:hAnsi="Verdana" w:eastAsia="Verdana" w:cs="Verdana"/>
          <w:sz w:val="18"/>
          <w:szCs w:val="18"/>
        </w:rPr>
        <w:t xml:space="preserve"> aangenomen. Het kabinet deelt, zoals aangegeven in het tweeminutendebat Leefomgeving en Externe veiligheid van 18 december jl., de ambitie om ambitieuzere reductiedoelen vast te leggen in de maatwerkafspraak.</w:t>
      </w:r>
    </w:p>
    <w:p w:rsidR="00B34B1F" w:rsidP="00B34B1F" w:rsidRDefault="00B34B1F" w14:paraId="49C7F826" w14:textId="77777777">
      <w:pPr>
        <w:pStyle w:val="Lijstalinea"/>
        <w:numPr>
          <w:ilvl w:val="1"/>
          <w:numId w:val="16"/>
        </w:numPr>
        <w:spacing w:after="0" w:line="276" w:lineRule="auto"/>
        <w:rPr>
          <w:rFonts w:ascii="Verdana" w:hAnsi="Verdana" w:eastAsia="Verdana" w:cs="Verdana"/>
          <w:sz w:val="18"/>
          <w:szCs w:val="18"/>
        </w:rPr>
      </w:pPr>
      <w:r w:rsidRPr="709040E8">
        <w:rPr>
          <w:rFonts w:ascii="Verdana" w:hAnsi="Verdana" w:eastAsia="Verdana" w:cs="Verdana"/>
          <w:sz w:val="18"/>
          <w:szCs w:val="18"/>
          <w:u w:val="single"/>
        </w:rPr>
        <w:t>Ultrafijnstof:</w:t>
      </w:r>
      <w:r w:rsidRPr="709040E8">
        <w:rPr>
          <w:rFonts w:ascii="Verdana" w:hAnsi="Verdana" w:eastAsia="Verdana" w:cs="Verdana"/>
          <w:sz w:val="18"/>
          <w:szCs w:val="18"/>
        </w:rPr>
        <w:t xml:space="preserve"> de Expertgroep adviseert om ook voor deze emissies doelen vast te leggen en deze te monitoren. Het kabinet onderschrijft deze inzet en stelt tegelijkertijd vast dat het vastleggen van een dergelijke doelstelling – die daarmee ook een voorwaarde wordt voor subsidiebetalingen – </w:t>
      </w:r>
      <w:r w:rsidRPr="7FABD5F4">
        <w:rPr>
          <w:rFonts w:ascii="Verdana" w:hAnsi="Verdana" w:eastAsia="Verdana" w:cs="Verdana"/>
          <w:sz w:val="18"/>
          <w:szCs w:val="18"/>
        </w:rPr>
        <w:t xml:space="preserve">op dit moment </w:t>
      </w:r>
      <w:r w:rsidRPr="000A246A">
        <w:rPr>
          <w:rFonts w:ascii="Verdana" w:hAnsi="Verdana" w:eastAsia="Verdana" w:cs="Verdana"/>
          <w:sz w:val="18"/>
          <w:szCs w:val="18"/>
        </w:rPr>
        <w:t>onhaalbaar is omdat een doelstelling</w:t>
      </w:r>
      <w:r w:rsidRPr="7FABD5F4">
        <w:rPr>
          <w:rFonts w:ascii="Verdana" w:hAnsi="Verdana" w:eastAsia="Verdana" w:cs="Verdana"/>
          <w:sz w:val="18"/>
          <w:szCs w:val="18"/>
        </w:rPr>
        <w:t xml:space="preserve"> </w:t>
      </w:r>
      <w:r w:rsidRPr="709040E8">
        <w:rPr>
          <w:rFonts w:ascii="Verdana" w:hAnsi="Verdana" w:eastAsia="Verdana" w:cs="Verdana"/>
          <w:sz w:val="18"/>
          <w:szCs w:val="18"/>
        </w:rPr>
        <w:t xml:space="preserve">alleen zin heeft als deze gemonitord </w:t>
      </w:r>
      <w:r w:rsidRPr="709040E8">
        <w:rPr>
          <w:rFonts w:ascii="Verdana" w:hAnsi="Verdana" w:eastAsia="Verdana" w:cs="Verdana"/>
          <w:i/>
          <w:iCs/>
          <w:sz w:val="18"/>
          <w:szCs w:val="18"/>
        </w:rPr>
        <w:t>kan</w:t>
      </w:r>
      <w:r w:rsidRPr="709040E8">
        <w:rPr>
          <w:rFonts w:ascii="Verdana" w:hAnsi="Verdana" w:eastAsia="Verdana" w:cs="Verdana"/>
          <w:sz w:val="18"/>
          <w:szCs w:val="18"/>
        </w:rPr>
        <w:t xml:space="preserve"> worden. Momenteel worden de technische (on)mogelijkheden in beeld gebracht om hier invulling aan te geven, waarbij naar huidige inzichten eerst meer onderzoek nodig is naar het ontstaan en meten van ultrafijnstof voordat een doel kan worden </w:t>
      </w:r>
      <w:r w:rsidRPr="2FD1EBAA">
        <w:rPr>
          <w:rFonts w:ascii="Verdana" w:hAnsi="Verdana" w:eastAsia="Verdana" w:cs="Verdana"/>
          <w:sz w:val="18"/>
          <w:szCs w:val="18"/>
        </w:rPr>
        <w:t>vastgelegd.</w:t>
      </w:r>
      <w:r>
        <w:rPr>
          <w:rFonts w:ascii="Verdana" w:hAnsi="Verdana" w:eastAsia="Verdana" w:cs="Verdana"/>
          <w:sz w:val="18"/>
          <w:szCs w:val="18"/>
        </w:rPr>
        <w:t xml:space="preserve"> </w:t>
      </w:r>
      <w:r w:rsidRPr="2FD1EBAA">
        <w:rPr>
          <w:rFonts w:ascii="Verdana" w:hAnsi="Verdana" w:eastAsia="Verdana" w:cs="Verdana"/>
          <w:sz w:val="18"/>
          <w:szCs w:val="18"/>
        </w:rPr>
        <w:t>De</w:t>
      </w:r>
      <w:r w:rsidRPr="573C2E30">
        <w:rPr>
          <w:rFonts w:ascii="Verdana" w:hAnsi="Verdana" w:eastAsia="Verdana" w:cs="Verdana"/>
          <w:sz w:val="18"/>
          <w:szCs w:val="18"/>
        </w:rPr>
        <w:t xml:space="preserve"> maatwerkafspraak </w:t>
      </w:r>
      <w:r w:rsidRPr="2FD1EBAA">
        <w:rPr>
          <w:rFonts w:ascii="Verdana" w:hAnsi="Verdana" w:eastAsia="Verdana" w:cs="Verdana"/>
          <w:sz w:val="18"/>
          <w:szCs w:val="18"/>
        </w:rPr>
        <w:t>zou</w:t>
      </w:r>
      <w:r w:rsidRPr="573C2E30">
        <w:rPr>
          <w:rFonts w:ascii="Verdana" w:hAnsi="Verdana" w:eastAsia="Verdana" w:cs="Verdana"/>
          <w:sz w:val="18"/>
          <w:szCs w:val="18"/>
        </w:rPr>
        <w:t xml:space="preserve"> ook </w:t>
      </w:r>
      <w:r w:rsidRPr="2FD1EBAA">
        <w:rPr>
          <w:rFonts w:ascii="Verdana" w:hAnsi="Verdana" w:eastAsia="Verdana" w:cs="Verdana"/>
          <w:sz w:val="18"/>
          <w:szCs w:val="18"/>
        </w:rPr>
        <w:t xml:space="preserve">andere </w:t>
      </w:r>
      <w:r w:rsidRPr="00564DFE">
        <w:rPr>
          <w:rFonts w:ascii="Verdana" w:hAnsi="Verdana" w:eastAsia="Verdana" w:cs="Verdana"/>
          <w:sz w:val="18"/>
          <w:szCs w:val="18"/>
        </w:rPr>
        <w:t xml:space="preserve">bepalingen </w:t>
      </w:r>
      <w:r w:rsidRPr="000A246A">
        <w:rPr>
          <w:rFonts w:ascii="Verdana" w:hAnsi="Verdana" w:eastAsia="Verdana" w:cs="Verdana"/>
          <w:sz w:val="18"/>
          <w:szCs w:val="18"/>
        </w:rPr>
        <w:t xml:space="preserve">dan </w:t>
      </w:r>
      <w:r w:rsidRPr="00564DFE">
        <w:rPr>
          <w:rFonts w:ascii="Verdana" w:hAnsi="Verdana" w:eastAsia="Verdana" w:cs="Verdana"/>
          <w:sz w:val="18"/>
          <w:szCs w:val="18"/>
        </w:rPr>
        <w:t xml:space="preserve">concrete </w:t>
      </w:r>
      <w:r w:rsidRPr="000A246A">
        <w:rPr>
          <w:rFonts w:ascii="Verdana" w:hAnsi="Verdana" w:eastAsia="Verdana" w:cs="Verdana"/>
          <w:sz w:val="18"/>
          <w:szCs w:val="18"/>
        </w:rPr>
        <w:t>emissieplafonds kunnen bevatten waarmee wel degelijk afspraken worden gemaakt over het reduceren van ultrafijnstofemissies</w:t>
      </w:r>
      <w:r w:rsidRPr="00564DFE">
        <w:rPr>
          <w:rFonts w:ascii="Verdana" w:hAnsi="Verdana" w:eastAsia="Verdana" w:cs="Verdana"/>
          <w:sz w:val="18"/>
          <w:szCs w:val="18"/>
        </w:rPr>
        <w:t>.</w:t>
      </w:r>
    </w:p>
    <w:p w:rsidR="00B34B1F" w:rsidP="00B34B1F" w:rsidRDefault="00B34B1F" w14:paraId="1787B242" w14:textId="77777777">
      <w:pPr>
        <w:pStyle w:val="Lijstalinea"/>
        <w:numPr>
          <w:ilvl w:val="1"/>
          <w:numId w:val="16"/>
        </w:numPr>
        <w:spacing w:after="0" w:line="276" w:lineRule="auto"/>
        <w:rPr>
          <w:rFonts w:ascii="Verdana" w:hAnsi="Verdana" w:eastAsia="Verdana" w:cs="Verdana"/>
          <w:sz w:val="18"/>
          <w:szCs w:val="18"/>
        </w:rPr>
      </w:pPr>
      <w:r>
        <w:rPr>
          <w:rFonts w:ascii="Verdana" w:hAnsi="Verdana" w:eastAsia="Verdana" w:cs="Verdana"/>
          <w:sz w:val="18"/>
          <w:szCs w:val="18"/>
          <w:u w:val="single"/>
        </w:rPr>
        <w:t xml:space="preserve">Zeer </w:t>
      </w:r>
      <w:r w:rsidRPr="573C2E30">
        <w:rPr>
          <w:rFonts w:ascii="Verdana" w:hAnsi="Verdana" w:eastAsia="Verdana" w:cs="Verdana"/>
          <w:sz w:val="18"/>
          <w:szCs w:val="18"/>
          <w:u w:val="single"/>
        </w:rPr>
        <w:t>zorgwekkende stoffen</w:t>
      </w:r>
      <w:r>
        <w:rPr>
          <w:rFonts w:ascii="Verdana" w:hAnsi="Verdana" w:eastAsia="Verdana" w:cs="Verdana"/>
          <w:sz w:val="18"/>
          <w:szCs w:val="18"/>
          <w:u w:val="single"/>
        </w:rPr>
        <w:t xml:space="preserve"> (</w:t>
      </w:r>
      <w:r w:rsidRPr="330E0BBB">
        <w:rPr>
          <w:rFonts w:ascii="Verdana" w:hAnsi="Verdana" w:eastAsia="Verdana" w:cs="Verdana"/>
          <w:sz w:val="18"/>
          <w:szCs w:val="18"/>
          <w:u w:val="single"/>
        </w:rPr>
        <w:t>ZZS</w:t>
      </w:r>
      <w:r>
        <w:rPr>
          <w:rFonts w:ascii="Verdana" w:hAnsi="Verdana" w:eastAsia="Verdana" w:cs="Verdana"/>
          <w:sz w:val="18"/>
          <w:szCs w:val="18"/>
          <w:u w:val="single"/>
        </w:rPr>
        <w:t>)</w:t>
      </w:r>
      <w:r w:rsidRPr="330E0BBB">
        <w:rPr>
          <w:rFonts w:ascii="Verdana" w:hAnsi="Verdana" w:eastAsia="Verdana" w:cs="Verdana"/>
          <w:sz w:val="18"/>
          <w:szCs w:val="18"/>
          <w:u w:val="single"/>
        </w:rPr>
        <w:t xml:space="preserve"> en </w:t>
      </w:r>
      <w:r w:rsidRPr="573C2E30">
        <w:rPr>
          <w:rFonts w:ascii="Verdana" w:hAnsi="Verdana" w:eastAsia="Verdana" w:cs="Verdana"/>
          <w:sz w:val="18"/>
          <w:szCs w:val="18"/>
          <w:u w:val="single"/>
        </w:rPr>
        <w:t>vluchtige organische stoffen</w:t>
      </w:r>
      <w:r>
        <w:rPr>
          <w:rFonts w:ascii="Verdana" w:hAnsi="Verdana" w:eastAsia="Verdana" w:cs="Verdana"/>
          <w:sz w:val="18"/>
          <w:szCs w:val="18"/>
          <w:u w:val="single"/>
        </w:rPr>
        <w:t xml:space="preserve"> (</w:t>
      </w:r>
      <w:r w:rsidRPr="330E0BBB">
        <w:rPr>
          <w:rFonts w:ascii="Verdana" w:hAnsi="Verdana" w:eastAsia="Verdana" w:cs="Verdana"/>
          <w:sz w:val="18"/>
          <w:szCs w:val="18"/>
          <w:u w:val="single"/>
        </w:rPr>
        <w:t>VOS</w:t>
      </w:r>
      <w:r>
        <w:rPr>
          <w:rFonts w:ascii="Verdana" w:hAnsi="Verdana" w:eastAsia="Verdana" w:cs="Verdana"/>
          <w:sz w:val="18"/>
          <w:szCs w:val="18"/>
          <w:u w:val="single"/>
        </w:rPr>
        <w:t>)</w:t>
      </w:r>
      <w:r w:rsidRPr="330E0BBB">
        <w:rPr>
          <w:rFonts w:ascii="Verdana" w:hAnsi="Verdana" w:eastAsia="Verdana" w:cs="Verdana"/>
          <w:sz w:val="18"/>
          <w:szCs w:val="18"/>
          <w:u w:val="single"/>
        </w:rPr>
        <w:t>:</w:t>
      </w:r>
      <w:r w:rsidRPr="330E0BBB">
        <w:rPr>
          <w:rFonts w:ascii="Verdana" w:hAnsi="Verdana" w:eastAsia="Verdana" w:cs="Verdana"/>
          <w:sz w:val="18"/>
          <w:szCs w:val="18"/>
        </w:rPr>
        <w:t xml:space="preserve"> de Expertgroep merkt op dat, gezien de wettelijke minimalisatieplicht voor ZZS, de doelen in de JLoI niet moeten worden </w:t>
      </w:r>
      <w:r w:rsidRPr="330E0BBB">
        <w:rPr>
          <w:rFonts w:ascii="Verdana" w:hAnsi="Verdana" w:eastAsia="Verdana" w:cs="Verdana"/>
          <w:sz w:val="18"/>
          <w:szCs w:val="18"/>
        </w:rPr>
        <w:lastRenderedPageBreak/>
        <w:t xml:space="preserve">gezien als einddoel, maar als eerste stap in een verbetertraject. Het kabinet </w:t>
      </w:r>
      <w:r>
        <w:rPr>
          <w:rFonts w:ascii="Verdana" w:hAnsi="Verdana" w:eastAsia="Verdana" w:cs="Verdana"/>
          <w:sz w:val="18"/>
          <w:szCs w:val="18"/>
        </w:rPr>
        <w:t xml:space="preserve">ziet </w:t>
      </w:r>
      <w:r w:rsidRPr="6485222C">
        <w:rPr>
          <w:rFonts w:ascii="Verdana" w:hAnsi="Verdana" w:eastAsia="Verdana" w:cs="Verdana"/>
          <w:sz w:val="18"/>
          <w:szCs w:val="18"/>
        </w:rPr>
        <w:t>de</w:t>
      </w:r>
      <w:r w:rsidRPr="17CACCB6">
        <w:rPr>
          <w:rFonts w:ascii="Verdana" w:hAnsi="Verdana" w:eastAsia="Verdana" w:cs="Verdana"/>
          <w:sz w:val="18"/>
          <w:szCs w:val="18"/>
        </w:rPr>
        <w:t xml:space="preserve"> maatwerkafspraak</w:t>
      </w:r>
      <w:r>
        <w:rPr>
          <w:rFonts w:ascii="Verdana" w:hAnsi="Verdana" w:eastAsia="Verdana" w:cs="Verdana"/>
          <w:sz w:val="18"/>
          <w:szCs w:val="18"/>
        </w:rPr>
        <w:t xml:space="preserve"> als een eerste stap om versneld</w:t>
      </w:r>
      <w:r w:rsidRPr="330E0BBB">
        <w:rPr>
          <w:rFonts w:ascii="Verdana" w:hAnsi="Verdana" w:eastAsia="Verdana" w:cs="Verdana"/>
          <w:sz w:val="18"/>
          <w:szCs w:val="18"/>
        </w:rPr>
        <w:t xml:space="preserve"> </w:t>
      </w:r>
      <w:r>
        <w:rPr>
          <w:rFonts w:ascii="Verdana" w:hAnsi="Verdana" w:eastAsia="Verdana" w:cs="Verdana"/>
          <w:sz w:val="18"/>
          <w:szCs w:val="18"/>
        </w:rPr>
        <w:t xml:space="preserve">de uitstoot van een aantal ZZS fors terug te dringen. Daarnaast </w:t>
      </w:r>
      <w:r w:rsidRPr="56E81CDC">
        <w:rPr>
          <w:rFonts w:ascii="Verdana" w:hAnsi="Verdana" w:eastAsia="Verdana" w:cs="Verdana"/>
          <w:sz w:val="18"/>
          <w:szCs w:val="18"/>
        </w:rPr>
        <w:t>biedt</w:t>
      </w:r>
      <w:r w:rsidRPr="330E0BBB">
        <w:rPr>
          <w:rFonts w:ascii="Verdana" w:hAnsi="Verdana" w:eastAsia="Verdana" w:cs="Verdana"/>
          <w:sz w:val="18"/>
          <w:szCs w:val="18"/>
        </w:rPr>
        <w:t xml:space="preserve"> het wettelijk kader in de vorm van een vermijdings- en reductieprogramma</w:t>
      </w:r>
      <w:r w:rsidRPr="56E81CDC">
        <w:rPr>
          <w:rFonts w:ascii="Verdana" w:hAnsi="Verdana" w:eastAsia="Verdana" w:cs="Verdana"/>
          <w:sz w:val="18"/>
          <w:szCs w:val="18"/>
        </w:rPr>
        <w:t xml:space="preserve"> mogelijkheden</w:t>
      </w:r>
      <w:r w:rsidRPr="330E0BBB">
        <w:rPr>
          <w:rFonts w:ascii="Verdana" w:hAnsi="Verdana" w:eastAsia="Verdana" w:cs="Verdana"/>
          <w:sz w:val="18"/>
          <w:szCs w:val="18"/>
        </w:rPr>
        <w:t xml:space="preserve"> waarmee (zonder bovenwettelijke afspraak) stapsgewijs verdere reducties kunnen worden gerealiseerd.</w:t>
      </w:r>
    </w:p>
    <w:p w:rsidR="00B34B1F" w:rsidP="00B34B1F" w:rsidRDefault="00B34B1F" w14:paraId="4BCE4965" w14:textId="77777777">
      <w:pPr>
        <w:pStyle w:val="Lijstalinea"/>
        <w:spacing w:after="0" w:line="276" w:lineRule="auto"/>
        <w:ind w:left="360"/>
        <w:rPr>
          <w:rFonts w:ascii="Verdana" w:hAnsi="Verdana" w:eastAsia="Verdana" w:cs="Verdana"/>
          <w:sz w:val="18"/>
          <w:szCs w:val="18"/>
        </w:rPr>
      </w:pPr>
    </w:p>
    <w:p w:rsidR="00B34B1F" w:rsidP="00B34B1F" w:rsidRDefault="00B34B1F" w14:paraId="43E2831B" w14:textId="77777777">
      <w:pPr>
        <w:pStyle w:val="Lijstalinea"/>
        <w:numPr>
          <w:ilvl w:val="0"/>
          <w:numId w:val="16"/>
        </w:numPr>
        <w:spacing w:after="0" w:line="276" w:lineRule="auto"/>
        <w:rPr>
          <w:rFonts w:ascii="Verdana" w:hAnsi="Verdana" w:eastAsia="Verdana" w:cs="Verdana"/>
          <w:sz w:val="18"/>
          <w:szCs w:val="18"/>
        </w:rPr>
      </w:pPr>
      <w:r w:rsidRPr="709040E8">
        <w:rPr>
          <w:rFonts w:ascii="Verdana" w:hAnsi="Verdana" w:eastAsia="Verdana" w:cs="Verdana"/>
          <w:sz w:val="18"/>
          <w:szCs w:val="18"/>
          <w:u w:val="single"/>
        </w:rPr>
        <w:t>Betere monitoring van uitstoot en blootstelling:</w:t>
      </w:r>
      <w:r w:rsidRPr="709040E8">
        <w:rPr>
          <w:rFonts w:ascii="Verdana" w:hAnsi="Verdana" w:eastAsia="Verdana" w:cs="Verdana"/>
          <w:sz w:val="18"/>
          <w:szCs w:val="18"/>
        </w:rPr>
        <w:t xml:space="preserve"> de Expertgroep </w:t>
      </w:r>
      <w:r>
        <w:rPr>
          <w:rFonts w:ascii="Verdana" w:hAnsi="Verdana" w:eastAsia="Verdana" w:cs="Verdana"/>
          <w:sz w:val="18"/>
          <w:szCs w:val="18"/>
        </w:rPr>
        <w:t xml:space="preserve">Gezondheid IJmond </w:t>
      </w:r>
      <w:r w:rsidRPr="709040E8">
        <w:rPr>
          <w:rFonts w:ascii="Verdana" w:hAnsi="Verdana" w:eastAsia="Verdana" w:cs="Verdana"/>
          <w:sz w:val="18"/>
          <w:szCs w:val="18"/>
        </w:rPr>
        <w:t>vindt dat het huidige meetsysteem primair is ingericht op normhandhaving en onvoldoende inzicht geeft in de daadwerkelijke blootstelling van omwonenden. Daarom adviseert de Expertgroep</w:t>
      </w:r>
      <w:r>
        <w:rPr>
          <w:rFonts w:ascii="Verdana" w:hAnsi="Verdana" w:eastAsia="Verdana" w:cs="Verdana"/>
          <w:sz w:val="18"/>
          <w:szCs w:val="18"/>
        </w:rPr>
        <w:t xml:space="preserve"> Gezondheid IJmond</w:t>
      </w:r>
      <w:r w:rsidRPr="709040E8">
        <w:rPr>
          <w:rFonts w:ascii="Verdana" w:hAnsi="Verdana" w:eastAsia="Verdana" w:cs="Verdana"/>
          <w:sz w:val="18"/>
          <w:szCs w:val="18"/>
        </w:rPr>
        <w:t xml:space="preserve"> uitbreiding van het bestaande meetnet. Net als bij punt 1 geldt: het kabinet neemt deze suggestie mee bij de uitwerking van de beoogde maatwerkafspraak. Gegeven de omvang en complexiteit van de te steunen bovenwettelijke verbeteringen zijn gedegen afspraken over monitoring van de doelstellingen essentieel. De mogelijkheden voor monitoring en metingen worden meegewogen binnen het bredere potentiële instrumentarium. </w:t>
      </w:r>
    </w:p>
    <w:p w:rsidR="00B34B1F" w:rsidP="00B34B1F" w:rsidRDefault="00B34B1F" w14:paraId="63CC6D5C" w14:textId="77777777">
      <w:pPr>
        <w:pStyle w:val="Lijstalinea"/>
        <w:spacing w:after="0" w:line="276" w:lineRule="auto"/>
        <w:ind w:left="360"/>
        <w:rPr>
          <w:rFonts w:ascii="Verdana" w:hAnsi="Verdana" w:eastAsia="Verdana" w:cs="Verdana"/>
          <w:sz w:val="18"/>
          <w:szCs w:val="18"/>
        </w:rPr>
      </w:pPr>
    </w:p>
    <w:p w:rsidR="00B34B1F" w:rsidP="00B34B1F" w:rsidRDefault="00B34B1F" w14:paraId="348C585C" w14:textId="77777777">
      <w:pPr>
        <w:pStyle w:val="Lijstalinea"/>
        <w:spacing w:after="0" w:line="276" w:lineRule="auto"/>
        <w:ind w:left="360"/>
        <w:rPr>
          <w:rFonts w:ascii="Verdana" w:hAnsi="Verdana" w:eastAsia="Verdana" w:cs="Verdana"/>
          <w:sz w:val="18"/>
          <w:szCs w:val="18"/>
        </w:rPr>
      </w:pPr>
      <w:r w:rsidRPr="5998873E">
        <w:rPr>
          <w:rFonts w:ascii="Verdana" w:hAnsi="Verdana" w:eastAsia="Verdana" w:cs="Verdana"/>
          <w:sz w:val="18"/>
          <w:szCs w:val="18"/>
        </w:rPr>
        <w:t xml:space="preserve">Ook de komende jaren is het van belang om goed zicht te houden op de kwaliteit van de leefomgeving in de IJmond, juist ook als gevolg van de transitie bij TSN. Daarom is aan </w:t>
      </w:r>
      <w:r>
        <w:rPr>
          <w:rFonts w:ascii="Verdana" w:hAnsi="Verdana" w:eastAsia="Verdana" w:cs="Verdana"/>
          <w:sz w:val="18"/>
          <w:szCs w:val="18"/>
        </w:rPr>
        <w:t xml:space="preserve">het </w:t>
      </w:r>
      <w:r w:rsidRPr="5998873E">
        <w:rPr>
          <w:rFonts w:ascii="Verdana" w:hAnsi="Verdana" w:eastAsia="Verdana" w:cs="Verdana"/>
          <w:sz w:val="18"/>
          <w:szCs w:val="18"/>
        </w:rPr>
        <w:t xml:space="preserve">RIVM gevraagd om, in samenwerking met o.a. de GGD, een evaluatie uit te voeren van de huidige onderzoeken die in de IJmond plaatsvinden. </w:t>
      </w:r>
      <w:r w:rsidRPr="26A99BF7">
        <w:rPr>
          <w:rFonts w:ascii="Verdana" w:hAnsi="Verdana" w:eastAsia="Verdana" w:cs="Verdana"/>
          <w:sz w:val="18"/>
          <w:szCs w:val="18"/>
        </w:rPr>
        <w:t>Hiermee wordt bezien of</w:t>
      </w:r>
      <w:r w:rsidRPr="5998873E">
        <w:rPr>
          <w:rFonts w:ascii="Verdana" w:hAnsi="Verdana" w:eastAsia="Verdana" w:cs="Verdana"/>
          <w:sz w:val="18"/>
          <w:szCs w:val="18"/>
        </w:rPr>
        <w:t xml:space="preserve"> het huidige onderzoeksportfolio voor de komende jaren passend is.</w:t>
      </w:r>
      <w:r>
        <w:rPr>
          <w:rFonts w:ascii="Verdana" w:hAnsi="Verdana" w:eastAsia="Verdana" w:cs="Verdana"/>
          <w:sz w:val="18"/>
          <w:szCs w:val="18"/>
        </w:rPr>
        <w:t xml:space="preserve"> Eerdere evaluaties, zoals gedaan bij het luchtmeetnet, worden hierbij betrokken. </w:t>
      </w:r>
      <w:r w:rsidRPr="5998873E">
        <w:rPr>
          <w:rFonts w:ascii="Verdana" w:hAnsi="Verdana" w:eastAsia="Verdana" w:cs="Verdana"/>
          <w:sz w:val="18"/>
          <w:szCs w:val="18"/>
        </w:rPr>
        <w:t xml:space="preserve">De suggesties van de Expertgroep Gezondheid IJmond zullen door </w:t>
      </w:r>
      <w:r>
        <w:rPr>
          <w:rFonts w:ascii="Verdana" w:hAnsi="Verdana" w:eastAsia="Verdana" w:cs="Verdana"/>
          <w:sz w:val="18"/>
          <w:szCs w:val="18"/>
        </w:rPr>
        <w:t xml:space="preserve">het </w:t>
      </w:r>
      <w:r w:rsidRPr="5998873E">
        <w:rPr>
          <w:rFonts w:ascii="Verdana" w:hAnsi="Verdana" w:eastAsia="Verdana" w:cs="Verdana"/>
          <w:sz w:val="18"/>
          <w:szCs w:val="18"/>
        </w:rPr>
        <w:t>RIVM worden meegewogen. Op basis van die evaluatie kan worden besloten of aanvullend onderzoek moet worden gestart en/of welke aanpassingen nodig zijn in lopende onderzoeken.</w:t>
      </w:r>
    </w:p>
    <w:p w:rsidR="00B34B1F" w:rsidP="00B34B1F" w:rsidRDefault="00B34B1F" w14:paraId="07269785" w14:textId="77777777">
      <w:pPr>
        <w:spacing w:line="276" w:lineRule="auto"/>
        <w:contextualSpacing/>
        <w:rPr>
          <w:rFonts w:eastAsia="Verdana" w:cs="Verdana"/>
          <w:szCs w:val="18"/>
        </w:rPr>
      </w:pPr>
    </w:p>
    <w:p w:rsidR="00B34B1F" w:rsidP="00B34B1F" w:rsidRDefault="00B34B1F" w14:paraId="6E8F717A" w14:textId="77777777">
      <w:pPr>
        <w:spacing w:line="276" w:lineRule="auto"/>
        <w:contextualSpacing/>
        <w:rPr>
          <w:rFonts w:eastAsia="Verdana" w:cs="Verdana"/>
          <w:b/>
          <w:bCs/>
          <w:szCs w:val="18"/>
        </w:rPr>
      </w:pPr>
      <w:r w:rsidRPr="7335E02C">
        <w:rPr>
          <w:rFonts w:eastAsia="Verdana" w:cs="Verdana"/>
          <w:b/>
          <w:bCs/>
          <w:szCs w:val="18"/>
        </w:rPr>
        <w:t>Tot slot</w:t>
      </w:r>
    </w:p>
    <w:p w:rsidR="00B34B1F" w:rsidP="00B34B1F" w:rsidRDefault="00B34B1F" w14:paraId="10013CF3" w14:textId="77777777">
      <w:pPr>
        <w:spacing w:line="276" w:lineRule="auto"/>
        <w:contextualSpacing/>
        <w:rPr>
          <w:rFonts w:eastAsia="Verdana" w:cs="Verdana"/>
          <w:b/>
          <w:bCs/>
          <w:szCs w:val="18"/>
        </w:rPr>
      </w:pPr>
      <w:r>
        <w:rPr>
          <w:rFonts w:eastAsia="Calibri" w:cs="Calibri"/>
          <w:szCs w:val="18"/>
        </w:rPr>
        <w:t>Het kabinet ziet de maatwerkafspraak als een belangrijke stap om op de kortst mogelijke termijn de industriële vergroening een impuls te geven die bijdraagt aan banen in de regio en die leidt tot vermindering van de negatieve impact op de gezondheid voor de omwonenden in de omgeving en een forse CO</w:t>
      </w:r>
      <w:r w:rsidRPr="001E479C">
        <w:rPr>
          <w:rFonts w:eastAsia="Calibri" w:cs="Calibri"/>
          <w:szCs w:val="18"/>
          <w:vertAlign w:val="subscript"/>
        </w:rPr>
        <w:t>2</w:t>
      </w:r>
      <w:r>
        <w:rPr>
          <w:rFonts w:eastAsia="Calibri" w:cs="Calibri"/>
          <w:szCs w:val="18"/>
        </w:rPr>
        <w:t>-reductie oplevert.</w:t>
      </w:r>
    </w:p>
    <w:p w:rsidR="00B34B1F" w:rsidP="00B34B1F" w:rsidRDefault="00B34B1F" w14:paraId="1A8BF1D9" w14:textId="77777777">
      <w:pPr>
        <w:spacing w:line="276" w:lineRule="auto"/>
        <w:contextualSpacing/>
        <w:rPr>
          <w:rFonts w:eastAsia="Verdana" w:cs="Verdana"/>
          <w:b/>
          <w:bCs/>
          <w:szCs w:val="18"/>
        </w:rPr>
      </w:pPr>
    </w:p>
    <w:p w:rsidR="00B34B1F" w:rsidP="00B34B1F" w:rsidRDefault="00B34B1F" w14:paraId="05C9D4D2" w14:textId="77777777">
      <w:pPr>
        <w:spacing w:line="276" w:lineRule="auto"/>
        <w:contextualSpacing/>
        <w:rPr>
          <w:rFonts w:eastAsia="Calibri" w:cs="Calibri"/>
        </w:rPr>
      </w:pPr>
      <w:r w:rsidRPr="7EA4F505">
        <w:rPr>
          <w:rFonts w:eastAsia="Calibri" w:cs="Calibri"/>
        </w:rPr>
        <w:t xml:space="preserve">Over de JLoI met TSN, TSL en de PNH gaan we op 7 april aanstaande met elkaar in debat, waarbij de Kamer kan reageren op de inhoud van de JLoI en eventuele aandachtspunten kan meegeven aan het kabinet. </w:t>
      </w:r>
      <w:r>
        <w:rPr>
          <w:rFonts w:eastAsia="Calibri" w:cs="Calibri"/>
        </w:rPr>
        <w:t xml:space="preserve">Het kabinet neemt de aandachtspunten mee in de verdere onderhandeling om tot een maatwerkafspraak te </w:t>
      </w:r>
      <w:r w:rsidRPr="00570074">
        <w:rPr>
          <w:rFonts w:eastAsia="Calibri" w:cs="Calibri"/>
        </w:rPr>
        <w:t>komen.</w:t>
      </w:r>
      <w:r>
        <w:rPr>
          <w:rFonts w:eastAsia="Calibri" w:cs="Calibri"/>
        </w:rPr>
        <w:t xml:space="preserve"> Voor deze laatste fase </w:t>
      </w:r>
      <w:r>
        <w:rPr>
          <w:rFonts w:eastAsia="Verdana" w:cs="Verdana"/>
          <w:szCs w:val="18"/>
        </w:rPr>
        <w:t>van de maatwerkafspraak zal d</w:t>
      </w:r>
      <w:r w:rsidRPr="00181ECA">
        <w:rPr>
          <w:rFonts w:eastAsia="Verdana" w:cs="Verdana"/>
          <w:szCs w:val="18"/>
        </w:rPr>
        <w:t xml:space="preserve">e heer Lodewijk Asscher de rol van ministerieel gezant </w:t>
      </w:r>
      <w:r>
        <w:rPr>
          <w:rFonts w:eastAsia="Verdana" w:cs="Verdana"/>
          <w:szCs w:val="18"/>
        </w:rPr>
        <w:t xml:space="preserve">vervullen. In deze rol zal hij binnen de complexe dynamiek namens het kabinet optreden richting </w:t>
      </w:r>
      <w:r w:rsidRPr="00181ECA">
        <w:rPr>
          <w:rFonts w:eastAsia="Verdana" w:cs="Verdana"/>
          <w:szCs w:val="18"/>
        </w:rPr>
        <w:t>het bedrijf en nadrukkelijk ook</w:t>
      </w:r>
      <w:r w:rsidRPr="2CB3E06B">
        <w:rPr>
          <w:rFonts w:eastAsia="Verdana" w:cs="Verdana"/>
          <w:szCs w:val="18"/>
        </w:rPr>
        <w:t xml:space="preserve"> richting andere stakeholders</w:t>
      </w:r>
      <w:r>
        <w:rPr>
          <w:rFonts w:eastAsia="Verdana" w:cs="Verdana"/>
          <w:szCs w:val="18"/>
        </w:rPr>
        <w:t xml:space="preserve">. Het is de inzet dat hij in zijn rol een bijdrage kan leveren aan de uitwerking van de vele belangrijke onderwerpen </w:t>
      </w:r>
      <w:r>
        <w:rPr>
          <w:rFonts w:eastAsia="Calibri" w:cs="Calibri"/>
        </w:rPr>
        <w:t xml:space="preserve">die in de maatwerkafspraak een plek moeten krijgen en dat ook in de laatste fase de besluitvorming zorgvuldig kan plaatsvinden. </w:t>
      </w:r>
    </w:p>
    <w:p w:rsidR="00B34B1F" w:rsidP="00B34B1F" w:rsidRDefault="00B34B1F" w14:paraId="2AF63E9A" w14:textId="77777777">
      <w:pPr>
        <w:spacing w:line="276" w:lineRule="auto"/>
        <w:contextualSpacing/>
        <w:rPr>
          <w:rFonts w:eastAsia="Calibri" w:cs="Calibri"/>
        </w:rPr>
      </w:pPr>
    </w:p>
    <w:p w:rsidRPr="00EE65E1" w:rsidR="00B34B1F" w:rsidP="00B34B1F" w:rsidRDefault="00B34B1F" w14:paraId="43CC6A45" w14:textId="77777777">
      <w:pPr>
        <w:spacing w:line="276" w:lineRule="auto"/>
        <w:contextualSpacing/>
        <w:rPr>
          <w:rFonts w:eastAsia="Calibri" w:cs="Calibri"/>
        </w:rPr>
      </w:pPr>
      <w:r w:rsidRPr="2CB3E06B">
        <w:rPr>
          <w:rFonts w:eastAsia="Calibri" w:cs="Calibri"/>
          <w:szCs w:val="18"/>
        </w:rPr>
        <w:t xml:space="preserve">Het kabinet vindt het van belang om de Kamer goed te </w:t>
      </w:r>
      <w:r>
        <w:rPr>
          <w:rFonts w:eastAsia="Calibri" w:cs="Calibri"/>
          <w:szCs w:val="18"/>
        </w:rPr>
        <w:t xml:space="preserve">blijven </w:t>
      </w:r>
      <w:r w:rsidRPr="2CB3E06B">
        <w:rPr>
          <w:rFonts w:eastAsia="Calibri" w:cs="Calibri"/>
          <w:szCs w:val="18"/>
        </w:rPr>
        <w:t xml:space="preserve">informeren over de voortgang van de maatwerkafspraak </w:t>
      </w:r>
      <w:r>
        <w:rPr>
          <w:rFonts w:eastAsia="Calibri" w:cs="Calibri"/>
          <w:szCs w:val="18"/>
        </w:rPr>
        <w:t>met Tata Steel</w:t>
      </w:r>
      <w:r w:rsidRPr="2CB3E06B">
        <w:rPr>
          <w:rFonts w:eastAsia="Calibri" w:cs="Calibri"/>
          <w:szCs w:val="18"/>
        </w:rPr>
        <w:t>. In de maatwerkafspraak zullen concrete doelen voor verduurzaming en verbetering van de leefomgeving en gezondheid van omwonenden worden vastgelegd.</w:t>
      </w:r>
      <w:r>
        <w:rPr>
          <w:rFonts w:eastAsia="Calibri" w:cs="Calibri"/>
          <w:szCs w:val="18"/>
        </w:rPr>
        <w:t xml:space="preserve"> </w:t>
      </w:r>
      <w:r w:rsidRPr="66B76D79">
        <w:rPr>
          <w:rFonts w:eastAsia="Verdana" w:cs="Verdana"/>
        </w:rPr>
        <w:t>Zoals in eerdere Kamerbrieven aangegeven, wordt de Tweede Kamer bij een finale maatwerkafspraak meegenomen.</w:t>
      </w:r>
      <w:r w:rsidRPr="66B76D79">
        <w:rPr>
          <w:rStyle w:val="Voetnootmarkering"/>
          <w:rFonts w:eastAsia="Calibri" w:cs="Calibri"/>
        </w:rPr>
        <w:footnoteReference w:id="13"/>
      </w:r>
    </w:p>
    <w:p w:rsidR="00B34B1F" w:rsidP="00B34B1F" w:rsidRDefault="00B34B1F" w14:paraId="1415A81E" w14:textId="77777777">
      <w:pPr>
        <w:spacing w:line="276" w:lineRule="auto"/>
        <w:contextualSpacing/>
        <w:rPr>
          <w:rFonts w:eastAsia="Verdana" w:cs="Verdana"/>
          <w:b/>
          <w:bCs/>
          <w:szCs w:val="18"/>
        </w:rPr>
      </w:pPr>
    </w:p>
    <w:p w:rsidR="00B34B1F" w:rsidP="00B34B1F" w:rsidRDefault="00B34B1F" w14:paraId="1DDF5294" w14:textId="77777777">
      <w:pPr>
        <w:spacing w:line="276" w:lineRule="auto"/>
        <w:contextualSpacing/>
        <w:rPr>
          <w:rFonts w:eastAsia="Calibri" w:cs="Calibri"/>
          <w:szCs w:val="18"/>
        </w:rPr>
      </w:pPr>
      <w:r>
        <w:rPr>
          <w:rFonts w:eastAsia="Calibri" w:cs="Calibri"/>
          <w:szCs w:val="18"/>
        </w:rPr>
        <w:t>Hoogachtend,</w:t>
      </w:r>
    </w:p>
    <w:p w:rsidR="00B34B1F" w:rsidP="00B34B1F" w:rsidRDefault="00B34B1F" w14:paraId="1B6FBCC7" w14:textId="77777777">
      <w:pPr>
        <w:spacing w:line="276" w:lineRule="auto"/>
        <w:contextualSpacing/>
        <w:rPr>
          <w:rFonts w:eastAsia="Verdana" w:cs="Verdana"/>
          <w:szCs w:val="18"/>
        </w:rPr>
      </w:pPr>
    </w:p>
    <w:p w:rsidR="00B34B1F" w:rsidP="00B34B1F" w:rsidRDefault="00B34B1F" w14:paraId="28A9DCEF" w14:textId="77777777">
      <w:pPr>
        <w:spacing w:line="276" w:lineRule="auto"/>
        <w:contextualSpacing/>
      </w:pPr>
      <w:r>
        <w:br/>
      </w:r>
    </w:p>
    <w:p w:rsidR="00B34B1F" w:rsidP="00B34B1F" w:rsidRDefault="00B34B1F" w14:paraId="178D90F9" w14:textId="77777777">
      <w:pPr>
        <w:spacing w:line="276" w:lineRule="auto"/>
        <w:contextualSpacing/>
        <w:rPr>
          <w:szCs w:val="18"/>
        </w:rPr>
      </w:pPr>
      <w:bookmarkStart w:name="_Hlk222840271" w:id="0"/>
      <w:r>
        <w:rPr>
          <w:szCs w:val="18"/>
        </w:rPr>
        <w:t>Stientje van Veldhoven-van der Meer</w:t>
      </w:r>
    </w:p>
    <w:bookmarkEnd w:id="0"/>
    <w:p w:rsidR="00B34B1F" w:rsidP="00B34B1F" w:rsidRDefault="00B34B1F" w14:paraId="2CFF5343" w14:textId="77777777">
      <w:pPr>
        <w:spacing w:line="276" w:lineRule="auto"/>
        <w:contextualSpacing/>
        <w:rPr>
          <w:szCs w:val="18"/>
        </w:rPr>
      </w:pPr>
      <w:r>
        <w:rPr>
          <w:szCs w:val="18"/>
        </w:rPr>
        <w:t>Minister van Klimaat en Groene Groei</w:t>
      </w:r>
    </w:p>
    <w:p w:rsidR="00B34B1F" w:rsidP="00B34B1F" w:rsidRDefault="00B34B1F" w14:paraId="5A29EAA9" w14:textId="77777777">
      <w:pPr>
        <w:spacing w:line="276" w:lineRule="auto"/>
        <w:contextualSpacing/>
        <w:rPr>
          <w:szCs w:val="18"/>
        </w:rPr>
      </w:pPr>
    </w:p>
    <w:p w:rsidR="00B34B1F" w:rsidP="00B34B1F" w:rsidRDefault="00B34B1F" w14:paraId="151C2D83" w14:textId="77777777">
      <w:pPr>
        <w:spacing w:line="276" w:lineRule="auto"/>
        <w:contextualSpacing/>
        <w:rPr>
          <w:szCs w:val="18"/>
        </w:rPr>
      </w:pPr>
    </w:p>
    <w:p w:rsidR="00B34B1F" w:rsidP="00B34B1F" w:rsidRDefault="00B34B1F" w14:paraId="750AC571" w14:textId="77777777">
      <w:pPr>
        <w:spacing w:line="276" w:lineRule="auto"/>
        <w:contextualSpacing/>
        <w:rPr>
          <w:szCs w:val="18"/>
        </w:rPr>
      </w:pPr>
    </w:p>
    <w:p w:rsidR="00B34B1F" w:rsidP="00B34B1F" w:rsidRDefault="00B34B1F" w14:paraId="39456B80" w14:textId="77777777">
      <w:pPr>
        <w:spacing w:line="276" w:lineRule="auto"/>
        <w:contextualSpacing/>
        <w:rPr>
          <w:szCs w:val="18"/>
        </w:rPr>
      </w:pPr>
    </w:p>
    <w:p w:rsidR="00B34B1F" w:rsidP="00B34B1F" w:rsidRDefault="00B34B1F" w14:paraId="3739D342" w14:textId="77777777">
      <w:pPr>
        <w:spacing w:line="276" w:lineRule="auto"/>
        <w:contextualSpacing/>
        <w:rPr>
          <w:szCs w:val="18"/>
        </w:rPr>
      </w:pPr>
    </w:p>
    <w:p w:rsidR="00B34B1F" w:rsidP="00B34B1F" w:rsidRDefault="00B34B1F" w14:paraId="406A68F0" w14:textId="77777777">
      <w:pPr>
        <w:spacing w:line="276" w:lineRule="auto"/>
        <w:contextualSpacing/>
        <w:rPr>
          <w:szCs w:val="18"/>
        </w:rPr>
      </w:pPr>
      <w:r>
        <w:rPr>
          <w:szCs w:val="18"/>
        </w:rPr>
        <w:t>Jo-Annes de Bat</w:t>
      </w:r>
    </w:p>
    <w:p w:rsidR="00B34B1F" w:rsidP="00B34B1F" w:rsidRDefault="00B34B1F" w14:paraId="4D48907C" w14:textId="77777777">
      <w:pPr>
        <w:spacing w:line="276" w:lineRule="auto"/>
        <w:contextualSpacing/>
        <w:rPr>
          <w:szCs w:val="18"/>
        </w:rPr>
      </w:pPr>
      <w:r>
        <w:rPr>
          <w:szCs w:val="18"/>
        </w:rPr>
        <w:t>Staatssecretaris van Klimaat en Groene Groei</w:t>
      </w:r>
    </w:p>
    <w:p w:rsidR="00B34B1F" w:rsidP="00B34B1F" w:rsidRDefault="00B34B1F" w14:paraId="73DBC1F5" w14:textId="77777777">
      <w:pPr>
        <w:spacing w:line="276" w:lineRule="auto"/>
        <w:contextualSpacing/>
        <w:rPr>
          <w:szCs w:val="18"/>
        </w:rPr>
      </w:pPr>
    </w:p>
    <w:p w:rsidR="00B34B1F" w:rsidP="00B34B1F" w:rsidRDefault="00B34B1F" w14:paraId="50ACB6D5" w14:textId="77777777">
      <w:pPr>
        <w:spacing w:line="276" w:lineRule="auto"/>
        <w:contextualSpacing/>
        <w:rPr>
          <w:szCs w:val="18"/>
        </w:rPr>
      </w:pPr>
    </w:p>
    <w:p w:rsidR="00B34B1F" w:rsidP="00B34B1F" w:rsidRDefault="00B34B1F" w14:paraId="0CEEF9B3" w14:textId="77777777">
      <w:pPr>
        <w:spacing w:line="276" w:lineRule="auto"/>
        <w:contextualSpacing/>
        <w:rPr>
          <w:szCs w:val="18"/>
        </w:rPr>
      </w:pPr>
    </w:p>
    <w:p w:rsidR="00B34B1F" w:rsidP="00B34B1F" w:rsidRDefault="00B34B1F" w14:paraId="46EE0638" w14:textId="77777777">
      <w:pPr>
        <w:spacing w:line="276" w:lineRule="auto"/>
        <w:contextualSpacing/>
        <w:rPr>
          <w:szCs w:val="18"/>
        </w:rPr>
      </w:pPr>
      <w:r>
        <w:rPr>
          <w:szCs w:val="18"/>
        </w:rPr>
        <w:t>Annet Bertram</w:t>
      </w:r>
    </w:p>
    <w:p w:rsidRPr="005461DA" w:rsidR="00B34B1F" w:rsidP="00B34B1F" w:rsidRDefault="00B34B1F" w14:paraId="3471630B" w14:textId="77777777">
      <w:pPr>
        <w:spacing w:line="276" w:lineRule="auto"/>
        <w:contextualSpacing/>
        <w:rPr>
          <w:szCs w:val="18"/>
        </w:rPr>
      </w:pPr>
      <w:r>
        <w:rPr>
          <w:szCs w:val="18"/>
        </w:rPr>
        <w:t>Staatssecretaris van Infrastructuur en Waterstaat</w:t>
      </w:r>
    </w:p>
    <w:p w:rsidR="00BD2D73" w:rsidP="00A731DF" w:rsidRDefault="00BD2D73" w14:paraId="38DA46DA" w14:textId="1D325E02"/>
    <w:sectPr w:rsidR="00BD2D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52A3B" w14:textId="77777777" w:rsidR="00610E77" w:rsidRDefault="00610E77">
      <w:r>
        <w:separator/>
      </w:r>
    </w:p>
    <w:p w14:paraId="75B1CACF" w14:textId="77777777" w:rsidR="00610E77" w:rsidRDefault="00610E77"/>
  </w:endnote>
  <w:endnote w:type="continuationSeparator" w:id="0">
    <w:p w14:paraId="61D9E006" w14:textId="77777777" w:rsidR="00610E77" w:rsidRDefault="00610E77">
      <w:r>
        <w:continuationSeparator/>
      </w:r>
    </w:p>
    <w:p w14:paraId="7E743E36" w14:textId="77777777" w:rsidR="00610E77" w:rsidRDefault="00610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1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F0E62" w14:paraId="7CC2EF09" w14:textId="77777777" w:rsidTr="00CA6A25">
      <w:trPr>
        <w:trHeight w:hRule="exact" w:val="240"/>
      </w:trPr>
      <w:tc>
        <w:tcPr>
          <w:tcW w:w="7601" w:type="dxa"/>
        </w:tcPr>
        <w:p w14:paraId="12C3A154" w14:textId="77777777" w:rsidR="00527BD4" w:rsidRDefault="00527BD4" w:rsidP="003F1F6B">
          <w:pPr>
            <w:pStyle w:val="Huisstijl-Rubricering"/>
          </w:pPr>
        </w:p>
      </w:tc>
      <w:tc>
        <w:tcPr>
          <w:tcW w:w="2156" w:type="dxa"/>
        </w:tcPr>
        <w:p w14:paraId="7610C783" w14:textId="352E9A4C" w:rsidR="00527BD4" w:rsidRPr="00645414" w:rsidRDefault="003D6CB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F227C3">
            <w:t>9</w:t>
          </w:r>
          <w:r w:rsidR="004425CC">
            <w:fldChar w:fldCharType="end"/>
          </w:r>
        </w:p>
      </w:tc>
    </w:tr>
  </w:tbl>
  <w:p w14:paraId="5D59359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F0E62" w14:paraId="23F70E7D" w14:textId="77777777" w:rsidTr="00CA6A25">
      <w:trPr>
        <w:trHeight w:hRule="exact" w:val="240"/>
      </w:trPr>
      <w:tc>
        <w:tcPr>
          <w:tcW w:w="7601" w:type="dxa"/>
        </w:tcPr>
        <w:p w14:paraId="64227556" w14:textId="77777777" w:rsidR="00527BD4" w:rsidRDefault="00527BD4" w:rsidP="008C356D">
          <w:pPr>
            <w:pStyle w:val="Huisstijl-Rubricering"/>
          </w:pPr>
        </w:p>
      </w:tc>
      <w:tc>
        <w:tcPr>
          <w:tcW w:w="2170" w:type="dxa"/>
        </w:tcPr>
        <w:p w14:paraId="18FC5935" w14:textId="3B475F83" w:rsidR="00527BD4" w:rsidRPr="00ED539E" w:rsidRDefault="003D6CB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F227C3">
            <w:t>9</w:t>
          </w:r>
          <w:r w:rsidR="006A013B">
            <w:fldChar w:fldCharType="end"/>
          </w:r>
        </w:p>
      </w:tc>
    </w:tr>
  </w:tbl>
  <w:p w14:paraId="57F388C8" w14:textId="77777777" w:rsidR="00527BD4" w:rsidRPr="00BC3B53" w:rsidRDefault="00527BD4" w:rsidP="008C356D">
    <w:pPr>
      <w:pStyle w:val="Voettekst"/>
      <w:spacing w:line="240" w:lineRule="auto"/>
      <w:rPr>
        <w:sz w:val="2"/>
        <w:szCs w:val="2"/>
      </w:rPr>
    </w:pPr>
  </w:p>
  <w:p w14:paraId="34D3436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BF4B3" w14:textId="77777777" w:rsidR="00610E77" w:rsidRDefault="00610E77">
      <w:r>
        <w:separator/>
      </w:r>
    </w:p>
    <w:p w14:paraId="1F673046" w14:textId="77777777" w:rsidR="00610E77" w:rsidRDefault="00610E77"/>
  </w:footnote>
  <w:footnote w:type="continuationSeparator" w:id="0">
    <w:p w14:paraId="0EA302BE" w14:textId="77777777" w:rsidR="00610E77" w:rsidRDefault="00610E77">
      <w:r>
        <w:continuationSeparator/>
      </w:r>
    </w:p>
    <w:p w14:paraId="1EACF7BC" w14:textId="77777777" w:rsidR="00610E77" w:rsidRDefault="00610E77"/>
  </w:footnote>
  <w:footnote w:id="1">
    <w:p w14:paraId="7CF16885" w14:textId="77777777" w:rsidR="00B34B1F" w:rsidRDefault="00B34B1F" w:rsidP="00B34B1F">
      <w:pPr>
        <w:pStyle w:val="Voetnoottekst"/>
      </w:pPr>
      <w:r>
        <w:rPr>
          <w:rStyle w:val="Voetnootmarkering"/>
        </w:rPr>
        <w:footnoteRef/>
      </w:r>
      <w:r>
        <w:t xml:space="preserve"> </w:t>
      </w:r>
      <w:r w:rsidRPr="5C599A75">
        <w:t>2026Z04965/2026D13988.</w:t>
      </w:r>
    </w:p>
  </w:footnote>
  <w:footnote w:id="2">
    <w:p w14:paraId="5443BA1D" w14:textId="77777777" w:rsidR="00B34B1F" w:rsidRDefault="00B34B1F" w:rsidP="00B34B1F">
      <w:pPr>
        <w:pStyle w:val="Voetnoottekst"/>
      </w:pPr>
      <w:r>
        <w:rPr>
          <w:rStyle w:val="Voetnootmarkering"/>
        </w:rPr>
        <w:footnoteRef/>
      </w:r>
      <w:r>
        <w:t xml:space="preserve"> </w:t>
      </w:r>
      <w:r w:rsidRPr="0074731B">
        <w:rPr>
          <w:rFonts w:eastAsia="Verdana" w:cs="Verdana"/>
          <w:sz w:val="14"/>
          <w:szCs w:val="14"/>
        </w:rPr>
        <w:t>Kamerstuk 28089, nr. 346</w:t>
      </w:r>
    </w:p>
  </w:footnote>
  <w:footnote w:id="3">
    <w:p w14:paraId="4547D7DB" w14:textId="77777777" w:rsidR="00B34B1F" w:rsidRDefault="00B34B1F" w:rsidP="00B34B1F">
      <w:pPr>
        <w:pStyle w:val="Voetnoottekst"/>
      </w:pPr>
      <w:r>
        <w:rPr>
          <w:rStyle w:val="Voetnootmarkering"/>
        </w:rPr>
        <w:footnoteRef/>
      </w:r>
      <w:r>
        <w:t xml:space="preserve"> Bijlage bij Kamerstuk </w:t>
      </w:r>
      <w:r w:rsidRPr="00700E19">
        <w:t>Nummer:32813-1369</w:t>
      </w:r>
    </w:p>
  </w:footnote>
  <w:footnote w:id="4">
    <w:p w14:paraId="7030C6EB" w14:textId="77777777" w:rsidR="00B34B1F" w:rsidRDefault="00B34B1F" w:rsidP="00B34B1F">
      <w:pPr>
        <w:pStyle w:val="Voetnoottekst"/>
      </w:pPr>
      <w:r w:rsidRPr="6F209B96">
        <w:rPr>
          <w:rStyle w:val="Voetnootmarkering"/>
        </w:rPr>
        <w:footnoteRef/>
      </w:r>
      <w:r>
        <w:t xml:space="preserve"> Motie van het lid Gabriëls c.s, Kamerstuk 28089, nr. 286, 4 april 2024.</w:t>
      </w:r>
    </w:p>
  </w:footnote>
  <w:footnote w:id="5">
    <w:p w14:paraId="1A4C27D3" w14:textId="77777777" w:rsidR="00B34B1F" w:rsidRDefault="00B34B1F" w:rsidP="00B34B1F">
      <w:pPr>
        <w:pStyle w:val="Voetnoottekst"/>
      </w:pPr>
      <w:r>
        <w:rPr>
          <w:rStyle w:val="Voetnootmarkering"/>
        </w:rPr>
        <w:footnoteRef/>
      </w:r>
      <w:r>
        <w:t xml:space="preserve"> </w:t>
      </w:r>
      <w:r w:rsidRPr="00904C89">
        <w:t>Kamerstuk 29826, nr. 266.</w:t>
      </w:r>
    </w:p>
  </w:footnote>
  <w:footnote w:id="6">
    <w:p w14:paraId="76A08644" w14:textId="77777777" w:rsidR="00B34B1F" w:rsidRDefault="00B34B1F" w:rsidP="00B34B1F">
      <w:pPr>
        <w:pStyle w:val="Voetnoottekst"/>
      </w:pPr>
      <w:r>
        <w:rPr>
          <w:rStyle w:val="Voetnootmarkering"/>
        </w:rPr>
        <w:footnoteRef/>
      </w:r>
      <w:r>
        <w:t xml:space="preserve"> Ref. </w:t>
      </w:r>
      <w:r w:rsidRPr="5C599A75">
        <w:t>2026Z04965/2026D13988.</w:t>
      </w:r>
    </w:p>
  </w:footnote>
  <w:footnote w:id="7">
    <w:p w14:paraId="074BDCE3" w14:textId="77777777" w:rsidR="00B34B1F" w:rsidRPr="00783AC2" w:rsidRDefault="00B34B1F" w:rsidP="00B34B1F">
      <w:pPr>
        <w:pStyle w:val="Voetnoottekst"/>
      </w:pPr>
      <w:r>
        <w:rPr>
          <w:rStyle w:val="Voetnootmarkering"/>
        </w:rPr>
        <w:footnoteRef/>
      </w:r>
      <w:r w:rsidRPr="00783AC2">
        <w:t xml:space="preserve"> Joint L</w:t>
      </w:r>
      <w:r w:rsidRPr="00C317C5">
        <w:t>etter of Intent, artikel 11 lid 6 en</w:t>
      </w:r>
      <w:r>
        <w:t xml:space="preserve"> lid </w:t>
      </w:r>
      <w:r w:rsidRPr="00C317C5">
        <w:t>12</w:t>
      </w:r>
      <w:r>
        <w:t xml:space="preserve"> onder </w:t>
      </w:r>
      <w:r w:rsidRPr="00C317C5">
        <w:t>d</w:t>
      </w:r>
    </w:p>
  </w:footnote>
  <w:footnote w:id="8">
    <w:p w14:paraId="04659F73" w14:textId="77777777" w:rsidR="00B34B1F" w:rsidRPr="00313ABE" w:rsidRDefault="00B34B1F" w:rsidP="00B34B1F">
      <w:pPr>
        <w:pStyle w:val="Voetnoottekst"/>
        <w:rPr>
          <w:szCs w:val="13"/>
        </w:rPr>
      </w:pPr>
      <w:r w:rsidRPr="00117C1F">
        <w:rPr>
          <w:rStyle w:val="Voetnootmarkering"/>
          <w:szCs w:val="13"/>
        </w:rPr>
        <w:footnoteRef/>
      </w:r>
      <w:r w:rsidRPr="00313ABE">
        <w:rPr>
          <w:szCs w:val="13"/>
        </w:rPr>
        <w:t xml:space="preserve"> Ref. 2026Z04965/2026D13988.</w:t>
      </w:r>
    </w:p>
  </w:footnote>
  <w:footnote w:id="9">
    <w:p w14:paraId="49A2ADFB" w14:textId="77777777" w:rsidR="00B34B1F" w:rsidRPr="00117C1F" w:rsidRDefault="00B34B1F" w:rsidP="00B34B1F">
      <w:pPr>
        <w:pStyle w:val="Voetnoottekst"/>
      </w:pPr>
      <w:r w:rsidRPr="0923DCD0">
        <w:rPr>
          <w:rStyle w:val="Voetnootmarkering"/>
        </w:rPr>
        <w:footnoteRef/>
      </w:r>
      <w:r w:rsidRPr="0607E764">
        <w:t xml:space="preserve"> Motie Erkens en Boucke Kamerstuk II 32813</w:t>
      </w:r>
      <w:r w:rsidRPr="5AC508BB">
        <w:t xml:space="preserve">, nr. </w:t>
      </w:r>
      <w:r w:rsidRPr="6EBDB55B">
        <w:t>950</w:t>
      </w:r>
    </w:p>
  </w:footnote>
  <w:footnote w:id="10">
    <w:p w14:paraId="00F960A9" w14:textId="77777777" w:rsidR="00B34B1F" w:rsidRPr="00117C1F" w:rsidRDefault="00B34B1F" w:rsidP="00B34B1F">
      <w:pPr>
        <w:pStyle w:val="Voetnoottekst"/>
      </w:pPr>
      <w:r w:rsidRPr="1A68F3C4">
        <w:rPr>
          <w:rStyle w:val="Voetnootmarkering"/>
        </w:rPr>
        <w:footnoteRef/>
      </w:r>
      <w:r w:rsidRPr="1A68F3C4">
        <w:t xml:space="preserve"> </w:t>
      </w:r>
      <w:hyperlink r:id="rId1">
        <w:r w:rsidRPr="1A68F3C4">
          <w:rPr>
            <w:rStyle w:val="Hyperlink"/>
          </w:rPr>
          <w:t>Brief aan PS over start procedure projectbesluit Heracless-Groen Staal.pdf</w:t>
        </w:r>
      </w:hyperlink>
    </w:p>
  </w:footnote>
  <w:footnote w:id="11">
    <w:p w14:paraId="79FDEB23" w14:textId="77777777" w:rsidR="00B34B1F" w:rsidRDefault="00B34B1F" w:rsidP="00B34B1F">
      <w:pPr>
        <w:pStyle w:val="Voetnoottekst"/>
        <w:rPr>
          <w:color w:val="132439"/>
        </w:rPr>
      </w:pPr>
      <w:r w:rsidRPr="00117C1F">
        <w:rPr>
          <w:rStyle w:val="Voetnootmarkering"/>
          <w:szCs w:val="13"/>
        </w:rPr>
        <w:footnoteRef/>
      </w:r>
      <w:r w:rsidRPr="00117C1F">
        <w:rPr>
          <w:szCs w:val="13"/>
        </w:rPr>
        <w:t xml:space="preserve"> Kamerstuk </w:t>
      </w:r>
      <w:r w:rsidRPr="00117C1F">
        <w:rPr>
          <w:color w:val="132439"/>
          <w:szCs w:val="13"/>
        </w:rPr>
        <w:t>29826, nr. 266.</w:t>
      </w:r>
    </w:p>
  </w:footnote>
  <w:footnote w:id="12">
    <w:p w14:paraId="1D32A351" w14:textId="77777777" w:rsidR="00B34B1F" w:rsidRDefault="00B34B1F" w:rsidP="00B34B1F">
      <w:pPr>
        <w:pStyle w:val="Voetnoottekst"/>
      </w:pPr>
      <w:r w:rsidRPr="4CE02421">
        <w:rPr>
          <w:rStyle w:val="Voetnootmarkering"/>
        </w:rPr>
        <w:footnoteRef/>
      </w:r>
      <w:r>
        <w:t xml:space="preserve"> Kamerstuk 28089, nr. 342.</w:t>
      </w:r>
    </w:p>
  </w:footnote>
  <w:footnote w:id="13">
    <w:p w14:paraId="3AB01459" w14:textId="77777777" w:rsidR="00B34B1F" w:rsidRPr="00AB6580" w:rsidRDefault="00B34B1F" w:rsidP="00B34B1F">
      <w:pPr>
        <w:pStyle w:val="Voetnoottekst"/>
        <w:rPr>
          <w:szCs w:val="13"/>
        </w:rPr>
      </w:pPr>
      <w:r w:rsidRPr="00AB6580">
        <w:rPr>
          <w:rStyle w:val="Voetnootmarkering"/>
          <w:szCs w:val="13"/>
        </w:rPr>
        <w:footnoteRef/>
      </w:r>
      <w:r w:rsidRPr="00AB6580">
        <w:rPr>
          <w:szCs w:val="13"/>
        </w:rPr>
        <w:t xml:space="preserve"> </w:t>
      </w:r>
      <w:r w:rsidRPr="00AB6580">
        <w:rPr>
          <w:rFonts w:eastAsia="Verdana" w:cs="Verdana"/>
          <w:szCs w:val="13"/>
        </w:rPr>
        <w:t>Kamerstukken II 2023-2024 29826 nr. 209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F0E62" w14:paraId="3909255B" w14:textId="77777777" w:rsidTr="00A50CF6">
      <w:tc>
        <w:tcPr>
          <w:tcW w:w="2156" w:type="dxa"/>
        </w:tcPr>
        <w:p w14:paraId="0D48B309" w14:textId="6B32C0CE" w:rsidR="00527BD4" w:rsidRPr="005819CE" w:rsidRDefault="003D6CB0" w:rsidP="00A50CF6">
          <w:pPr>
            <w:pStyle w:val="Huisstijl-Adres"/>
            <w:rPr>
              <w:b/>
            </w:rPr>
          </w:pPr>
          <w:r>
            <w:rPr>
              <w:b/>
            </w:rPr>
            <w:t>Directoraat-generaal Realisatie Groene Groei</w:t>
          </w:r>
          <w:r w:rsidRPr="005819CE">
            <w:rPr>
              <w:b/>
            </w:rPr>
            <w:br/>
          </w:r>
        </w:p>
      </w:tc>
    </w:tr>
    <w:tr w:rsidR="005F0E62" w14:paraId="02AD4526" w14:textId="77777777" w:rsidTr="00A50CF6">
      <w:trPr>
        <w:trHeight w:hRule="exact" w:val="200"/>
      </w:trPr>
      <w:tc>
        <w:tcPr>
          <w:tcW w:w="2156" w:type="dxa"/>
        </w:tcPr>
        <w:p w14:paraId="2EEAD9AB" w14:textId="77777777" w:rsidR="00527BD4" w:rsidRPr="005819CE" w:rsidRDefault="00527BD4" w:rsidP="00A50CF6"/>
      </w:tc>
    </w:tr>
    <w:tr w:rsidR="005F0E62" w14:paraId="137B027F" w14:textId="77777777" w:rsidTr="00502512">
      <w:trPr>
        <w:trHeight w:hRule="exact" w:val="774"/>
      </w:trPr>
      <w:tc>
        <w:tcPr>
          <w:tcW w:w="2156" w:type="dxa"/>
        </w:tcPr>
        <w:p w14:paraId="4C4275FB" w14:textId="74094FD6" w:rsidR="00527BD4" w:rsidRDefault="003D6CB0" w:rsidP="003A5290">
          <w:pPr>
            <w:pStyle w:val="Huisstijl-Kopje"/>
          </w:pPr>
          <w:r>
            <w:t>Ons kenmerk</w:t>
          </w:r>
        </w:p>
        <w:p w14:paraId="35F502D9" w14:textId="473D925A" w:rsidR="00527BD4" w:rsidRPr="005819CE" w:rsidRDefault="003D6CB0" w:rsidP="004425CC">
          <w:pPr>
            <w:pStyle w:val="Huisstijl-Kopje"/>
          </w:pPr>
          <w:r>
            <w:rPr>
              <w:b w:val="0"/>
            </w:rPr>
            <w:t>KGG_DGRGG</w:t>
          </w:r>
          <w:r w:rsidRPr="00502512">
            <w:rPr>
              <w:b w:val="0"/>
            </w:rPr>
            <w:t xml:space="preserve"> / </w:t>
          </w:r>
          <w:r>
            <w:rPr>
              <w:b w:val="0"/>
            </w:rPr>
            <w:t>105559533</w:t>
          </w:r>
        </w:p>
      </w:tc>
    </w:tr>
  </w:tbl>
  <w:p w14:paraId="711B766F" w14:textId="77777777" w:rsidR="00527BD4" w:rsidRDefault="00527BD4" w:rsidP="008C356D">
    <w:pPr>
      <w:pStyle w:val="Koptekst"/>
      <w:rPr>
        <w:rFonts w:cs="Verdana-Bold"/>
        <w:b/>
        <w:bCs/>
        <w:smallCaps/>
        <w:szCs w:val="18"/>
      </w:rPr>
    </w:pPr>
  </w:p>
  <w:p w14:paraId="459B7849" w14:textId="77777777" w:rsidR="00527BD4" w:rsidRDefault="00527BD4" w:rsidP="008C356D"/>
  <w:p w14:paraId="78625B03" w14:textId="77777777" w:rsidR="00527BD4" w:rsidRPr="00740712" w:rsidRDefault="00527BD4" w:rsidP="008C356D"/>
  <w:p w14:paraId="704A81C4" w14:textId="77777777" w:rsidR="00527BD4" w:rsidRPr="00217880" w:rsidRDefault="00527BD4" w:rsidP="008C356D">
    <w:pPr>
      <w:spacing w:line="0" w:lineRule="atLeast"/>
      <w:rPr>
        <w:sz w:val="2"/>
        <w:szCs w:val="2"/>
      </w:rPr>
    </w:pPr>
  </w:p>
  <w:p w14:paraId="756129D2" w14:textId="77777777" w:rsidR="00527BD4" w:rsidRDefault="00527BD4" w:rsidP="004F44C2">
    <w:pPr>
      <w:pStyle w:val="Koptekst"/>
      <w:rPr>
        <w:rFonts w:cs="Verdana-Bold"/>
        <w:b/>
        <w:bCs/>
        <w:smallCaps/>
        <w:szCs w:val="18"/>
      </w:rPr>
    </w:pPr>
  </w:p>
  <w:p w14:paraId="2B8E539A" w14:textId="77777777" w:rsidR="00527BD4" w:rsidRDefault="00527BD4" w:rsidP="004F44C2"/>
  <w:p w14:paraId="0E2A0D98" w14:textId="77777777" w:rsidR="00527BD4" w:rsidRPr="00740712" w:rsidRDefault="00527BD4" w:rsidP="004F44C2"/>
  <w:p w14:paraId="7E58411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F0E62" w14:paraId="06993FB5" w14:textId="77777777" w:rsidTr="00751A6A">
      <w:trPr>
        <w:trHeight w:val="2636"/>
      </w:trPr>
      <w:tc>
        <w:tcPr>
          <w:tcW w:w="737" w:type="dxa"/>
        </w:tcPr>
        <w:p w14:paraId="0F86236A" w14:textId="77777777" w:rsidR="00527BD4" w:rsidRDefault="00527BD4" w:rsidP="00D0609E">
          <w:pPr>
            <w:framePr w:w="6340" w:h="2750" w:hRule="exact" w:hSpace="180" w:wrap="around" w:vAnchor="page" w:hAnchor="text" w:x="3873" w:y="-140"/>
            <w:spacing w:line="240" w:lineRule="auto"/>
          </w:pPr>
        </w:p>
      </w:tc>
      <w:tc>
        <w:tcPr>
          <w:tcW w:w="5156" w:type="dxa"/>
        </w:tcPr>
        <w:p w14:paraId="7219BAF8" w14:textId="4718916B" w:rsidR="00527BD4" w:rsidRDefault="003D6CB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EEDE19A" wp14:editId="56F49AC0">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8094498" w14:textId="7A0826A3" w:rsidR="007269E3" w:rsidRDefault="007269E3" w:rsidP="00651CEE">
          <w:pPr>
            <w:framePr w:w="6340" w:h="2750" w:hRule="exact" w:hSpace="180" w:wrap="around" w:vAnchor="page" w:hAnchor="text" w:x="3873" w:y="-140"/>
            <w:spacing w:line="240" w:lineRule="auto"/>
          </w:pPr>
        </w:p>
      </w:tc>
    </w:tr>
  </w:tbl>
  <w:p w14:paraId="402DB6FB" w14:textId="77777777" w:rsidR="00527BD4" w:rsidRDefault="00527BD4" w:rsidP="00D0609E">
    <w:pPr>
      <w:framePr w:w="6340" w:h="2750" w:hRule="exact" w:hSpace="180" w:wrap="around" w:vAnchor="page" w:hAnchor="text" w:x="3873" w:y="-140"/>
    </w:pPr>
  </w:p>
  <w:p w14:paraId="34D185D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F0E62" w14:paraId="13D0458E" w14:textId="77777777" w:rsidTr="00A50CF6">
      <w:tc>
        <w:tcPr>
          <w:tcW w:w="2160" w:type="dxa"/>
        </w:tcPr>
        <w:p w14:paraId="6507531A" w14:textId="6A9F29DD" w:rsidR="00527BD4" w:rsidRPr="005819CE" w:rsidRDefault="003D6CB0" w:rsidP="00A50CF6">
          <w:pPr>
            <w:pStyle w:val="Huisstijl-Adres"/>
            <w:rPr>
              <w:b/>
            </w:rPr>
          </w:pPr>
          <w:r>
            <w:rPr>
              <w:b/>
            </w:rPr>
            <w:t>Directoraat-generaal Realisatie Groene Groei</w:t>
          </w:r>
          <w:r w:rsidRPr="005819CE">
            <w:rPr>
              <w:b/>
            </w:rPr>
            <w:br/>
          </w:r>
        </w:p>
        <w:p w14:paraId="650C04C7" w14:textId="4B70FE94" w:rsidR="00527BD4" w:rsidRPr="00BE5ED9" w:rsidRDefault="003D6CB0" w:rsidP="00A50CF6">
          <w:pPr>
            <w:pStyle w:val="Huisstijl-Adres"/>
          </w:pPr>
          <w:r>
            <w:rPr>
              <w:b/>
            </w:rPr>
            <w:t>Bezoekadres</w:t>
          </w:r>
          <w:r>
            <w:rPr>
              <w:b/>
            </w:rPr>
            <w:br/>
          </w:r>
          <w:r>
            <w:t>Bezuidenhoutseweg 73</w:t>
          </w:r>
          <w:r w:rsidRPr="005819CE">
            <w:br/>
          </w:r>
          <w:r>
            <w:t>2594 AC Den Haag</w:t>
          </w:r>
        </w:p>
        <w:p w14:paraId="6F7E7F67" w14:textId="77777777" w:rsidR="00EF495B" w:rsidRDefault="003D6CB0" w:rsidP="0098788A">
          <w:pPr>
            <w:pStyle w:val="Huisstijl-Adres"/>
          </w:pPr>
          <w:r>
            <w:rPr>
              <w:b/>
            </w:rPr>
            <w:t>Postadres</w:t>
          </w:r>
          <w:r>
            <w:rPr>
              <w:b/>
            </w:rPr>
            <w:br/>
          </w:r>
          <w:r>
            <w:t>Postbus 20401</w:t>
          </w:r>
          <w:r w:rsidRPr="005819CE">
            <w:br/>
            <w:t>2500 E</w:t>
          </w:r>
          <w:r>
            <w:t>K</w:t>
          </w:r>
          <w:r w:rsidRPr="005819CE">
            <w:t xml:space="preserve"> Den Haag</w:t>
          </w:r>
        </w:p>
        <w:p w14:paraId="62EA7818" w14:textId="77777777" w:rsidR="00EF495B" w:rsidRPr="005B3814" w:rsidRDefault="003D6CB0" w:rsidP="0098788A">
          <w:pPr>
            <w:pStyle w:val="Huisstijl-Adres"/>
          </w:pPr>
          <w:r>
            <w:rPr>
              <w:b/>
            </w:rPr>
            <w:t>Overheidsidentificatienr</w:t>
          </w:r>
          <w:r>
            <w:rPr>
              <w:b/>
            </w:rPr>
            <w:br/>
          </w:r>
          <w:r w:rsidRPr="005B3814">
            <w:t>00000001003214369000</w:t>
          </w:r>
        </w:p>
        <w:p w14:paraId="04999AB2" w14:textId="2EDB5B21" w:rsidR="00527BD4" w:rsidRPr="00A731DF" w:rsidRDefault="003D6CB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5F0E62" w14:paraId="4FB02182" w14:textId="77777777" w:rsidTr="00A731DF">
      <w:trPr>
        <w:trHeight w:hRule="exact" w:val="80"/>
      </w:trPr>
      <w:tc>
        <w:tcPr>
          <w:tcW w:w="2160" w:type="dxa"/>
        </w:tcPr>
        <w:p w14:paraId="3809167A" w14:textId="77777777" w:rsidR="00527BD4" w:rsidRPr="005819CE" w:rsidRDefault="00527BD4" w:rsidP="00A50CF6"/>
      </w:tc>
    </w:tr>
    <w:tr w:rsidR="005F0E62" w14:paraId="30880088" w14:textId="77777777" w:rsidTr="00A50CF6">
      <w:tc>
        <w:tcPr>
          <w:tcW w:w="2160" w:type="dxa"/>
        </w:tcPr>
        <w:p w14:paraId="3302543D" w14:textId="280A8A97" w:rsidR="000C0163" w:rsidRPr="005819CE" w:rsidRDefault="003D6CB0" w:rsidP="000C0163">
          <w:pPr>
            <w:pStyle w:val="Huisstijl-Kopje"/>
          </w:pPr>
          <w:r>
            <w:t>Ons kenmerk</w:t>
          </w:r>
          <w:r w:rsidRPr="005819CE">
            <w:t xml:space="preserve"> </w:t>
          </w:r>
        </w:p>
        <w:p w14:paraId="7B668418" w14:textId="58C8F953" w:rsidR="000C0163" w:rsidRPr="005819CE" w:rsidRDefault="003D6CB0" w:rsidP="000C0163">
          <w:pPr>
            <w:pStyle w:val="Huisstijl-Gegeven"/>
          </w:pPr>
          <w:r>
            <w:t>KGG_DGRGG</w:t>
          </w:r>
          <w:r w:rsidR="00926AE2">
            <w:t xml:space="preserve"> / </w:t>
          </w:r>
          <w:r>
            <w:t>105559533</w:t>
          </w:r>
        </w:p>
        <w:p w14:paraId="7376D2F5" w14:textId="6AF09329" w:rsidR="00527BD4" w:rsidRPr="005819CE" w:rsidRDefault="00527BD4" w:rsidP="00A731DF">
          <w:pPr>
            <w:pStyle w:val="Huisstijl-Kopje"/>
          </w:pPr>
        </w:p>
      </w:tc>
    </w:tr>
  </w:tbl>
  <w:p w14:paraId="6C89413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F0E62" w14:paraId="4353ABBE" w14:textId="77777777" w:rsidTr="007610AA">
      <w:trPr>
        <w:trHeight w:val="400"/>
      </w:trPr>
      <w:tc>
        <w:tcPr>
          <w:tcW w:w="7520" w:type="dxa"/>
          <w:gridSpan w:val="2"/>
        </w:tcPr>
        <w:p w14:paraId="6898A736" w14:textId="357A6A73" w:rsidR="00527BD4" w:rsidRPr="00BC3B53" w:rsidRDefault="003D6CB0" w:rsidP="00A50CF6">
          <w:pPr>
            <w:pStyle w:val="Huisstijl-Retouradres"/>
          </w:pPr>
          <w:r>
            <w:t>&gt; Retouradres Postbus 20401 2500 EK Den Haag</w:t>
          </w:r>
        </w:p>
      </w:tc>
    </w:tr>
    <w:tr w:rsidR="005F0E62" w14:paraId="5164276F" w14:textId="77777777" w:rsidTr="007610AA">
      <w:tc>
        <w:tcPr>
          <w:tcW w:w="7520" w:type="dxa"/>
          <w:gridSpan w:val="2"/>
        </w:tcPr>
        <w:p w14:paraId="7BF06BCA" w14:textId="4CCA9204" w:rsidR="00527BD4" w:rsidRPr="00983E8F" w:rsidRDefault="00527BD4" w:rsidP="00A50CF6">
          <w:pPr>
            <w:pStyle w:val="Huisstijl-Rubricering"/>
          </w:pPr>
        </w:p>
      </w:tc>
    </w:tr>
    <w:tr w:rsidR="005F0E62" w14:paraId="44D89C5D" w14:textId="77777777" w:rsidTr="007610AA">
      <w:trPr>
        <w:trHeight w:hRule="exact" w:val="2440"/>
      </w:trPr>
      <w:tc>
        <w:tcPr>
          <w:tcW w:w="7520" w:type="dxa"/>
          <w:gridSpan w:val="2"/>
        </w:tcPr>
        <w:p w14:paraId="0A499B54" w14:textId="647EA419" w:rsidR="00527BD4" w:rsidRDefault="003D6CB0" w:rsidP="00A50CF6">
          <w:pPr>
            <w:pStyle w:val="Huisstijl-NAW"/>
          </w:pPr>
          <w:r>
            <w:t xml:space="preserve">Voorzitter van de Tweede Kamer </w:t>
          </w:r>
        </w:p>
        <w:p w14:paraId="3086814A" w14:textId="77777777" w:rsidR="005F0E62" w:rsidRDefault="003D6CB0">
          <w:pPr>
            <w:pStyle w:val="Huisstijl-NAW"/>
          </w:pPr>
          <w:r>
            <w:t>der Staten-Generaal</w:t>
          </w:r>
        </w:p>
        <w:p w14:paraId="331AD2D1" w14:textId="77777777" w:rsidR="005F0E62" w:rsidRDefault="003D6CB0">
          <w:pPr>
            <w:pStyle w:val="Huisstijl-NAW"/>
          </w:pPr>
          <w:r>
            <w:t>Prinses Irenestraat 6</w:t>
          </w:r>
        </w:p>
        <w:p w14:paraId="27167B16" w14:textId="369E3BFB" w:rsidR="005F0E62" w:rsidRDefault="003D6CB0">
          <w:pPr>
            <w:pStyle w:val="Huisstijl-NAW"/>
          </w:pPr>
          <w:r>
            <w:t>2595 BD</w:t>
          </w:r>
          <w:r w:rsidR="00A731DF">
            <w:t xml:space="preserve"> </w:t>
          </w:r>
          <w:r>
            <w:t xml:space="preserve"> DEN HAAG</w:t>
          </w:r>
        </w:p>
      </w:tc>
    </w:tr>
    <w:tr w:rsidR="005F0E62" w14:paraId="4ABACF62" w14:textId="77777777" w:rsidTr="007610AA">
      <w:trPr>
        <w:trHeight w:hRule="exact" w:val="400"/>
      </w:trPr>
      <w:tc>
        <w:tcPr>
          <w:tcW w:w="7520" w:type="dxa"/>
          <w:gridSpan w:val="2"/>
        </w:tcPr>
        <w:p w14:paraId="44F374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F0E62" w14:paraId="5ED9E2F1" w14:textId="77777777" w:rsidTr="007610AA">
      <w:trPr>
        <w:trHeight w:val="240"/>
      </w:trPr>
      <w:tc>
        <w:tcPr>
          <w:tcW w:w="900" w:type="dxa"/>
        </w:tcPr>
        <w:p w14:paraId="7BB2C1AF" w14:textId="19136ECE" w:rsidR="00527BD4" w:rsidRPr="007709EF" w:rsidRDefault="003D6CB0" w:rsidP="00A50CF6">
          <w:pPr>
            <w:rPr>
              <w:szCs w:val="18"/>
            </w:rPr>
          </w:pPr>
          <w:r>
            <w:rPr>
              <w:szCs w:val="18"/>
            </w:rPr>
            <w:t>Datum</w:t>
          </w:r>
        </w:p>
      </w:tc>
      <w:tc>
        <w:tcPr>
          <w:tcW w:w="6620" w:type="dxa"/>
        </w:tcPr>
        <w:p w14:paraId="13BD43AC" w14:textId="6E189C8A" w:rsidR="00527BD4" w:rsidRPr="007709EF" w:rsidRDefault="000C1BF1" w:rsidP="00A50CF6">
          <w:r>
            <w:t>2 april 2026</w:t>
          </w:r>
        </w:p>
      </w:tc>
    </w:tr>
    <w:tr w:rsidR="005F0E62" w14:paraId="35FBB112" w14:textId="77777777" w:rsidTr="007610AA">
      <w:trPr>
        <w:trHeight w:val="240"/>
      </w:trPr>
      <w:tc>
        <w:tcPr>
          <w:tcW w:w="900" w:type="dxa"/>
        </w:tcPr>
        <w:p w14:paraId="67E42000" w14:textId="4F0B4453" w:rsidR="00527BD4" w:rsidRPr="007709EF" w:rsidRDefault="003D6CB0" w:rsidP="00A50CF6">
          <w:pPr>
            <w:rPr>
              <w:szCs w:val="18"/>
            </w:rPr>
          </w:pPr>
          <w:r>
            <w:rPr>
              <w:szCs w:val="18"/>
            </w:rPr>
            <w:t>Betreft</w:t>
          </w:r>
        </w:p>
      </w:tc>
      <w:tc>
        <w:tcPr>
          <w:tcW w:w="6620" w:type="dxa"/>
        </w:tcPr>
        <w:p w14:paraId="35AC81C8" w14:textId="2D4E32C7" w:rsidR="00527BD4" w:rsidRPr="007709EF" w:rsidRDefault="003D6CB0" w:rsidP="00A50CF6">
          <w:r>
            <w:t>Voortgangsbrief maatwerkafspraak Tata Steel</w:t>
          </w:r>
        </w:p>
      </w:tc>
    </w:tr>
  </w:tbl>
  <w:p w14:paraId="13C4CA19" w14:textId="77777777" w:rsidR="00527BD4" w:rsidRPr="00BC4AE3" w:rsidRDefault="00527BD4" w:rsidP="00A731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22CD960">
      <w:start w:val="1"/>
      <w:numFmt w:val="bullet"/>
      <w:pStyle w:val="Lijstopsomteken"/>
      <w:lvlText w:val="•"/>
      <w:lvlJc w:val="left"/>
      <w:pPr>
        <w:tabs>
          <w:tab w:val="num" w:pos="227"/>
        </w:tabs>
        <w:ind w:left="227" w:hanging="227"/>
      </w:pPr>
      <w:rPr>
        <w:rFonts w:ascii="Verdana" w:hAnsi="Verdana" w:hint="default"/>
        <w:sz w:val="18"/>
        <w:szCs w:val="18"/>
      </w:rPr>
    </w:lvl>
    <w:lvl w:ilvl="1" w:tplc="B9FEFE68" w:tentative="1">
      <w:start w:val="1"/>
      <w:numFmt w:val="bullet"/>
      <w:lvlText w:val="o"/>
      <w:lvlJc w:val="left"/>
      <w:pPr>
        <w:tabs>
          <w:tab w:val="num" w:pos="1440"/>
        </w:tabs>
        <w:ind w:left="1440" w:hanging="360"/>
      </w:pPr>
      <w:rPr>
        <w:rFonts w:ascii="Courier New" w:hAnsi="Courier New" w:cs="Courier New" w:hint="default"/>
      </w:rPr>
    </w:lvl>
    <w:lvl w:ilvl="2" w:tplc="838041AE" w:tentative="1">
      <w:start w:val="1"/>
      <w:numFmt w:val="bullet"/>
      <w:lvlText w:val=""/>
      <w:lvlJc w:val="left"/>
      <w:pPr>
        <w:tabs>
          <w:tab w:val="num" w:pos="2160"/>
        </w:tabs>
        <w:ind w:left="2160" w:hanging="360"/>
      </w:pPr>
      <w:rPr>
        <w:rFonts w:ascii="Wingdings" w:hAnsi="Wingdings" w:hint="default"/>
      </w:rPr>
    </w:lvl>
    <w:lvl w:ilvl="3" w:tplc="20BA0BA6" w:tentative="1">
      <w:start w:val="1"/>
      <w:numFmt w:val="bullet"/>
      <w:lvlText w:val=""/>
      <w:lvlJc w:val="left"/>
      <w:pPr>
        <w:tabs>
          <w:tab w:val="num" w:pos="2880"/>
        </w:tabs>
        <w:ind w:left="2880" w:hanging="360"/>
      </w:pPr>
      <w:rPr>
        <w:rFonts w:ascii="Symbol" w:hAnsi="Symbol" w:hint="default"/>
      </w:rPr>
    </w:lvl>
    <w:lvl w:ilvl="4" w:tplc="64F0CDA2" w:tentative="1">
      <w:start w:val="1"/>
      <w:numFmt w:val="bullet"/>
      <w:lvlText w:val="o"/>
      <w:lvlJc w:val="left"/>
      <w:pPr>
        <w:tabs>
          <w:tab w:val="num" w:pos="3600"/>
        </w:tabs>
        <w:ind w:left="3600" w:hanging="360"/>
      </w:pPr>
      <w:rPr>
        <w:rFonts w:ascii="Courier New" w:hAnsi="Courier New" w:cs="Courier New" w:hint="default"/>
      </w:rPr>
    </w:lvl>
    <w:lvl w:ilvl="5" w:tplc="739EEC72" w:tentative="1">
      <w:start w:val="1"/>
      <w:numFmt w:val="bullet"/>
      <w:lvlText w:val=""/>
      <w:lvlJc w:val="left"/>
      <w:pPr>
        <w:tabs>
          <w:tab w:val="num" w:pos="4320"/>
        </w:tabs>
        <w:ind w:left="4320" w:hanging="360"/>
      </w:pPr>
      <w:rPr>
        <w:rFonts w:ascii="Wingdings" w:hAnsi="Wingdings" w:hint="default"/>
      </w:rPr>
    </w:lvl>
    <w:lvl w:ilvl="6" w:tplc="83C47484" w:tentative="1">
      <w:start w:val="1"/>
      <w:numFmt w:val="bullet"/>
      <w:lvlText w:val=""/>
      <w:lvlJc w:val="left"/>
      <w:pPr>
        <w:tabs>
          <w:tab w:val="num" w:pos="5040"/>
        </w:tabs>
        <w:ind w:left="5040" w:hanging="360"/>
      </w:pPr>
      <w:rPr>
        <w:rFonts w:ascii="Symbol" w:hAnsi="Symbol" w:hint="default"/>
      </w:rPr>
    </w:lvl>
    <w:lvl w:ilvl="7" w:tplc="52AE6B18" w:tentative="1">
      <w:start w:val="1"/>
      <w:numFmt w:val="bullet"/>
      <w:lvlText w:val="o"/>
      <w:lvlJc w:val="left"/>
      <w:pPr>
        <w:tabs>
          <w:tab w:val="num" w:pos="5760"/>
        </w:tabs>
        <w:ind w:left="5760" w:hanging="360"/>
      </w:pPr>
      <w:rPr>
        <w:rFonts w:ascii="Courier New" w:hAnsi="Courier New" w:cs="Courier New" w:hint="default"/>
      </w:rPr>
    </w:lvl>
    <w:lvl w:ilvl="8" w:tplc="E116862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AECFA08">
      <w:start w:val="1"/>
      <w:numFmt w:val="bullet"/>
      <w:pStyle w:val="Lijstopsomteken2"/>
      <w:lvlText w:val="–"/>
      <w:lvlJc w:val="left"/>
      <w:pPr>
        <w:tabs>
          <w:tab w:val="num" w:pos="227"/>
        </w:tabs>
        <w:ind w:left="227" w:firstLine="0"/>
      </w:pPr>
      <w:rPr>
        <w:rFonts w:ascii="Verdana" w:hAnsi="Verdana" w:hint="default"/>
      </w:rPr>
    </w:lvl>
    <w:lvl w:ilvl="1" w:tplc="A306BBBC" w:tentative="1">
      <w:start w:val="1"/>
      <w:numFmt w:val="bullet"/>
      <w:lvlText w:val="o"/>
      <w:lvlJc w:val="left"/>
      <w:pPr>
        <w:tabs>
          <w:tab w:val="num" w:pos="1440"/>
        </w:tabs>
        <w:ind w:left="1440" w:hanging="360"/>
      </w:pPr>
      <w:rPr>
        <w:rFonts w:ascii="Courier New" w:hAnsi="Courier New" w:cs="Courier New" w:hint="default"/>
      </w:rPr>
    </w:lvl>
    <w:lvl w:ilvl="2" w:tplc="A6AE01B8" w:tentative="1">
      <w:start w:val="1"/>
      <w:numFmt w:val="bullet"/>
      <w:lvlText w:val=""/>
      <w:lvlJc w:val="left"/>
      <w:pPr>
        <w:tabs>
          <w:tab w:val="num" w:pos="2160"/>
        </w:tabs>
        <w:ind w:left="2160" w:hanging="360"/>
      </w:pPr>
      <w:rPr>
        <w:rFonts w:ascii="Wingdings" w:hAnsi="Wingdings" w:hint="default"/>
      </w:rPr>
    </w:lvl>
    <w:lvl w:ilvl="3" w:tplc="2FDEA752" w:tentative="1">
      <w:start w:val="1"/>
      <w:numFmt w:val="bullet"/>
      <w:lvlText w:val=""/>
      <w:lvlJc w:val="left"/>
      <w:pPr>
        <w:tabs>
          <w:tab w:val="num" w:pos="2880"/>
        </w:tabs>
        <w:ind w:left="2880" w:hanging="360"/>
      </w:pPr>
      <w:rPr>
        <w:rFonts w:ascii="Symbol" w:hAnsi="Symbol" w:hint="default"/>
      </w:rPr>
    </w:lvl>
    <w:lvl w:ilvl="4" w:tplc="A95A81AE" w:tentative="1">
      <w:start w:val="1"/>
      <w:numFmt w:val="bullet"/>
      <w:lvlText w:val="o"/>
      <w:lvlJc w:val="left"/>
      <w:pPr>
        <w:tabs>
          <w:tab w:val="num" w:pos="3600"/>
        </w:tabs>
        <w:ind w:left="3600" w:hanging="360"/>
      </w:pPr>
      <w:rPr>
        <w:rFonts w:ascii="Courier New" w:hAnsi="Courier New" w:cs="Courier New" w:hint="default"/>
      </w:rPr>
    </w:lvl>
    <w:lvl w:ilvl="5" w:tplc="84D44AF4" w:tentative="1">
      <w:start w:val="1"/>
      <w:numFmt w:val="bullet"/>
      <w:lvlText w:val=""/>
      <w:lvlJc w:val="left"/>
      <w:pPr>
        <w:tabs>
          <w:tab w:val="num" w:pos="4320"/>
        </w:tabs>
        <w:ind w:left="4320" w:hanging="360"/>
      </w:pPr>
      <w:rPr>
        <w:rFonts w:ascii="Wingdings" w:hAnsi="Wingdings" w:hint="default"/>
      </w:rPr>
    </w:lvl>
    <w:lvl w:ilvl="6" w:tplc="DEDE7C72" w:tentative="1">
      <w:start w:val="1"/>
      <w:numFmt w:val="bullet"/>
      <w:lvlText w:val=""/>
      <w:lvlJc w:val="left"/>
      <w:pPr>
        <w:tabs>
          <w:tab w:val="num" w:pos="5040"/>
        </w:tabs>
        <w:ind w:left="5040" w:hanging="360"/>
      </w:pPr>
      <w:rPr>
        <w:rFonts w:ascii="Symbol" w:hAnsi="Symbol" w:hint="default"/>
      </w:rPr>
    </w:lvl>
    <w:lvl w:ilvl="7" w:tplc="9912B7B0" w:tentative="1">
      <w:start w:val="1"/>
      <w:numFmt w:val="bullet"/>
      <w:lvlText w:val="o"/>
      <w:lvlJc w:val="left"/>
      <w:pPr>
        <w:tabs>
          <w:tab w:val="num" w:pos="5760"/>
        </w:tabs>
        <w:ind w:left="5760" w:hanging="360"/>
      </w:pPr>
      <w:rPr>
        <w:rFonts w:ascii="Courier New" w:hAnsi="Courier New" w:cs="Courier New" w:hint="default"/>
      </w:rPr>
    </w:lvl>
    <w:lvl w:ilvl="8" w:tplc="5C3E31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DC29DF"/>
    <w:multiLevelType w:val="hybridMultilevel"/>
    <w:tmpl w:val="4232ED7C"/>
    <w:lvl w:ilvl="0" w:tplc="31249842">
      <w:start w:val="1"/>
      <w:numFmt w:val="bullet"/>
      <w:lvlText w:val="-"/>
      <w:lvlJc w:val="left"/>
      <w:pPr>
        <w:ind w:left="720" w:hanging="360"/>
      </w:pPr>
      <w:rPr>
        <w:rFonts w:ascii="Aptos" w:hAnsi="Aptos" w:hint="default"/>
      </w:rPr>
    </w:lvl>
    <w:lvl w:ilvl="1" w:tplc="9CB8CDD2">
      <w:start w:val="1"/>
      <w:numFmt w:val="bullet"/>
      <w:lvlText w:val="o"/>
      <w:lvlJc w:val="left"/>
      <w:pPr>
        <w:ind w:left="1440" w:hanging="360"/>
      </w:pPr>
      <w:rPr>
        <w:rFonts w:ascii="Courier New" w:hAnsi="Courier New" w:hint="default"/>
      </w:rPr>
    </w:lvl>
    <w:lvl w:ilvl="2" w:tplc="7A30E5D6">
      <w:start w:val="1"/>
      <w:numFmt w:val="bullet"/>
      <w:lvlText w:val=""/>
      <w:lvlJc w:val="left"/>
      <w:pPr>
        <w:ind w:left="2160" w:hanging="360"/>
      </w:pPr>
      <w:rPr>
        <w:rFonts w:ascii="Wingdings" w:hAnsi="Wingdings" w:hint="default"/>
      </w:rPr>
    </w:lvl>
    <w:lvl w:ilvl="3" w:tplc="0A1060A2">
      <w:start w:val="1"/>
      <w:numFmt w:val="bullet"/>
      <w:lvlText w:val=""/>
      <w:lvlJc w:val="left"/>
      <w:pPr>
        <w:ind w:left="2880" w:hanging="360"/>
      </w:pPr>
      <w:rPr>
        <w:rFonts w:ascii="Symbol" w:hAnsi="Symbol" w:hint="default"/>
      </w:rPr>
    </w:lvl>
    <w:lvl w:ilvl="4" w:tplc="B5AAD420">
      <w:start w:val="1"/>
      <w:numFmt w:val="bullet"/>
      <w:lvlText w:val="o"/>
      <w:lvlJc w:val="left"/>
      <w:pPr>
        <w:ind w:left="3600" w:hanging="360"/>
      </w:pPr>
      <w:rPr>
        <w:rFonts w:ascii="Courier New" w:hAnsi="Courier New" w:hint="default"/>
      </w:rPr>
    </w:lvl>
    <w:lvl w:ilvl="5" w:tplc="6B9A5520">
      <w:start w:val="1"/>
      <w:numFmt w:val="bullet"/>
      <w:lvlText w:val=""/>
      <w:lvlJc w:val="left"/>
      <w:pPr>
        <w:ind w:left="4320" w:hanging="360"/>
      </w:pPr>
      <w:rPr>
        <w:rFonts w:ascii="Wingdings" w:hAnsi="Wingdings" w:hint="default"/>
      </w:rPr>
    </w:lvl>
    <w:lvl w:ilvl="6" w:tplc="30C66866">
      <w:start w:val="1"/>
      <w:numFmt w:val="bullet"/>
      <w:lvlText w:val=""/>
      <w:lvlJc w:val="left"/>
      <w:pPr>
        <w:ind w:left="5040" w:hanging="360"/>
      </w:pPr>
      <w:rPr>
        <w:rFonts w:ascii="Symbol" w:hAnsi="Symbol" w:hint="default"/>
      </w:rPr>
    </w:lvl>
    <w:lvl w:ilvl="7" w:tplc="70B0B1BC">
      <w:start w:val="1"/>
      <w:numFmt w:val="bullet"/>
      <w:lvlText w:val="o"/>
      <w:lvlJc w:val="left"/>
      <w:pPr>
        <w:ind w:left="5760" w:hanging="360"/>
      </w:pPr>
      <w:rPr>
        <w:rFonts w:ascii="Courier New" w:hAnsi="Courier New" w:hint="default"/>
      </w:rPr>
    </w:lvl>
    <w:lvl w:ilvl="8" w:tplc="2FD204C8">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3550EA"/>
    <w:multiLevelType w:val="hybridMultilevel"/>
    <w:tmpl w:val="FFFFFFFF"/>
    <w:lvl w:ilvl="0" w:tplc="BDAA95A2">
      <w:start w:val="1"/>
      <w:numFmt w:val="decimal"/>
      <w:lvlText w:val="%1."/>
      <w:lvlJc w:val="left"/>
      <w:pPr>
        <w:ind w:left="360" w:hanging="360"/>
      </w:pPr>
    </w:lvl>
    <w:lvl w:ilvl="1" w:tplc="D85263D8">
      <w:start w:val="1"/>
      <w:numFmt w:val="lowerLetter"/>
      <w:lvlText w:val="%2."/>
      <w:lvlJc w:val="left"/>
      <w:pPr>
        <w:ind w:left="1080" w:hanging="360"/>
      </w:pPr>
    </w:lvl>
    <w:lvl w:ilvl="2" w:tplc="DA128778">
      <w:start w:val="1"/>
      <w:numFmt w:val="lowerRoman"/>
      <w:lvlText w:val="%3."/>
      <w:lvlJc w:val="right"/>
      <w:pPr>
        <w:ind w:left="1800" w:hanging="180"/>
      </w:pPr>
    </w:lvl>
    <w:lvl w:ilvl="3" w:tplc="7EF4E3AA">
      <w:start w:val="1"/>
      <w:numFmt w:val="decimal"/>
      <w:lvlText w:val="%4."/>
      <w:lvlJc w:val="left"/>
      <w:pPr>
        <w:ind w:left="2520" w:hanging="360"/>
      </w:pPr>
    </w:lvl>
    <w:lvl w:ilvl="4" w:tplc="9940C186">
      <w:start w:val="1"/>
      <w:numFmt w:val="lowerLetter"/>
      <w:lvlText w:val="%5."/>
      <w:lvlJc w:val="left"/>
      <w:pPr>
        <w:ind w:left="3240" w:hanging="360"/>
      </w:pPr>
    </w:lvl>
    <w:lvl w:ilvl="5" w:tplc="C3BCBD4A">
      <w:start w:val="1"/>
      <w:numFmt w:val="lowerRoman"/>
      <w:lvlText w:val="%6."/>
      <w:lvlJc w:val="right"/>
      <w:pPr>
        <w:ind w:left="3960" w:hanging="180"/>
      </w:pPr>
    </w:lvl>
    <w:lvl w:ilvl="6" w:tplc="6D5A7F8E">
      <w:start w:val="1"/>
      <w:numFmt w:val="decimal"/>
      <w:lvlText w:val="%7."/>
      <w:lvlJc w:val="left"/>
      <w:pPr>
        <w:ind w:left="4680" w:hanging="360"/>
      </w:pPr>
    </w:lvl>
    <w:lvl w:ilvl="7" w:tplc="CE066EDC">
      <w:start w:val="1"/>
      <w:numFmt w:val="lowerLetter"/>
      <w:lvlText w:val="%8."/>
      <w:lvlJc w:val="left"/>
      <w:pPr>
        <w:ind w:left="5400" w:hanging="360"/>
      </w:pPr>
    </w:lvl>
    <w:lvl w:ilvl="8" w:tplc="82BAB06A">
      <w:start w:val="1"/>
      <w:numFmt w:val="lowerRoman"/>
      <w:lvlText w:val="%9."/>
      <w:lvlJc w:val="right"/>
      <w:pPr>
        <w:ind w:left="6120" w:hanging="180"/>
      </w:pPr>
    </w:lvl>
  </w:abstractNum>
  <w:num w:numId="1" w16cid:durableId="2134907042">
    <w:abstractNumId w:val="10"/>
  </w:num>
  <w:num w:numId="2" w16cid:durableId="1341660114">
    <w:abstractNumId w:val="7"/>
  </w:num>
  <w:num w:numId="3" w16cid:durableId="228417577">
    <w:abstractNumId w:val="6"/>
  </w:num>
  <w:num w:numId="4" w16cid:durableId="1043288969">
    <w:abstractNumId w:val="5"/>
  </w:num>
  <w:num w:numId="5" w16cid:durableId="1720739733">
    <w:abstractNumId w:val="4"/>
  </w:num>
  <w:num w:numId="6" w16cid:durableId="1607619820">
    <w:abstractNumId w:val="8"/>
  </w:num>
  <w:num w:numId="7" w16cid:durableId="1253860541">
    <w:abstractNumId w:val="3"/>
  </w:num>
  <w:num w:numId="8" w16cid:durableId="96828506">
    <w:abstractNumId w:val="2"/>
  </w:num>
  <w:num w:numId="9" w16cid:durableId="1678270361">
    <w:abstractNumId w:val="1"/>
  </w:num>
  <w:num w:numId="10" w16cid:durableId="608123118">
    <w:abstractNumId w:val="0"/>
  </w:num>
  <w:num w:numId="11" w16cid:durableId="1470902273">
    <w:abstractNumId w:val="9"/>
  </w:num>
  <w:num w:numId="12" w16cid:durableId="2131315503">
    <w:abstractNumId w:val="11"/>
  </w:num>
  <w:num w:numId="13" w16cid:durableId="608972190">
    <w:abstractNumId w:val="14"/>
  </w:num>
  <w:num w:numId="14" w16cid:durableId="2094011352">
    <w:abstractNumId w:val="12"/>
  </w:num>
  <w:num w:numId="15" w16cid:durableId="1788115271">
    <w:abstractNumId w:val="13"/>
  </w:num>
  <w:num w:numId="16" w16cid:durableId="41643856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151"/>
    <w:rsid w:val="000049FB"/>
    <w:rsid w:val="00005536"/>
    <w:rsid w:val="00007311"/>
    <w:rsid w:val="00007512"/>
    <w:rsid w:val="00007E28"/>
    <w:rsid w:val="00010A74"/>
    <w:rsid w:val="00013862"/>
    <w:rsid w:val="00013F6D"/>
    <w:rsid w:val="000146F0"/>
    <w:rsid w:val="00016012"/>
    <w:rsid w:val="000175A9"/>
    <w:rsid w:val="00020189"/>
    <w:rsid w:val="00020EE4"/>
    <w:rsid w:val="00021D55"/>
    <w:rsid w:val="00022305"/>
    <w:rsid w:val="000239A9"/>
    <w:rsid w:val="00023B96"/>
    <w:rsid w:val="00023E9A"/>
    <w:rsid w:val="000241AE"/>
    <w:rsid w:val="00024286"/>
    <w:rsid w:val="000263F3"/>
    <w:rsid w:val="00026942"/>
    <w:rsid w:val="00027A6A"/>
    <w:rsid w:val="0003065D"/>
    <w:rsid w:val="00030879"/>
    <w:rsid w:val="00030B58"/>
    <w:rsid w:val="00031C7B"/>
    <w:rsid w:val="00033CDD"/>
    <w:rsid w:val="00034A84"/>
    <w:rsid w:val="00035E67"/>
    <w:rsid w:val="00036151"/>
    <w:rsid w:val="000366F3"/>
    <w:rsid w:val="00043CB9"/>
    <w:rsid w:val="00043CF9"/>
    <w:rsid w:val="00050970"/>
    <w:rsid w:val="00052E42"/>
    <w:rsid w:val="0005503D"/>
    <w:rsid w:val="00056F6F"/>
    <w:rsid w:val="0005722D"/>
    <w:rsid w:val="0006024D"/>
    <w:rsid w:val="000623EB"/>
    <w:rsid w:val="000639A7"/>
    <w:rsid w:val="00071F28"/>
    <w:rsid w:val="0007240F"/>
    <w:rsid w:val="00074079"/>
    <w:rsid w:val="000752CD"/>
    <w:rsid w:val="00075310"/>
    <w:rsid w:val="0007743F"/>
    <w:rsid w:val="00080135"/>
    <w:rsid w:val="0008123A"/>
    <w:rsid w:val="00082D10"/>
    <w:rsid w:val="00092799"/>
    <w:rsid w:val="00092C5F"/>
    <w:rsid w:val="00095164"/>
    <w:rsid w:val="00096680"/>
    <w:rsid w:val="000A0F36"/>
    <w:rsid w:val="000A174A"/>
    <w:rsid w:val="000A246A"/>
    <w:rsid w:val="000A2990"/>
    <w:rsid w:val="000A3E0A"/>
    <w:rsid w:val="000A422B"/>
    <w:rsid w:val="000A455C"/>
    <w:rsid w:val="000A48CF"/>
    <w:rsid w:val="000A65AC"/>
    <w:rsid w:val="000A6F7A"/>
    <w:rsid w:val="000A7159"/>
    <w:rsid w:val="000A78EE"/>
    <w:rsid w:val="000B3570"/>
    <w:rsid w:val="000B5E9F"/>
    <w:rsid w:val="000B7281"/>
    <w:rsid w:val="000B7FAB"/>
    <w:rsid w:val="000C0163"/>
    <w:rsid w:val="000C0378"/>
    <w:rsid w:val="000C1BA1"/>
    <w:rsid w:val="000C1BF1"/>
    <w:rsid w:val="000C3EA9"/>
    <w:rsid w:val="000C62C3"/>
    <w:rsid w:val="000D0225"/>
    <w:rsid w:val="000D2F40"/>
    <w:rsid w:val="000D73FF"/>
    <w:rsid w:val="000D7DFD"/>
    <w:rsid w:val="000E01F8"/>
    <w:rsid w:val="000E1051"/>
    <w:rsid w:val="000E3B98"/>
    <w:rsid w:val="000E5844"/>
    <w:rsid w:val="000E7895"/>
    <w:rsid w:val="000E78EF"/>
    <w:rsid w:val="000F0194"/>
    <w:rsid w:val="000F161D"/>
    <w:rsid w:val="000F2465"/>
    <w:rsid w:val="000F3CAA"/>
    <w:rsid w:val="001000F2"/>
    <w:rsid w:val="00101CBD"/>
    <w:rsid w:val="00101CE6"/>
    <w:rsid w:val="00102ABB"/>
    <w:rsid w:val="00104CDC"/>
    <w:rsid w:val="00106348"/>
    <w:rsid w:val="001065E5"/>
    <w:rsid w:val="001115DD"/>
    <w:rsid w:val="00112C69"/>
    <w:rsid w:val="00114017"/>
    <w:rsid w:val="00116266"/>
    <w:rsid w:val="00117C1F"/>
    <w:rsid w:val="00121B99"/>
    <w:rsid w:val="00121BE7"/>
    <w:rsid w:val="00121BF0"/>
    <w:rsid w:val="001225AE"/>
    <w:rsid w:val="00123704"/>
    <w:rsid w:val="00124934"/>
    <w:rsid w:val="00125EF1"/>
    <w:rsid w:val="001265BE"/>
    <w:rsid w:val="001270C7"/>
    <w:rsid w:val="00130144"/>
    <w:rsid w:val="001306B9"/>
    <w:rsid w:val="00130B47"/>
    <w:rsid w:val="00132540"/>
    <w:rsid w:val="00133F0F"/>
    <w:rsid w:val="00134046"/>
    <w:rsid w:val="001373E7"/>
    <w:rsid w:val="00140295"/>
    <w:rsid w:val="001410F1"/>
    <w:rsid w:val="00141EF5"/>
    <w:rsid w:val="0014382C"/>
    <w:rsid w:val="0014462A"/>
    <w:rsid w:val="0014734C"/>
    <w:rsid w:val="0014786A"/>
    <w:rsid w:val="001516A4"/>
    <w:rsid w:val="00151E5F"/>
    <w:rsid w:val="00153E28"/>
    <w:rsid w:val="001569AB"/>
    <w:rsid w:val="00157916"/>
    <w:rsid w:val="001639D3"/>
    <w:rsid w:val="00164D63"/>
    <w:rsid w:val="0016541E"/>
    <w:rsid w:val="00166B41"/>
    <w:rsid w:val="0016725C"/>
    <w:rsid w:val="00167E00"/>
    <w:rsid w:val="001726F3"/>
    <w:rsid w:val="00172D70"/>
    <w:rsid w:val="00173C51"/>
    <w:rsid w:val="00174CC2"/>
    <w:rsid w:val="00176C05"/>
    <w:rsid w:val="00176CC6"/>
    <w:rsid w:val="00181BE4"/>
    <w:rsid w:val="00181ECA"/>
    <w:rsid w:val="00185576"/>
    <w:rsid w:val="00185951"/>
    <w:rsid w:val="0018732C"/>
    <w:rsid w:val="00187E88"/>
    <w:rsid w:val="00192A1E"/>
    <w:rsid w:val="00194182"/>
    <w:rsid w:val="00195A24"/>
    <w:rsid w:val="00196B8B"/>
    <w:rsid w:val="001A223F"/>
    <w:rsid w:val="001A2BEA"/>
    <w:rsid w:val="001A39D2"/>
    <w:rsid w:val="001A47E9"/>
    <w:rsid w:val="001A555D"/>
    <w:rsid w:val="001A6D93"/>
    <w:rsid w:val="001B0565"/>
    <w:rsid w:val="001B3542"/>
    <w:rsid w:val="001B60BF"/>
    <w:rsid w:val="001B798C"/>
    <w:rsid w:val="001C054C"/>
    <w:rsid w:val="001C071E"/>
    <w:rsid w:val="001C15FD"/>
    <w:rsid w:val="001C1609"/>
    <w:rsid w:val="001C1FCE"/>
    <w:rsid w:val="001C2CD4"/>
    <w:rsid w:val="001C32EC"/>
    <w:rsid w:val="001C38BD"/>
    <w:rsid w:val="001C4D5A"/>
    <w:rsid w:val="001C554E"/>
    <w:rsid w:val="001C6CBD"/>
    <w:rsid w:val="001D1272"/>
    <w:rsid w:val="001D152C"/>
    <w:rsid w:val="001D4B7A"/>
    <w:rsid w:val="001D644E"/>
    <w:rsid w:val="001D672E"/>
    <w:rsid w:val="001E1936"/>
    <w:rsid w:val="001E34C6"/>
    <w:rsid w:val="001E37E7"/>
    <w:rsid w:val="001E5581"/>
    <w:rsid w:val="001E5C0F"/>
    <w:rsid w:val="001E5C63"/>
    <w:rsid w:val="001E74EA"/>
    <w:rsid w:val="001E75F3"/>
    <w:rsid w:val="001F280B"/>
    <w:rsid w:val="001F2FCB"/>
    <w:rsid w:val="001F3C70"/>
    <w:rsid w:val="001F4A6D"/>
    <w:rsid w:val="001F7E93"/>
    <w:rsid w:val="001F7EF0"/>
    <w:rsid w:val="00200D88"/>
    <w:rsid w:val="00200E77"/>
    <w:rsid w:val="00201F68"/>
    <w:rsid w:val="00203FBA"/>
    <w:rsid w:val="002044DC"/>
    <w:rsid w:val="0020563B"/>
    <w:rsid w:val="00212F2A"/>
    <w:rsid w:val="00213444"/>
    <w:rsid w:val="00213FA1"/>
    <w:rsid w:val="00214F2B"/>
    <w:rsid w:val="002157B5"/>
    <w:rsid w:val="002162CA"/>
    <w:rsid w:val="00217880"/>
    <w:rsid w:val="00221FBF"/>
    <w:rsid w:val="00222D66"/>
    <w:rsid w:val="00224A8A"/>
    <w:rsid w:val="002309A8"/>
    <w:rsid w:val="00232919"/>
    <w:rsid w:val="00234A68"/>
    <w:rsid w:val="002369BF"/>
    <w:rsid w:val="00236CFE"/>
    <w:rsid w:val="00237E7B"/>
    <w:rsid w:val="00241D72"/>
    <w:rsid w:val="002428E3"/>
    <w:rsid w:val="00243031"/>
    <w:rsid w:val="002452E6"/>
    <w:rsid w:val="00245DB7"/>
    <w:rsid w:val="00246666"/>
    <w:rsid w:val="00250A6D"/>
    <w:rsid w:val="0025359E"/>
    <w:rsid w:val="002577BC"/>
    <w:rsid w:val="00257C3D"/>
    <w:rsid w:val="002609BF"/>
    <w:rsid w:val="00260BAF"/>
    <w:rsid w:val="00261388"/>
    <w:rsid w:val="002650F7"/>
    <w:rsid w:val="00265E49"/>
    <w:rsid w:val="00270375"/>
    <w:rsid w:val="00270BAF"/>
    <w:rsid w:val="00271ED2"/>
    <w:rsid w:val="00273F3B"/>
    <w:rsid w:val="002744C1"/>
    <w:rsid w:val="00274DB7"/>
    <w:rsid w:val="00275984"/>
    <w:rsid w:val="00277197"/>
    <w:rsid w:val="0027767B"/>
    <w:rsid w:val="002804FB"/>
    <w:rsid w:val="00280F74"/>
    <w:rsid w:val="00281DFD"/>
    <w:rsid w:val="002822CA"/>
    <w:rsid w:val="00282961"/>
    <w:rsid w:val="0028386D"/>
    <w:rsid w:val="00283A10"/>
    <w:rsid w:val="002841E6"/>
    <w:rsid w:val="00286998"/>
    <w:rsid w:val="00291AB7"/>
    <w:rsid w:val="00292EB2"/>
    <w:rsid w:val="0029422B"/>
    <w:rsid w:val="002947AB"/>
    <w:rsid w:val="00294DD1"/>
    <w:rsid w:val="0029535E"/>
    <w:rsid w:val="0029614B"/>
    <w:rsid w:val="002A0938"/>
    <w:rsid w:val="002A2C88"/>
    <w:rsid w:val="002A2CC7"/>
    <w:rsid w:val="002A59F9"/>
    <w:rsid w:val="002A6AB7"/>
    <w:rsid w:val="002B019F"/>
    <w:rsid w:val="002B0D44"/>
    <w:rsid w:val="002B153C"/>
    <w:rsid w:val="002B5054"/>
    <w:rsid w:val="002B52FC"/>
    <w:rsid w:val="002C0A98"/>
    <w:rsid w:val="002C105C"/>
    <w:rsid w:val="002C1105"/>
    <w:rsid w:val="002C2830"/>
    <w:rsid w:val="002C318E"/>
    <w:rsid w:val="002C36F7"/>
    <w:rsid w:val="002C5CFF"/>
    <w:rsid w:val="002C677F"/>
    <w:rsid w:val="002C7690"/>
    <w:rsid w:val="002C78A5"/>
    <w:rsid w:val="002D001A"/>
    <w:rsid w:val="002D28E2"/>
    <w:rsid w:val="002D317B"/>
    <w:rsid w:val="002D3587"/>
    <w:rsid w:val="002D502D"/>
    <w:rsid w:val="002D6454"/>
    <w:rsid w:val="002D79FC"/>
    <w:rsid w:val="002E0F69"/>
    <w:rsid w:val="002E10B1"/>
    <w:rsid w:val="002E13D5"/>
    <w:rsid w:val="002E6D23"/>
    <w:rsid w:val="002F4BF0"/>
    <w:rsid w:val="002F5147"/>
    <w:rsid w:val="002F5997"/>
    <w:rsid w:val="002F5F8C"/>
    <w:rsid w:val="002F64A1"/>
    <w:rsid w:val="002F748C"/>
    <w:rsid w:val="002F7A0C"/>
    <w:rsid w:val="002F7ABD"/>
    <w:rsid w:val="00300520"/>
    <w:rsid w:val="0030110F"/>
    <w:rsid w:val="00301DBD"/>
    <w:rsid w:val="003021EF"/>
    <w:rsid w:val="00306348"/>
    <w:rsid w:val="003079E5"/>
    <w:rsid w:val="00310560"/>
    <w:rsid w:val="0031071F"/>
    <w:rsid w:val="00312597"/>
    <w:rsid w:val="003126B8"/>
    <w:rsid w:val="00312A4C"/>
    <w:rsid w:val="00313878"/>
    <w:rsid w:val="00317296"/>
    <w:rsid w:val="00317563"/>
    <w:rsid w:val="0032208B"/>
    <w:rsid w:val="0032360B"/>
    <w:rsid w:val="003240C2"/>
    <w:rsid w:val="00326B5A"/>
    <w:rsid w:val="00327BA5"/>
    <w:rsid w:val="0033326F"/>
    <w:rsid w:val="00333949"/>
    <w:rsid w:val="00334154"/>
    <w:rsid w:val="003372C4"/>
    <w:rsid w:val="003372EB"/>
    <w:rsid w:val="00340ECA"/>
    <w:rsid w:val="0034190D"/>
    <w:rsid w:val="00341FA0"/>
    <w:rsid w:val="00344F3D"/>
    <w:rsid w:val="00345299"/>
    <w:rsid w:val="00347228"/>
    <w:rsid w:val="00350D8D"/>
    <w:rsid w:val="00351A8D"/>
    <w:rsid w:val="003526BB"/>
    <w:rsid w:val="00352BCF"/>
    <w:rsid w:val="00352DFB"/>
    <w:rsid w:val="00353932"/>
    <w:rsid w:val="00353B15"/>
    <w:rsid w:val="0035464B"/>
    <w:rsid w:val="00356421"/>
    <w:rsid w:val="003573DD"/>
    <w:rsid w:val="003578AF"/>
    <w:rsid w:val="00361A56"/>
    <w:rsid w:val="0036239B"/>
    <w:rsid w:val="0036252A"/>
    <w:rsid w:val="00364D9D"/>
    <w:rsid w:val="00371048"/>
    <w:rsid w:val="0037396C"/>
    <w:rsid w:val="0037421D"/>
    <w:rsid w:val="0037514A"/>
    <w:rsid w:val="00375E95"/>
    <w:rsid w:val="00376093"/>
    <w:rsid w:val="00376743"/>
    <w:rsid w:val="0037741B"/>
    <w:rsid w:val="003779BE"/>
    <w:rsid w:val="00377BEF"/>
    <w:rsid w:val="00382521"/>
    <w:rsid w:val="0038335E"/>
    <w:rsid w:val="003838EC"/>
    <w:rsid w:val="00383C5E"/>
    <w:rsid w:val="00383C7E"/>
    <w:rsid w:val="00383DA1"/>
    <w:rsid w:val="00384A25"/>
    <w:rsid w:val="003858D0"/>
    <w:rsid w:val="00385F30"/>
    <w:rsid w:val="003870B2"/>
    <w:rsid w:val="0038735E"/>
    <w:rsid w:val="003877B3"/>
    <w:rsid w:val="0039212E"/>
    <w:rsid w:val="00393696"/>
    <w:rsid w:val="00393963"/>
    <w:rsid w:val="00395575"/>
    <w:rsid w:val="00395672"/>
    <w:rsid w:val="00396A8F"/>
    <w:rsid w:val="003A00EE"/>
    <w:rsid w:val="003A06C8"/>
    <w:rsid w:val="003A0D7C"/>
    <w:rsid w:val="003A0E87"/>
    <w:rsid w:val="003A4C3D"/>
    <w:rsid w:val="003A5290"/>
    <w:rsid w:val="003B0155"/>
    <w:rsid w:val="003B17EA"/>
    <w:rsid w:val="003B2E0C"/>
    <w:rsid w:val="003B4A4E"/>
    <w:rsid w:val="003B7EE7"/>
    <w:rsid w:val="003C1F75"/>
    <w:rsid w:val="003C2CCB"/>
    <w:rsid w:val="003D0263"/>
    <w:rsid w:val="003D39EC"/>
    <w:rsid w:val="003D5DED"/>
    <w:rsid w:val="003D6CB0"/>
    <w:rsid w:val="003D761C"/>
    <w:rsid w:val="003E3DD5"/>
    <w:rsid w:val="003E62F9"/>
    <w:rsid w:val="003E67CD"/>
    <w:rsid w:val="003F07C6"/>
    <w:rsid w:val="003F1F6B"/>
    <w:rsid w:val="003F2B02"/>
    <w:rsid w:val="003F3757"/>
    <w:rsid w:val="003F38BD"/>
    <w:rsid w:val="003F44B7"/>
    <w:rsid w:val="003F5B4C"/>
    <w:rsid w:val="004008E9"/>
    <w:rsid w:val="00400D05"/>
    <w:rsid w:val="00400FE7"/>
    <w:rsid w:val="00402943"/>
    <w:rsid w:val="0040442F"/>
    <w:rsid w:val="0040451B"/>
    <w:rsid w:val="00404D70"/>
    <w:rsid w:val="00405842"/>
    <w:rsid w:val="00405EEB"/>
    <w:rsid w:val="00410357"/>
    <w:rsid w:val="004129C9"/>
    <w:rsid w:val="00413D48"/>
    <w:rsid w:val="00416068"/>
    <w:rsid w:val="004167F8"/>
    <w:rsid w:val="00416C27"/>
    <w:rsid w:val="00417284"/>
    <w:rsid w:val="00417CB3"/>
    <w:rsid w:val="00430263"/>
    <w:rsid w:val="0043039A"/>
    <w:rsid w:val="0043156D"/>
    <w:rsid w:val="00432904"/>
    <w:rsid w:val="00435C31"/>
    <w:rsid w:val="00440D30"/>
    <w:rsid w:val="004417E8"/>
    <w:rsid w:val="00441AC2"/>
    <w:rsid w:val="00441DA3"/>
    <w:rsid w:val="0044249B"/>
    <w:rsid w:val="004425CC"/>
    <w:rsid w:val="00443B4B"/>
    <w:rsid w:val="0044474A"/>
    <w:rsid w:val="00447467"/>
    <w:rsid w:val="00450043"/>
    <w:rsid w:val="0045023C"/>
    <w:rsid w:val="00451A5B"/>
    <w:rsid w:val="00452BCD"/>
    <w:rsid w:val="00452CEA"/>
    <w:rsid w:val="004628F5"/>
    <w:rsid w:val="00465B52"/>
    <w:rsid w:val="0046708E"/>
    <w:rsid w:val="00467F01"/>
    <w:rsid w:val="00470130"/>
    <w:rsid w:val="00472A65"/>
    <w:rsid w:val="00472F4E"/>
    <w:rsid w:val="00474463"/>
    <w:rsid w:val="00474B75"/>
    <w:rsid w:val="00474E3B"/>
    <w:rsid w:val="004801D5"/>
    <w:rsid w:val="00483F0B"/>
    <w:rsid w:val="00487B60"/>
    <w:rsid w:val="0049143B"/>
    <w:rsid w:val="00491487"/>
    <w:rsid w:val="00493E08"/>
    <w:rsid w:val="00496319"/>
    <w:rsid w:val="00497279"/>
    <w:rsid w:val="004A129B"/>
    <w:rsid w:val="004A163B"/>
    <w:rsid w:val="004A50E4"/>
    <w:rsid w:val="004A5999"/>
    <w:rsid w:val="004A670A"/>
    <w:rsid w:val="004A6A5F"/>
    <w:rsid w:val="004B13D4"/>
    <w:rsid w:val="004B21A4"/>
    <w:rsid w:val="004B5465"/>
    <w:rsid w:val="004B70F0"/>
    <w:rsid w:val="004C20D8"/>
    <w:rsid w:val="004C21A8"/>
    <w:rsid w:val="004C7DA4"/>
    <w:rsid w:val="004D4F24"/>
    <w:rsid w:val="004D505E"/>
    <w:rsid w:val="004D6A1A"/>
    <w:rsid w:val="004D72CA"/>
    <w:rsid w:val="004E1FA7"/>
    <w:rsid w:val="004E2242"/>
    <w:rsid w:val="004E4101"/>
    <w:rsid w:val="004E505E"/>
    <w:rsid w:val="004E52F0"/>
    <w:rsid w:val="004E6C3E"/>
    <w:rsid w:val="004E7593"/>
    <w:rsid w:val="004E7AEE"/>
    <w:rsid w:val="004F2E7B"/>
    <w:rsid w:val="004F3286"/>
    <w:rsid w:val="004F3646"/>
    <w:rsid w:val="004F42FF"/>
    <w:rsid w:val="004F44C2"/>
    <w:rsid w:val="004F751F"/>
    <w:rsid w:val="005003F9"/>
    <w:rsid w:val="0050067E"/>
    <w:rsid w:val="00502512"/>
    <w:rsid w:val="00503FD2"/>
    <w:rsid w:val="00505262"/>
    <w:rsid w:val="00506B50"/>
    <w:rsid w:val="00506C9C"/>
    <w:rsid w:val="00507248"/>
    <w:rsid w:val="005115A9"/>
    <w:rsid w:val="005131F4"/>
    <w:rsid w:val="00516022"/>
    <w:rsid w:val="00521CEE"/>
    <w:rsid w:val="00522D6C"/>
    <w:rsid w:val="00524FB4"/>
    <w:rsid w:val="00525442"/>
    <w:rsid w:val="00527BD4"/>
    <w:rsid w:val="00527C4F"/>
    <w:rsid w:val="005330E6"/>
    <w:rsid w:val="005338C6"/>
    <w:rsid w:val="00536524"/>
    <w:rsid w:val="0053661A"/>
    <w:rsid w:val="00537095"/>
    <w:rsid w:val="00537E87"/>
    <w:rsid w:val="005403C8"/>
    <w:rsid w:val="005429DC"/>
    <w:rsid w:val="00542C6E"/>
    <w:rsid w:val="00544343"/>
    <w:rsid w:val="00544E73"/>
    <w:rsid w:val="00544EFB"/>
    <w:rsid w:val="005453D2"/>
    <w:rsid w:val="00545485"/>
    <w:rsid w:val="005461DA"/>
    <w:rsid w:val="00547079"/>
    <w:rsid w:val="00551C96"/>
    <w:rsid w:val="00552363"/>
    <w:rsid w:val="005527D1"/>
    <w:rsid w:val="0055380A"/>
    <w:rsid w:val="00554514"/>
    <w:rsid w:val="00554DA4"/>
    <w:rsid w:val="005565F9"/>
    <w:rsid w:val="00561BD7"/>
    <w:rsid w:val="0056451C"/>
    <w:rsid w:val="00564DFE"/>
    <w:rsid w:val="00565050"/>
    <w:rsid w:val="00570074"/>
    <w:rsid w:val="00571736"/>
    <w:rsid w:val="00573041"/>
    <w:rsid w:val="00575B80"/>
    <w:rsid w:val="0057620F"/>
    <w:rsid w:val="005815CB"/>
    <w:rsid w:val="005819CE"/>
    <w:rsid w:val="0058298D"/>
    <w:rsid w:val="00584C1A"/>
    <w:rsid w:val="005851A4"/>
    <w:rsid w:val="00590204"/>
    <w:rsid w:val="00590C5A"/>
    <w:rsid w:val="00593156"/>
    <w:rsid w:val="00593C2B"/>
    <w:rsid w:val="0059416E"/>
    <w:rsid w:val="00594851"/>
    <w:rsid w:val="00594C11"/>
    <w:rsid w:val="00595231"/>
    <w:rsid w:val="00596166"/>
    <w:rsid w:val="00597F64"/>
    <w:rsid w:val="005A1C65"/>
    <w:rsid w:val="005A207F"/>
    <w:rsid w:val="005A2F35"/>
    <w:rsid w:val="005A4C44"/>
    <w:rsid w:val="005A5613"/>
    <w:rsid w:val="005B1AE9"/>
    <w:rsid w:val="005B3814"/>
    <w:rsid w:val="005B463E"/>
    <w:rsid w:val="005B6C20"/>
    <w:rsid w:val="005C1F09"/>
    <w:rsid w:val="005C2BC8"/>
    <w:rsid w:val="005C34E1"/>
    <w:rsid w:val="005C3D8D"/>
    <w:rsid w:val="005C3FE0"/>
    <w:rsid w:val="005C544F"/>
    <w:rsid w:val="005C5ADE"/>
    <w:rsid w:val="005C740C"/>
    <w:rsid w:val="005D1605"/>
    <w:rsid w:val="005D2207"/>
    <w:rsid w:val="005D3BCF"/>
    <w:rsid w:val="005D4092"/>
    <w:rsid w:val="005D625B"/>
    <w:rsid w:val="005D6FBD"/>
    <w:rsid w:val="005E033F"/>
    <w:rsid w:val="005E04A4"/>
    <w:rsid w:val="005E0A83"/>
    <w:rsid w:val="005F0E62"/>
    <w:rsid w:val="005F202C"/>
    <w:rsid w:val="005F2601"/>
    <w:rsid w:val="005F62D3"/>
    <w:rsid w:val="005F6D11"/>
    <w:rsid w:val="005F7CD1"/>
    <w:rsid w:val="00600CF0"/>
    <w:rsid w:val="006048F4"/>
    <w:rsid w:val="00605553"/>
    <w:rsid w:val="0060660A"/>
    <w:rsid w:val="006066CF"/>
    <w:rsid w:val="00610E77"/>
    <w:rsid w:val="00613466"/>
    <w:rsid w:val="006134F4"/>
    <w:rsid w:val="00613B1D"/>
    <w:rsid w:val="006171DB"/>
    <w:rsid w:val="00617A44"/>
    <w:rsid w:val="006202B6"/>
    <w:rsid w:val="00624980"/>
    <w:rsid w:val="00624F45"/>
    <w:rsid w:val="00625CD0"/>
    <w:rsid w:val="0062627D"/>
    <w:rsid w:val="00627432"/>
    <w:rsid w:val="00631257"/>
    <w:rsid w:val="00632B0D"/>
    <w:rsid w:val="0063392D"/>
    <w:rsid w:val="00634F61"/>
    <w:rsid w:val="00642BEE"/>
    <w:rsid w:val="00642DAB"/>
    <w:rsid w:val="00643FAA"/>
    <w:rsid w:val="006444C7"/>
    <w:rsid w:val="006448E4"/>
    <w:rsid w:val="00645414"/>
    <w:rsid w:val="00650373"/>
    <w:rsid w:val="00651CEE"/>
    <w:rsid w:val="00653606"/>
    <w:rsid w:val="006610E9"/>
    <w:rsid w:val="00661591"/>
    <w:rsid w:val="0066313C"/>
    <w:rsid w:val="00664678"/>
    <w:rsid w:val="00666192"/>
    <w:rsid w:val="0066632F"/>
    <w:rsid w:val="00672856"/>
    <w:rsid w:val="00674070"/>
    <w:rsid w:val="00674A89"/>
    <w:rsid w:val="00674F3D"/>
    <w:rsid w:val="0067587A"/>
    <w:rsid w:val="00681308"/>
    <w:rsid w:val="00682214"/>
    <w:rsid w:val="00682B90"/>
    <w:rsid w:val="00684D4E"/>
    <w:rsid w:val="00685545"/>
    <w:rsid w:val="006864B3"/>
    <w:rsid w:val="00691D55"/>
    <w:rsid w:val="00692D64"/>
    <w:rsid w:val="006945BE"/>
    <w:rsid w:val="00696EA4"/>
    <w:rsid w:val="00697EFF"/>
    <w:rsid w:val="006A013B"/>
    <w:rsid w:val="006A0FC2"/>
    <w:rsid w:val="006A10F8"/>
    <w:rsid w:val="006A2100"/>
    <w:rsid w:val="006A5C3B"/>
    <w:rsid w:val="006A71C8"/>
    <w:rsid w:val="006A72E0"/>
    <w:rsid w:val="006B0BF3"/>
    <w:rsid w:val="006B142D"/>
    <w:rsid w:val="006B2270"/>
    <w:rsid w:val="006B31F3"/>
    <w:rsid w:val="006B36EB"/>
    <w:rsid w:val="006B3C17"/>
    <w:rsid w:val="006B44ED"/>
    <w:rsid w:val="006B4608"/>
    <w:rsid w:val="006B4CA7"/>
    <w:rsid w:val="006B5C74"/>
    <w:rsid w:val="006B6A32"/>
    <w:rsid w:val="006B7089"/>
    <w:rsid w:val="006B775E"/>
    <w:rsid w:val="006B7BC7"/>
    <w:rsid w:val="006C03BF"/>
    <w:rsid w:val="006C2535"/>
    <w:rsid w:val="006C2BC7"/>
    <w:rsid w:val="006C3A61"/>
    <w:rsid w:val="006C441E"/>
    <w:rsid w:val="006C4B90"/>
    <w:rsid w:val="006D1016"/>
    <w:rsid w:val="006D17F2"/>
    <w:rsid w:val="006D31A3"/>
    <w:rsid w:val="006D4D35"/>
    <w:rsid w:val="006D7AB8"/>
    <w:rsid w:val="006D7D29"/>
    <w:rsid w:val="006E2767"/>
    <w:rsid w:val="006E3546"/>
    <w:rsid w:val="006E3FA9"/>
    <w:rsid w:val="006E4842"/>
    <w:rsid w:val="006E6310"/>
    <w:rsid w:val="006E661B"/>
    <w:rsid w:val="006E6E58"/>
    <w:rsid w:val="006E797E"/>
    <w:rsid w:val="006E7D82"/>
    <w:rsid w:val="006F038F"/>
    <w:rsid w:val="006F0F93"/>
    <w:rsid w:val="006F1BB7"/>
    <w:rsid w:val="006F31F2"/>
    <w:rsid w:val="006F7494"/>
    <w:rsid w:val="006F751F"/>
    <w:rsid w:val="007008E2"/>
    <w:rsid w:val="00705433"/>
    <w:rsid w:val="00710F41"/>
    <w:rsid w:val="00711C03"/>
    <w:rsid w:val="00714DC5"/>
    <w:rsid w:val="00715237"/>
    <w:rsid w:val="007155C9"/>
    <w:rsid w:val="00716C9B"/>
    <w:rsid w:val="00716F82"/>
    <w:rsid w:val="007170B0"/>
    <w:rsid w:val="00717D00"/>
    <w:rsid w:val="00721021"/>
    <w:rsid w:val="00721AE1"/>
    <w:rsid w:val="00724AEF"/>
    <w:rsid w:val="007254A5"/>
    <w:rsid w:val="00725748"/>
    <w:rsid w:val="007268DE"/>
    <w:rsid w:val="007269E3"/>
    <w:rsid w:val="00732F79"/>
    <w:rsid w:val="00735D88"/>
    <w:rsid w:val="00736525"/>
    <w:rsid w:val="0073720D"/>
    <w:rsid w:val="00737507"/>
    <w:rsid w:val="0073751F"/>
    <w:rsid w:val="00740712"/>
    <w:rsid w:val="007425A9"/>
    <w:rsid w:val="00742AB9"/>
    <w:rsid w:val="00742C89"/>
    <w:rsid w:val="007438CE"/>
    <w:rsid w:val="00744841"/>
    <w:rsid w:val="00745BBD"/>
    <w:rsid w:val="00746C31"/>
    <w:rsid w:val="00747B2B"/>
    <w:rsid w:val="00751A6A"/>
    <w:rsid w:val="00752F0B"/>
    <w:rsid w:val="00754FBF"/>
    <w:rsid w:val="00756346"/>
    <w:rsid w:val="007569D6"/>
    <w:rsid w:val="00760104"/>
    <w:rsid w:val="007610AA"/>
    <w:rsid w:val="007613AF"/>
    <w:rsid w:val="007629F5"/>
    <w:rsid w:val="00767106"/>
    <w:rsid w:val="007676EF"/>
    <w:rsid w:val="007705B1"/>
    <w:rsid w:val="007709EF"/>
    <w:rsid w:val="00772846"/>
    <w:rsid w:val="007768FE"/>
    <w:rsid w:val="00776AA2"/>
    <w:rsid w:val="00782701"/>
    <w:rsid w:val="00783559"/>
    <w:rsid w:val="0079551B"/>
    <w:rsid w:val="00796262"/>
    <w:rsid w:val="00797070"/>
    <w:rsid w:val="00797AA5"/>
    <w:rsid w:val="00797D90"/>
    <w:rsid w:val="007A26BD"/>
    <w:rsid w:val="007A4105"/>
    <w:rsid w:val="007A50B6"/>
    <w:rsid w:val="007A5203"/>
    <w:rsid w:val="007A759E"/>
    <w:rsid w:val="007B0FD2"/>
    <w:rsid w:val="007B4503"/>
    <w:rsid w:val="007C312F"/>
    <w:rsid w:val="007C406E"/>
    <w:rsid w:val="007C4F51"/>
    <w:rsid w:val="007C5183"/>
    <w:rsid w:val="007C55E3"/>
    <w:rsid w:val="007C7573"/>
    <w:rsid w:val="007E1AAF"/>
    <w:rsid w:val="007E2A4B"/>
    <w:rsid w:val="007E2B20"/>
    <w:rsid w:val="007E35B3"/>
    <w:rsid w:val="007E3A78"/>
    <w:rsid w:val="007E634E"/>
    <w:rsid w:val="007F028B"/>
    <w:rsid w:val="007F1FE4"/>
    <w:rsid w:val="007F439C"/>
    <w:rsid w:val="007F49AE"/>
    <w:rsid w:val="007F4CD5"/>
    <w:rsid w:val="007F5331"/>
    <w:rsid w:val="007F5465"/>
    <w:rsid w:val="007F6417"/>
    <w:rsid w:val="007F68D0"/>
    <w:rsid w:val="00800CCA"/>
    <w:rsid w:val="008015D9"/>
    <w:rsid w:val="00804AF2"/>
    <w:rsid w:val="0080519D"/>
    <w:rsid w:val="00806120"/>
    <w:rsid w:val="00806F63"/>
    <w:rsid w:val="0080719A"/>
    <w:rsid w:val="008108DB"/>
    <w:rsid w:val="00810C93"/>
    <w:rsid w:val="0081144A"/>
    <w:rsid w:val="00812028"/>
    <w:rsid w:val="00812DD8"/>
    <w:rsid w:val="00813082"/>
    <w:rsid w:val="00814D03"/>
    <w:rsid w:val="00816BCA"/>
    <w:rsid w:val="00820371"/>
    <w:rsid w:val="00820F94"/>
    <w:rsid w:val="00821FC1"/>
    <w:rsid w:val="00823AE2"/>
    <w:rsid w:val="00826B11"/>
    <w:rsid w:val="00830318"/>
    <w:rsid w:val="0083178B"/>
    <w:rsid w:val="00831EE4"/>
    <w:rsid w:val="00832CE5"/>
    <w:rsid w:val="00833695"/>
    <w:rsid w:val="008336B7"/>
    <w:rsid w:val="00833A8E"/>
    <w:rsid w:val="00835CC8"/>
    <w:rsid w:val="00836ACA"/>
    <w:rsid w:val="00841132"/>
    <w:rsid w:val="00842C3D"/>
    <w:rsid w:val="00842CD8"/>
    <w:rsid w:val="008431FA"/>
    <w:rsid w:val="00843C3C"/>
    <w:rsid w:val="0084541E"/>
    <w:rsid w:val="00846506"/>
    <w:rsid w:val="008465AB"/>
    <w:rsid w:val="00846771"/>
    <w:rsid w:val="00847444"/>
    <w:rsid w:val="00847D09"/>
    <w:rsid w:val="008503B3"/>
    <w:rsid w:val="00851534"/>
    <w:rsid w:val="008517C6"/>
    <w:rsid w:val="00851A8C"/>
    <w:rsid w:val="00852296"/>
    <w:rsid w:val="008547BA"/>
    <w:rsid w:val="008549D2"/>
    <w:rsid w:val="0085539A"/>
    <w:rsid w:val="008553C7"/>
    <w:rsid w:val="0085700F"/>
    <w:rsid w:val="00857FEB"/>
    <w:rsid w:val="00860108"/>
    <w:rsid w:val="008601AF"/>
    <w:rsid w:val="00861D95"/>
    <w:rsid w:val="008624E1"/>
    <w:rsid w:val="008636A4"/>
    <w:rsid w:val="00864A88"/>
    <w:rsid w:val="00864DFA"/>
    <w:rsid w:val="008669E0"/>
    <w:rsid w:val="0086764D"/>
    <w:rsid w:val="00872271"/>
    <w:rsid w:val="008738B5"/>
    <w:rsid w:val="008738E0"/>
    <w:rsid w:val="00874BFA"/>
    <w:rsid w:val="00876530"/>
    <w:rsid w:val="00877636"/>
    <w:rsid w:val="008803F7"/>
    <w:rsid w:val="0088060B"/>
    <w:rsid w:val="00882784"/>
    <w:rsid w:val="00883137"/>
    <w:rsid w:val="0088495D"/>
    <w:rsid w:val="00886D84"/>
    <w:rsid w:val="0089117B"/>
    <w:rsid w:val="00891266"/>
    <w:rsid w:val="008913F5"/>
    <w:rsid w:val="00892AA5"/>
    <w:rsid w:val="00893EBE"/>
    <w:rsid w:val="00894A3B"/>
    <w:rsid w:val="008A02B1"/>
    <w:rsid w:val="008A0962"/>
    <w:rsid w:val="008A1F5D"/>
    <w:rsid w:val="008A28F5"/>
    <w:rsid w:val="008A2E9B"/>
    <w:rsid w:val="008A6C2B"/>
    <w:rsid w:val="008A6C66"/>
    <w:rsid w:val="008A6E94"/>
    <w:rsid w:val="008B1198"/>
    <w:rsid w:val="008B29DA"/>
    <w:rsid w:val="008B3471"/>
    <w:rsid w:val="008B3929"/>
    <w:rsid w:val="008B4125"/>
    <w:rsid w:val="008B4302"/>
    <w:rsid w:val="008B4CB3"/>
    <w:rsid w:val="008B567B"/>
    <w:rsid w:val="008B757B"/>
    <w:rsid w:val="008B7615"/>
    <w:rsid w:val="008B7B24"/>
    <w:rsid w:val="008C0DC2"/>
    <w:rsid w:val="008C356D"/>
    <w:rsid w:val="008C3D16"/>
    <w:rsid w:val="008C5CC9"/>
    <w:rsid w:val="008C6D9C"/>
    <w:rsid w:val="008C796A"/>
    <w:rsid w:val="008D0CAA"/>
    <w:rsid w:val="008D0FF4"/>
    <w:rsid w:val="008D1051"/>
    <w:rsid w:val="008D3E0B"/>
    <w:rsid w:val="008D437F"/>
    <w:rsid w:val="008D43B5"/>
    <w:rsid w:val="008D5A14"/>
    <w:rsid w:val="008D616C"/>
    <w:rsid w:val="008E0B3F"/>
    <w:rsid w:val="008E1E30"/>
    <w:rsid w:val="008E49AD"/>
    <w:rsid w:val="008E5DBE"/>
    <w:rsid w:val="008E698E"/>
    <w:rsid w:val="008F20EC"/>
    <w:rsid w:val="008F2584"/>
    <w:rsid w:val="008F3246"/>
    <w:rsid w:val="008F3363"/>
    <w:rsid w:val="008F3C1B"/>
    <w:rsid w:val="008F3EB8"/>
    <w:rsid w:val="008F49EE"/>
    <w:rsid w:val="008F508C"/>
    <w:rsid w:val="008F77CA"/>
    <w:rsid w:val="008F7D9B"/>
    <w:rsid w:val="00901293"/>
    <w:rsid w:val="009017D4"/>
    <w:rsid w:val="00901BE9"/>
    <w:rsid w:val="0090271B"/>
    <w:rsid w:val="00903105"/>
    <w:rsid w:val="00904C89"/>
    <w:rsid w:val="00906C2E"/>
    <w:rsid w:val="00907172"/>
    <w:rsid w:val="00910642"/>
    <w:rsid w:val="00910DDF"/>
    <w:rsid w:val="00911084"/>
    <w:rsid w:val="00912869"/>
    <w:rsid w:val="00912D4E"/>
    <w:rsid w:val="00913398"/>
    <w:rsid w:val="00913F48"/>
    <w:rsid w:val="00922290"/>
    <w:rsid w:val="00926AE2"/>
    <w:rsid w:val="00930B13"/>
    <w:rsid w:val="009311C8"/>
    <w:rsid w:val="00932140"/>
    <w:rsid w:val="00933376"/>
    <w:rsid w:val="00933A2F"/>
    <w:rsid w:val="00934F67"/>
    <w:rsid w:val="009411B5"/>
    <w:rsid w:val="00944137"/>
    <w:rsid w:val="00945694"/>
    <w:rsid w:val="00945761"/>
    <w:rsid w:val="009462BD"/>
    <w:rsid w:val="00950384"/>
    <w:rsid w:val="00951B22"/>
    <w:rsid w:val="00952D56"/>
    <w:rsid w:val="009554F7"/>
    <w:rsid w:val="0095670B"/>
    <w:rsid w:val="00960612"/>
    <w:rsid w:val="00966743"/>
    <w:rsid w:val="00966CEA"/>
    <w:rsid w:val="009716D8"/>
    <w:rsid w:val="009718F9"/>
    <w:rsid w:val="00971F42"/>
    <w:rsid w:val="00971F97"/>
    <w:rsid w:val="00972CD2"/>
    <w:rsid w:val="00972FB9"/>
    <w:rsid w:val="0097306E"/>
    <w:rsid w:val="0097316C"/>
    <w:rsid w:val="00973EE3"/>
    <w:rsid w:val="009741C0"/>
    <w:rsid w:val="00975112"/>
    <w:rsid w:val="009760AB"/>
    <w:rsid w:val="00977A39"/>
    <w:rsid w:val="00981768"/>
    <w:rsid w:val="00983893"/>
    <w:rsid w:val="00983E8F"/>
    <w:rsid w:val="0098752F"/>
    <w:rsid w:val="0098788A"/>
    <w:rsid w:val="00990915"/>
    <w:rsid w:val="00994FDA"/>
    <w:rsid w:val="009A0143"/>
    <w:rsid w:val="009A0AC7"/>
    <w:rsid w:val="009A31BF"/>
    <w:rsid w:val="009A3B71"/>
    <w:rsid w:val="009A61BC"/>
    <w:rsid w:val="009A7995"/>
    <w:rsid w:val="009A7B6F"/>
    <w:rsid w:val="009B0138"/>
    <w:rsid w:val="009B03A6"/>
    <w:rsid w:val="009B0FE9"/>
    <w:rsid w:val="009B173A"/>
    <w:rsid w:val="009C0F68"/>
    <w:rsid w:val="009C3F20"/>
    <w:rsid w:val="009C4944"/>
    <w:rsid w:val="009C52D0"/>
    <w:rsid w:val="009C5308"/>
    <w:rsid w:val="009C7CA1"/>
    <w:rsid w:val="009D043D"/>
    <w:rsid w:val="009D12E9"/>
    <w:rsid w:val="009D4256"/>
    <w:rsid w:val="009D578E"/>
    <w:rsid w:val="009D6304"/>
    <w:rsid w:val="009D6459"/>
    <w:rsid w:val="009D71CF"/>
    <w:rsid w:val="009D7D8C"/>
    <w:rsid w:val="009E0611"/>
    <w:rsid w:val="009E08F4"/>
    <w:rsid w:val="009E2A1D"/>
    <w:rsid w:val="009E3C59"/>
    <w:rsid w:val="009E7E7C"/>
    <w:rsid w:val="009F0A5D"/>
    <w:rsid w:val="009F0DE8"/>
    <w:rsid w:val="009F1EB2"/>
    <w:rsid w:val="009F2EE6"/>
    <w:rsid w:val="009F3034"/>
    <w:rsid w:val="009F3259"/>
    <w:rsid w:val="00A00175"/>
    <w:rsid w:val="00A01985"/>
    <w:rsid w:val="00A01D6B"/>
    <w:rsid w:val="00A02E09"/>
    <w:rsid w:val="00A037D5"/>
    <w:rsid w:val="00A056DE"/>
    <w:rsid w:val="00A057CB"/>
    <w:rsid w:val="00A128AD"/>
    <w:rsid w:val="00A13CEF"/>
    <w:rsid w:val="00A154DB"/>
    <w:rsid w:val="00A16655"/>
    <w:rsid w:val="00A16D7E"/>
    <w:rsid w:val="00A20EC4"/>
    <w:rsid w:val="00A21E76"/>
    <w:rsid w:val="00A23BC8"/>
    <w:rsid w:val="00A245F8"/>
    <w:rsid w:val="00A2599E"/>
    <w:rsid w:val="00A27020"/>
    <w:rsid w:val="00A27877"/>
    <w:rsid w:val="00A30E68"/>
    <w:rsid w:val="00A31119"/>
    <w:rsid w:val="00A31933"/>
    <w:rsid w:val="00A329D2"/>
    <w:rsid w:val="00A3463A"/>
    <w:rsid w:val="00A34AA0"/>
    <w:rsid w:val="00A35BC7"/>
    <w:rsid w:val="00A3715C"/>
    <w:rsid w:val="00A413B4"/>
    <w:rsid w:val="00A41FE2"/>
    <w:rsid w:val="00A439AB"/>
    <w:rsid w:val="00A46FEF"/>
    <w:rsid w:val="00A4758C"/>
    <w:rsid w:val="00A47948"/>
    <w:rsid w:val="00A47AC8"/>
    <w:rsid w:val="00A47B28"/>
    <w:rsid w:val="00A47EED"/>
    <w:rsid w:val="00A50CF6"/>
    <w:rsid w:val="00A52023"/>
    <w:rsid w:val="00A53E29"/>
    <w:rsid w:val="00A56946"/>
    <w:rsid w:val="00A57002"/>
    <w:rsid w:val="00A57C02"/>
    <w:rsid w:val="00A60492"/>
    <w:rsid w:val="00A6170E"/>
    <w:rsid w:val="00A618C6"/>
    <w:rsid w:val="00A63B8C"/>
    <w:rsid w:val="00A63E5D"/>
    <w:rsid w:val="00A65D3E"/>
    <w:rsid w:val="00A700F5"/>
    <w:rsid w:val="00A715F8"/>
    <w:rsid w:val="00A72EB2"/>
    <w:rsid w:val="00A731DF"/>
    <w:rsid w:val="00A73BB5"/>
    <w:rsid w:val="00A77F6F"/>
    <w:rsid w:val="00A80B25"/>
    <w:rsid w:val="00A80CE9"/>
    <w:rsid w:val="00A824E6"/>
    <w:rsid w:val="00A831FD"/>
    <w:rsid w:val="00A83352"/>
    <w:rsid w:val="00A84CE4"/>
    <w:rsid w:val="00A850A2"/>
    <w:rsid w:val="00A87641"/>
    <w:rsid w:val="00A91D99"/>
    <w:rsid w:val="00A91FA3"/>
    <w:rsid w:val="00A927D3"/>
    <w:rsid w:val="00A92C41"/>
    <w:rsid w:val="00A955AC"/>
    <w:rsid w:val="00A95982"/>
    <w:rsid w:val="00A96620"/>
    <w:rsid w:val="00AA0BE4"/>
    <w:rsid w:val="00AA14FB"/>
    <w:rsid w:val="00AA60C6"/>
    <w:rsid w:val="00AA7FC9"/>
    <w:rsid w:val="00AB237D"/>
    <w:rsid w:val="00AB35DE"/>
    <w:rsid w:val="00AB3A23"/>
    <w:rsid w:val="00AB5933"/>
    <w:rsid w:val="00AB7F43"/>
    <w:rsid w:val="00AC225B"/>
    <w:rsid w:val="00AC345D"/>
    <w:rsid w:val="00AD1749"/>
    <w:rsid w:val="00AD1808"/>
    <w:rsid w:val="00AD7B3D"/>
    <w:rsid w:val="00AE013D"/>
    <w:rsid w:val="00AE11B7"/>
    <w:rsid w:val="00AE7F68"/>
    <w:rsid w:val="00AF0DAD"/>
    <w:rsid w:val="00AF2321"/>
    <w:rsid w:val="00AF52F6"/>
    <w:rsid w:val="00AF52FD"/>
    <w:rsid w:val="00AF54A8"/>
    <w:rsid w:val="00AF5B13"/>
    <w:rsid w:val="00AF6D00"/>
    <w:rsid w:val="00AF7237"/>
    <w:rsid w:val="00AF7F07"/>
    <w:rsid w:val="00AFA2E2"/>
    <w:rsid w:val="00B0043A"/>
    <w:rsid w:val="00B00D75"/>
    <w:rsid w:val="00B02646"/>
    <w:rsid w:val="00B070CB"/>
    <w:rsid w:val="00B103A7"/>
    <w:rsid w:val="00B1085F"/>
    <w:rsid w:val="00B10D83"/>
    <w:rsid w:val="00B10F62"/>
    <w:rsid w:val="00B12456"/>
    <w:rsid w:val="00B12FD1"/>
    <w:rsid w:val="00B145BE"/>
    <w:rsid w:val="00B145F0"/>
    <w:rsid w:val="00B24800"/>
    <w:rsid w:val="00B24D30"/>
    <w:rsid w:val="00B259C8"/>
    <w:rsid w:val="00B26CCF"/>
    <w:rsid w:val="00B27FE5"/>
    <w:rsid w:val="00B30BE9"/>
    <w:rsid w:val="00B30E54"/>
    <w:rsid w:val="00B30FC2"/>
    <w:rsid w:val="00B32515"/>
    <w:rsid w:val="00B32801"/>
    <w:rsid w:val="00B32C2B"/>
    <w:rsid w:val="00B331A2"/>
    <w:rsid w:val="00B34B1F"/>
    <w:rsid w:val="00B35C6E"/>
    <w:rsid w:val="00B40C74"/>
    <w:rsid w:val="00B40D36"/>
    <w:rsid w:val="00B425F0"/>
    <w:rsid w:val="00B42DFA"/>
    <w:rsid w:val="00B45C93"/>
    <w:rsid w:val="00B51051"/>
    <w:rsid w:val="00B531DD"/>
    <w:rsid w:val="00B532D1"/>
    <w:rsid w:val="00B5462B"/>
    <w:rsid w:val="00B55014"/>
    <w:rsid w:val="00B56FEF"/>
    <w:rsid w:val="00B57802"/>
    <w:rsid w:val="00B6008D"/>
    <w:rsid w:val="00B61DE5"/>
    <w:rsid w:val="00B62232"/>
    <w:rsid w:val="00B6477B"/>
    <w:rsid w:val="00B675F3"/>
    <w:rsid w:val="00B70BF3"/>
    <w:rsid w:val="00B71CFF"/>
    <w:rsid w:val="00B71DC2"/>
    <w:rsid w:val="00B75497"/>
    <w:rsid w:val="00B77D2B"/>
    <w:rsid w:val="00B818B9"/>
    <w:rsid w:val="00B849F5"/>
    <w:rsid w:val="00B85C32"/>
    <w:rsid w:val="00B91CFC"/>
    <w:rsid w:val="00B937C9"/>
    <w:rsid w:val="00B93893"/>
    <w:rsid w:val="00B95812"/>
    <w:rsid w:val="00BA1397"/>
    <w:rsid w:val="00BA1F0D"/>
    <w:rsid w:val="00BA3419"/>
    <w:rsid w:val="00BA5FC2"/>
    <w:rsid w:val="00BA7B2A"/>
    <w:rsid w:val="00BA7E0A"/>
    <w:rsid w:val="00BB2642"/>
    <w:rsid w:val="00BB26E9"/>
    <w:rsid w:val="00BB3A24"/>
    <w:rsid w:val="00BB6B04"/>
    <w:rsid w:val="00BB6D83"/>
    <w:rsid w:val="00BC0320"/>
    <w:rsid w:val="00BC10E1"/>
    <w:rsid w:val="00BC2C00"/>
    <w:rsid w:val="00BC3B53"/>
    <w:rsid w:val="00BC3B96"/>
    <w:rsid w:val="00BC3DE6"/>
    <w:rsid w:val="00BC3FC3"/>
    <w:rsid w:val="00BC4AE3"/>
    <w:rsid w:val="00BC5B28"/>
    <w:rsid w:val="00BC5C91"/>
    <w:rsid w:val="00BD0802"/>
    <w:rsid w:val="00BD1C9E"/>
    <w:rsid w:val="00BD1F90"/>
    <w:rsid w:val="00BD2370"/>
    <w:rsid w:val="00BD2D73"/>
    <w:rsid w:val="00BD6966"/>
    <w:rsid w:val="00BE1011"/>
    <w:rsid w:val="00BE3F88"/>
    <w:rsid w:val="00BE46F1"/>
    <w:rsid w:val="00BE4756"/>
    <w:rsid w:val="00BE5ED9"/>
    <w:rsid w:val="00BE7B41"/>
    <w:rsid w:val="00BF0D69"/>
    <w:rsid w:val="00BF3734"/>
    <w:rsid w:val="00BF41DC"/>
    <w:rsid w:val="00BF6214"/>
    <w:rsid w:val="00BF6CB3"/>
    <w:rsid w:val="00BF7F30"/>
    <w:rsid w:val="00C011E5"/>
    <w:rsid w:val="00C0640A"/>
    <w:rsid w:val="00C06B45"/>
    <w:rsid w:val="00C10A1F"/>
    <w:rsid w:val="00C110F8"/>
    <w:rsid w:val="00C12A5E"/>
    <w:rsid w:val="00C13AE1"/>
    <w:rsid w:val="00C15A91"/>
    <w:rsid w:val="00C206F1"/>
    <w:rsid w:val="00C210DA"/>
    <w:rsid w:val="00C217E1"/>
    <w:rsid w:val="00C219B1"/>
    <w:rsid w:val="00C222A9"/>
    <w:rsid w:val="00C269F5"/>
    <w:rsid w:val="00C30167"/>
    <w:rsid w:val="00C312C0"/>
    <w:rsid w:val="00C31E11"/>
    <w:rsid w:val="00C32A06"/>
    <w:rsid w:val="00C36EE9"/>
    <w:rsid w:val="00C4015B"/>
    <w:rsid w:val="00C40C60"/>
    <w:rsid w:val="00C41E40"/>
    <w:rsid w:val="00C42F0A"/>
    <w:rsid w:val="00C43FE6"/>
    <w:rsid w:val="00C44855"/>
    <w:rsid w:val="00C44CBA"/>
    <w:rsid w:val="00C45ACC"/>
    <w:rsid w:val="00C47F66"/>
    <w:rsid w:val="00C50F04"/>
    <w:rsid w:val="00C51BCF"/>
    <w:rsid w:val="00C5258E"/>
    <w:rsid w:val="00C530C9"/>
    <w:rsid w:val="00C54C64"/>
    <w:rsid w:val="00C619A7"/>
    <w:rsid w:val="00C61A24"/>
    <w:rsid w:val="00C628D2"/>
    <w:rsid w:val="00C634D5"/>
    <w:rsid w:val="00C666BD"/>
    <w:rsid w:val="00C70ADC"/>
    <w:rsid w:val="00C72690"/>
    <w:rsid w:val="00C73A52"/>
    <w:rsid w:val="00C73D5F"/>
    <w:rsid w:val="00C80710"/>
    <w:rsid w:val="00C81934"/>
    <w:rsid w:val="00C82AFE"/>
    <w:rsid w:val="00C83262"/>
    <w:rsid w:val="00C83DBC"/>
    <w:rsid w:val="00C866DA"/>
    <w:rsid w:val="00C87CB4"/>
    <w:rsid w:val="00C90082"/>
    <w:rsid w:val="00C9515D"/>
    <w:rsid w:val="00C96ECF"/>
    <w:rsid w:val="00C97C80"/>
    <w:rsid w:val="00CA2015"/>
    <w:rsid w:val="00CA2DFB"/>
    <w:rsid w:val="00CA30B3"/>
    <w:rsid w:val="00CA34FD"/>
    <w:rsid w:val="00CA395F"/>
    <w:rsid w:val="00CA40D2"/>
    <w:rsid w:val="00CA43F4"/>
    <w:rsid w:val="00CA47D3"/>
    <w:rsid w:val="00CA58B7"/>
    <w:rsid w:val="00CA6533"/>
    <w:rsid w:val="00CA6A25"/>
    <w:rsid w:val="00CA6A3F"/>
    <w:rsid w:val="00CA7C99"/>
    <w:rsid w:val="00CB0A71"/>
    <w:rsid w:val="00CB619B"/>
    <w:rsid w:val="00CC470F"/>
    <w:rsid w:val="00CC6290"/>
    <w:rsid w:val="00CC6947"/>
    <w:rsid w:val="00CD233D"/>
    <w:rsid w:val="00CD2734"/>
    <w:rsid w:val="00CD3499"/>
    <w:rsid w:val="00CD362D"/>
    <w:rsid w:val="00CD3881"/>
    <w:rsid w:val="00CD47D3"/>
    <w:rsid w:val="00CD4A96"/>
    <w:rsid w:val="00CD620D"/>
    <w:rsid w:val="00CE0D9A"/>
    <w:rsid w:val="00CE101D"/>
    <w:rsid w:val="00CE1814"/>
    <w:rsid w:val="00CE1A95"/>
    <w:rsid w:val="00CE1C84"/>
    <w:rsid w:val="00CE5055"/>
    <w:rsid w:val="00CF053F"/>
    <w:rsid w:val="00CF1269"/>
    <w:rsid w:val="00CF1A17"/>
    <w:rsid w:val="00CF2F80"/>
    <w:rsid w:val="00CF4423"/>
    <w:rsid w:val="00CF6504"/>
    <w:rsid w:val="00CF65AC"/>
    <w:rsid w:val="00D00F14"/>
    <w:rsid w:val="00D031F1"/>
    <w:rsid w:val="00D0375A"/>
    <w:rsid w:val="00D0609E"/>
    <w:rsid w:val="00D078E1"/>
    <w:rsid w:val="00D100E9"/>
    <w:rsid w:val="00D1271F"/>
    <w:rsid w:val="00D12EC8"/>
    <w:rsid w:val="00D132F5"/>
    <w:rsid w:val="00D13791"/>
    <w:rsid w:val="00D1439D"/>
    <w:rsid w:val="00D15B21"/>
    <w:rsid w:val="00D160C7"/>
    <w:rsid w:val="00D17942"/>
    <w:rsid w:val="00D21E4B"/>
    <w:rsid w:val="00D22441"/>
    <w:rsid w:val="00D23522"/>
    <w:rsid w:val="00D24574"/>
    <w:rsid w:val="00D24E26"/>
    <w:rsid w:val="00D264D6"/>
    <w:rsid w:val="00D26E89"/>
    <w:rsid w:val="00D271AA"/>
    <w:rsid w:val="00D2723C"/>
    <w:rsid w:val="00D31F1C"/>
    <w:rsid w:val="00D32F78"/>
    <w:rsid w:val="00D335F9"/>
    <w:rsid w:val="00D33BF0"/>
    <w:rsid w:val="00D33DE0"/>
    <w:rsid w:val="00D350DA"/>
    <w:rsid w:val="00D362F4"/>
    <w:rsid w:val="00D36447"/>
    <w:rsid w:val="00D36EFA"/>
    <w:rsid w:val="00D435A1"/>
    <w:rsid w:val="00D44886"/>
    <w:rsid w:val="00D44A9C"/>
    <w:rsid w:val="00D45909"/>
    <w:rsid w:val="00D516BE"/>
    <w:rsid w:val="00D534E4"/>
    <w:rsid w:val="00D5423B"/>
    <w:rsid w:val="00D54E6A"/>
    <w:rsid w:val="00D54F4E"/>
    <w:rsid w:val="00D560A5"/>
    <w:rsid w:val="00D56E01"/>
    <w:rsid w:val="00D57A56"/>
    <w:rsid w:val="00D604B3"/>
    <w:rsid w:val="00D60BA4"/>
    <w:rsid w:val="00D6200A"/>
    <w:rsid w:val="00D62419"/>
    <w:rsid w:val="00D62EC0"/>
    <w:rsid w:val="00D72321"/>
    <w:rsid w:val="00D7272A"/>
    <w:rsid w:val="00D77870"/>
    <w:rsid w:val="00D80977"/>
    <w:rsid w:val="00D80CCE"/>
    <w:rsid w:val="00D82B36"/>
    <w:rsid w:val="00D84AED"/>
    <w:rsid w:val="00D86EEA"/>
    <w:rsid w:val="00D870D7"/>
    <w:rsid w:val="00D87D03"/>
    <w:rsid w:val="00D91CAC"/>
    <w:rsid w:val="00D93197"/>
    <w:rsid w:val="00D9360B"/>
    <w:rsid w:val="00D95C88"/>
    <w:rsid w:val="00D95F29"/>
    <w:rsid w:val="00D973A8"/>
    <w:rsid w:val="00D97B2E"/>
    <w:rsid w:val="00DA0B62"/>
    <w:rsid w:val="00DA241E"/>
    <w:rsid w:val="00DA3944"/>
    <w:rsid w:val="00DA6CC7"/>
    <w:rsid w:val="00DA7718"/>
    <w:rsid w:val="00DB06FE"/>
    <w:rsid w:val="00DB36FE"/>
    <w:rsid w:val="00DB533A"/>
    <w:rsid w:val="00DB54D9"/>
    <w:rsid w:val="00DB58B2"/>
    <w:rsid w:val="00DB60AE"/>
    <w:rsid w:val="00DB6307"/>
    <w:rsid w:val="00DB686B"/>
    <w:rsid w:val="00DC1E38"/>
    <w:rsid w:val="00DC1F2E"/>
    <w:rsid w:val="00DC21E0"/>
    <w:rsid w:val="00DC26D9"/>
    <w:rsid w:val="00DC39BF"/>
    <w:rsid w:val="00DC5EA4"/>
    <w:rsid w:val="00DC6645"/>
    <w:rsid w:val="00DD1AB7"/>
    <w:rsid w:val="00DD1DCD"/>
    <w:rsid w:val="00DD338F"/>
    <w:rsid w:val="00DD66F2"/>
    <w:rsid w:val="00DD7E1B"/>
    <w:rsid w:val="00DE1819"/>
    <w:rsid w:val="00DE31B8"/>
    <w:rsid w:val="00DE3FE0"/>
    <w:rsid w:val="00DE500C"/>
    <w:rsid w:val="00DE578A"/>
    <w:rsid w:val="00DF18B6"/>
    <w:rsid w:val="00DF2583"/>
    <w:rsid w:val="00DF54D9"/>
    <w:rsid w:val="00DF6002"/>
    <w:rsid w:val="00DF7283"/>
    <w:rsid w:val="00E00D8C"/>
    <w:rsid w:val="00E016CC"/>
    <w:rsid w:val="00E01A59"/>
    <w:rsid w:val="00E036FA"/>
    <w:rsid w:val="00E05B4B"/>
    <w:rsid w:val="00E05C48"/>
    <w:rsid w:val="00E062B5"/>
    <w:rsid w:val="00E07E92"/>
    <w:rsid w:val="00E10DC6"/>
    <w:rsid w:val="00E11F8E"/>
    <w:rsid w:val="00E12554"/>
    <w:rsid w:val="00E12A96"/>
    <w:rsid w:val="00E13EF9"/>
    <w:rsid w:val="00E15881"/>
    <w:rsid w:val="00E169FD"/>
    <w:rsid w:val="00E16A8F"/>
    <w:rsid w:val="00E20990"/>
    <w:rsid w:val="00E217B5"/>
    <w:rsid w:val="00E21DE3"/>
    <w:rsid w:val="00E272E2"/>
    <w:rsid w:val="00E273C5"/>
    <w:rsid w:val="00E30139"/>
    <w:rsid w:val="00E307D1"/>
    <w:rsid w:val="00E34338"/>
    <w:rsid w:val="00E36C58"/>
    <w:rsid w:val="00E3731D"/>
    <w:rsid w:val="00E402FB"/>
    <w:rsid w:val="00E44D66"/>
    <w:rsid w:val="00E459A4"/>
    <w:rsid w:val="00E46367"/>
    <w:rsid w:val="00E51469"/>
    <w:rsid w:val="00E515A1"/>
    <w:rsid w:val="00E5441D"/>
    <w:rsid w:val="00E61010"/>
    <w:rsid w:val="00E61719"/>
    <w:rsid w:val="00E61AAA"/>
    <w:rsid w:val="00E629D9"/>
    <w:rsid w:val="00E62ACE"/>
    <w:rsid w:val="00E631DB"/>
    <w:rsid w:val="00E634E3"/>
    <w:rsid w:val="00E66431"/>
    <w:rsid w:val="00E67C74"/>
    <w:rsid w:val="00E717C4"/>
    <w:rsid w:val="00E71D59"/>
    <w:rsid w:val="00E74436"/>
    <w:rsid w:val="00E74D89"/>
    <w:rsid w:val="00E758FD"/>
    <w:rsid w:val="00E77E18"/>
    <w:rsid w:val="00E77F89"/>
    <w:rsid w:val="00E80330"/>
    <w:rsid w:val="00E806C5"/>
    <w:rsid w:val="00E80E71"/>
    <w:rsid w:val="00E839B1"/>
    <w:rsid w:val="00E850D3"/>
    <w:rsid w:val="00E853D6"/>
    <w:rsid w:val="00E86867"/>
    <w:rsid w:val="00E876B9"/>
    <w:rsid w:val="00E9074C"/>
    <w:rsid w:val="00E907A5"/>
    <w:rsid w:val="00E90B2B"/>
    <w:rsid w:val="00E90C72"/>
    <w:rsid w:val="00EA0021"/>
    <w:rsid w:val="00EA2AE0"/>
    <w:rsid w:val="00EA562D"/>
    <w:rsid w:val="00EB07A5"/>
    <w:rsid w:val="00EB1B39"/>
    <w:rsid w:val="00EB2B22"/>
    <w:rsid w:val="00EB4719"/>
    <w:rsid w:val="00EB6637"/>
    <w:rsid w:val="00EC0C22"/>
    <w:rsid w:val="00EC0D8F"/>
    <w:rsid w:val="00EC0DFF"/>
    <w:rsid w:val="00EC237D"/>
    <w:rsid w:val="00EC2918"/>
    <w:rsid w:val="00EC4D0E"/>
    <w:rsid w:val="00EC4E2B"/>
    <w:rsid w:val="00EC58A5"/>
    <w:rsid w:val="00EC59BE"/>
    <w:rsid w:val="00EC64AD"/>
    <w:rsid w:val="00ED004F"/>
    <w:rsid w:val="00ED072A"/>
    <w:rsid w:val="00ED22A8"/>
    <w:rsid w:val="00ED4F39"/>
    <w:rsid w:val="00ED50BF"/>
    <w:rsid w:val="00ED539E"/>
    <w:rsid w:val="00ED62B4"/>
    <w:rsid w:val="00ED632B"/>
    <w:rsid w:val="00ED6759"/>
    <w:rsid w:val="00EE103B"/>
    <w:rsid w:val="00EE3014"/>
    <w:rsid w:val="00EE410E"/>
    <w:rsid w:val="00EE4A1F"/>
    <w:rsid w:val="00EE4C2D"/>
    <w:rsid w:val="00EE7BE3"/>
    <w:rsid w:val="00EF0559"/>
    <w:rsid w:val="00EF1864"/>
    <w:rsid w:val="00EF1B5A"/>
    <w:rsid w:val="00EF24FB"/>
    <w:rsid w:val="00EF2CCA"/>
    <w:rsid w:val="00EF2ED8"/>
    <w:rsid w:val="00EF3E1F"/>
    <w:rsid w:val="00EF422B"/>
    <w:rsid w:val="00EF495B"/>
    <w:rsid w:val="00EF5239"/>
    <w:rsid w:val="00EF60DC"/>
    <w:rsid w:val="00EF6274"/>
    <w:rsid w:val="00EF62FD"/>
    <w:rsid w:val="00F00F54"/>
    <w:rsid w:val="00F027CC"/>
    <w:rsid w:val="00F03963"/>
    <w:rsid w:val="00F07E63"/>
    <w:rsid w:val="00F11068"/>
    <w:rsid w:val="00F1256D"/>
    <w:rsid w:val="00F129A4"/>
    <w:rsid w:val="00F13A4E"/>
    <w:rsid w:val="00F1707E"/>
    <w:rsid w:val="00F172BB"/>
    <w:rsid w:val="00F17B10"/>
    <w:rsid w:val="00F207CA"/>
    <w:rsid w:val="00F21BEF"/>
    <w:rsid w:val="00F227C3"/>
    <w:rsid w:val="00F2315B"/>
    <w:rsid w:val="00F31399"/>
    <w:rsid w:val="00F33B66"/>
    <w:rsid w:val="00F347BC"/>
    <w:rsid w:val="00F34805"/>
    <w:rsid w:val="00F37049"/>
    <w:rsid w:val="00F37BB3"/>
    <w:rsid w:val="00F413CE"/>
    <w:rsid w:val="00F41A6F"/>
    <w:rsid w:val="00F45A25"/>
    <w:rsid w:val="00F45FB0"/>
    <w:rsid w:val="00F47FF3"/>
    <w:rsid w:val="00F50F86"/>
    <w:rsid w:val="00F519FD"/>
    <w:rsid w:val="00F52593"/>
    <w:rsid w:val="00F53E74"/>
    <w:rsid w:val="00F53F91"/>
    <w:rsid w:val="00F547D0"/>
    <w:rsid w:val="00F5690A"/>
    <w:rsid w:val="00F5783F"/>
    <w:rsid w:val="00F61569"/>
    <w:rsid w:val="00F61898"/>
    <w:rsid w:val="00F61A72"/>
    <w:rsid w:val="00F6228C"/>
    <w:rsid w:val="00F62B67"/>
    <w:rsid w:val="00F62FF6"/>
    <w:rsid w:val="00F66F13"/>
    <w:rsid w:val="00F67FA2"/>
    <w:rsid w:val="00F71FF1"/>
    <w:rsid w:val="00F74073"/>
    <w:rsid w:val="00F74449"/>
    <w:rsid w:val="00F75603"/>
    <w:rsid w:val="00F81B09"/>
    <w:rsid w:val="00F82989"/>
    <w:rsid w:val="00F82DD6"/>
    <w:rsid w:val="00F845B4"/>
    <w:rsid w:val="00F8713B"/>
    <w:rsid w:val="00F91EE1"/>
    <w:rsid w:val="00F93F9E"/>
    <w:rsid w:val="00F978A5"/>
    <w:rsid w:val="00FA102F"/>
    <w:rsid w:val="00FA1A1D"/>
    <w:rsid w:val="00FA2CD7"/>
    <w:rsid w:val="00FA3BE0"/>
    <w:rsid w:val="00FA3DFB"/>
    <w:rsid w:val="00FA3F55"/>
    <w:rsid w:val="00FA6052"/>
    <w:rsid w:val="00FB063D"/>
    <w:rsid w:val="00FB06ED"/>
    <w:rsid w:val="00FB0AA7"/>
    <w:rsid w:val="00FB0B9C"/>
    <w:rsid w:val="00FB2580"/>
    <w:rsid w:val="00FB4A81"/>
    <w:rsid w:val="00FC2311"/>
    <w:rsid w:val="00FC2F51"/>
    <w:rsid w:val="00FC3165"/>
    <w:rsid w:val="00FC36AB"/>
    <w:rsid w:val="00FC4300"/>
    <w:rsid w:val="00FC49E9"/>
    <w:rsid w:val="00FC4A64"/>
    <w:rsid w:val="00FC7F66"/>
    <w:rsid w:val="00FD047B"/>
    <w:rsid w:val="00FD0B60"/>
    <w:rsid w:val="00FD2FE5"/>
    <w:rsid w:val="00FD3D0B"/>
    <w:rsid w:val="00FD5776"/>
    <w:rsid w:val="00FE00EB"/>
    <w:rsid w:val="00FE1CB6"/>
    <w:rsid w:val="00FE2157"/>
    <w:rsid w:val="00FE2370"/>
    <w:rsid w:val="00FE2BC0"/>
    <w:rsid w:val="00FE32C2"/>
    <w:rsid w:val="00FE337E"/>
    <w:rsid w:val="00FE3810"/>
    <w:rsid w:val="00FE4022"/>
    <w:rsid w:val="00FE486B"/>
    <w:rsid w:val="00FE4F08"/>
    <w:rsid w:val="00FE61E4"/>
    <w:rsid w:val="00FE6E27"/>
    <w:rsid w:val="00FF192E"/>
    <w:rsid w:val="00FF4F1E"/>
    <w:rsid w:val="00FF5A05"/>
    <w:rsid w:val="00FF6C8D"/>
    <w:rsid w:val="0204D1E1"/>
    <w:rsid w:val="0223A74C"/>
    <w:rsid w:val="05580E66"/>
    <w:rsid w:val="05941E8C"/>
    <w:rsid w:val="05B8BF47"/>
    <w:rsid w:val="0607E764"/>
    <w:rsid w:val="0639490C"/>
    <w:rsid w:val="06B79E6C"/>
    <w:rsid w:val="06B83A1B"/>
    <w:rsid w:val="083E74A5"/>
    <w:rsid w:val="086E3831"/>
    <w:rsid w:val="08793AA6"/>
    <w:rsid w:val="08E4DD3A"/>
    <w:rsid w:val="0923DCD0"/>
    <w:rsid w:val="09808F0D"/>
    <w:rsid w:val="099DC7FA"/>
    <w:rsid w:val="0C53DC94"/>
    <w:rsid w:val="0C610C97"/>
    <w:rsid w:val="0C9E08A0"/>
    <w:rsid w:val="0CBAF507"/>
    <w:rsid w:val="0CC8FDE0"/>
    <w:rsid w:val="0CE8616A"/>
    <w:rsid w:val="0E3F1B79"/>
    <w:rsid w:val="0E4468CB"/>
    <w:rsid w:val="0EAAE889"/>
    <w:rsid w:val="0FBFB391"/>
    <w:rsid w:val="11374D14"/>
    <w:rsid w:val="11AD5E0E"/>
    <w:rsid w:val="11BDB125"/>
    <w:rsid w:val="1248AA97"/>
    <w:rsid w:val="13B6617D"/>
    <w:rsid w:val="14015ED1"/>
    <w:rsid w:val="159675A5"/>
    <w:rsid w:val="1647F6C1"/>
    <w:rsid w:val="1658BC07"/>
    <w:rsid w:val="16F90854"/>
    <w:rsid w:val="17714C60"/>
    <w:rsid w:val="1A68F3C4"/>
    <w:rsid w:val="1CA7D996"/>
    <w:rsid w:val="1D544CF4"/>
    <w:rsid w:val="1D770B87"/>
    <w:rsid w:val="1E848F6B"/>
    <w:rsid w:val="1FF6D890"/>
    <w:rsid w:val="20D3F8D2"/>
    <w:rsid w:val="20E57286"/>
    <w:rsid w:val="2139DD9D"/>
    <w:rsid w:val="2146DE72"/>
    <w:rsid w:val="21DD7280"/>
    <w:rsid w:val="233B8F3C"/>
    <w:rsid w:val="243B075A"/>
    <w:rsid w:val="25457C0E"/>
    <w:rsid w:val="26A99BF7"/>
    <w:rsid w:val="2857DD1A"/>
    <w:rsid w:val="28A37C75"/>
    <w:rsid w:val="28ADB748"/>
    <w:rsid w:val="2A0196BB"/>
    <w:rsid w:val="2A169DF6"/>
    <w:rsid w:val="2A518022"/>
    <w:rsid w:val="2AC2B1F7"/>
    <w:rsid w:val="2B34E446"/>
    <w:rsid w:val="2D64D7EE"/>
    <w:rsid w:val="2DD0F9A0"/>
    <w:rsid w:val="2F5E8C27"/>
    <w:rsid w:val="2FD1EBAA"/>
    <w:rsid w:val="300B5CCC"/>
    <w:rsid w:val="30EEAD7C"/>
    <w:rsid w:val="3200C83A"/>
    <w:rsid w:val="32E330D8"/>
    <w:rsid w:val="3489D999"/>
    <w:rsid w:val="348F72B2"/>
    <w:rsid w:val="365C4AAF"/>
    <w:rsid w:val="3765F7B5"/>
    <w:rsid w:val="38AD1B15"/>
    <w:rsid w:val="39DBAC97"/>
    <w:rsid w:val="3A9E1632"/>
    <w:rsid w:val="3C5471BB"/>
    <w:rsid w:val="3CBAC313"/>
    <w:rsid w:val="3CC574CE"/>
    <w:rsid w:val="3F8FFC26"/>
    <w:rsid w:val="41A21A8B"/>
    <w:rsid w:val="42C5FC72"/>
    <w:rsid w:val="4362C868"/>
    <w:rsid w:val="43B28290"/>
    <w:rsid w:val="43D11D79"/>
    <w:rsid w:val="448E6BF2"/>
    <w:rsid w:val="44996292"/>
    <w:rsid w:val="449CE897"/>
    <w:rsid w:val="451088E8"/>
    <w:rsid w:val="47675BFE"/>
    <w:rsid w:val="47A32965"/>
    <w:rsid w:val="48A14ABA"/>
    <w:rsid w:val="48CABAD0"/>
    <w:rsid w:val="4A8F47D1"/>
    <w:rsid w:val="4ADBEAB1"/>
    <w:rsid w:val="4AE835E2"/>
    <w:rsid w:val="4AF1C3C9"/>
    <w:rsid w:val="4B2E56A0"/>
    <w:rsid w:val="4B313AE4"/>
    <w:rsid w:val="4CD60D02"/>
    <w:rsid w:val="4D105592"/>
    <w:rsid w:val="4D16242E"/>
    <w:rsid w:val="4DE3D745"/>
    <w:rsid w:val="4EEE5A12"/>
    <w:rsid w:val="5037B349"/>
    <w:rsid w:val="5099EA87"/>
    <w:rsid w:val="51625D98"/>
    <w:rsid w:val="5199A48C"/>
    <w:rsid w:val="51CA933D"/>
    <w:rsid w:val="5355EDB7"/>
    <w:rsid w:val="559BEC64"/>
    <w:rsid w:val="56CF4A7D"/>
    <w:rsid w:val="56D7DB9E"/>
    <w:rsid w:val="573C2E30"/>
    <w:rsid w:val="5757C91A"/>
    <w:rsid w:val="582436C5"/>
    <w:rsid w:val="589752FE"/>
    <w:rsid w:val="58B0863F"/>
    <w:rsid w:val="59BDF06A"/>
    <w:rsid w:val="59CD8D9C"/>
    <w:rsid w:val="5A2B5711"/>
    <w:rsid w:val="5A513074"/>
    <w:rsid w:val="5A6F213C"/>
    <w:rsid w:val="5AC0DEA8"/>
    <w:rsid w:val="5AC508BB"/>
    <w:rsid w:val="5B5A5D31"/>
    <w:rsid w:val="5BC1A7F7"/>
    <w:rsid w:val="5E45D21D"/>
    <w:rsid w:val="5E9080F7"/>
    <w:rsid w:val="5F8F33F6"/>
    <w:rsid w:val="5F90B92A"/>
    <w:rsid w:val="6243B005"/>
    <w:rsid w:val="62477CAE"/>
    <w:rsid w:val="63472E9B"/>
    <w:rsid w:val="64AD70E9"/>
    <w:rsid w:val="656F1711"/>
    <w:rsid w:val="65A93BF3"/>
    <w:rsid w:val="65B0C1BA"/>
    <w:rsid w:val="660EA5AE"/>
    <w:rsid w:val="6666B204"/>
    <w:rsid w:val="66B76D79"/>
    <w:rsid w:val="66C19534"/>
    <w:rsid w:val="66DD6D19"/>
    <w:rsid w:val="66ECBD20"/>
    <w:rsid w:val="6946BEF3"/>
    <w:rsid w:val="6A53B7A2"/>
    <w:rsid w:val="6AE64875"/>
    <w:rsid w:val="6C5D56D1"/>
    <w:rsid w:val="6D0C348D"/>
    <w:rsid w:val="6D22B098"/>
    <w:rsid w:val="6D29F618"/>
    <w:rsid w:val="6E61F497"/>
    <w:rsid w:val="6EBDB55B"/>
    <w:rsid w:val="6F139094"/>
    <w:rsid w:val="6F6D9DDD"/>
    <w:rsid w:val="70769A96"/>
    <w:rsid w:val="70F11412"/>
    <w:rsid w:val="71844298"/>
    <w:rsid w:val="71B4A243"/>
    <w:rsid w:val="72A6A184"/>
    <w:rsid w:val="73ADEB35"/>
    <w:rsid w:val="73ED9B5A"/>
    <w:rsid w:val="7438B47F"/>
    <w:rsid w:val="74D6906F"/>
    <w:rsid w:val="7561B4BD"/>
    <w:rsid w:val="75C43689"/>
    <w:rsid w:val="77A29923"/>
    <w:rsid w:val="795FC0D6"/>
    <w:rsid w:val="7ABEFDB2"/>
    <w:rsid w:val="7B0D4B0D"/>
    <w:rsid w:val="7B81C262"/>
    <w:rsid w:val="7BAC0BF4"/>
    <w:rsid w:val="7C0630A1"/>
    <w:rsid w:val="7C59094D"/>
    <w:rsid w:val="7DA03D63"/>
    <w:rsid w:val="7DA78A30"/>
    <w:rsid w:val="7E01FB23"/>
    <w:rsid w:val="7EA4F505"/>
    <w:rsid w:val="7FABD5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8C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B145BE"/>
    <w:rPr>
      <w:vertAlign w:val="superscript"/>
    </w:rPr>
  </w:style>
  <w:style w:type="paragraph" w:styleId="Tekstopmerking">
    <w:name w:val="annotation text"/>
    <w:basedOn w:val="Standaard"/>
    <w:link w:val="TekstopmerkingChar"/>
    <w:uiPriority w:val="99"/>
    <w:unhideWhenUsed/>
    <w:rsid w:val="0073751F"/>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73751F"/>
    <w:rPr>
      <w:rFonts w:asciiTheme="minorHAnsi" w:eastAsiaTheme="minorHAnsi" w:hAnsiTheme="minorHAnsi" w:cstheme="minorBidi"/>
      <w:lang w:val="nl-NL"/>
    </w:rPr>
  </w:style>
  <w:style w:type="character" w:styleId="Verwijzingopmerking">
    <w:name w:val="annotation reference"/>
    <w:basedOn w:val="Standaardalinea-lettertype"/>
    <w:uiPriority w:val="99"/>
    <w:semiHidden/>
    <w:unhideWhenUsed/>
    <w:rsid w:val="0073751F"/>
    <w:rPr>
      <w:sz w:val="16"/>
      <w:szCs w:val="16"/>
    </w:rPr>
  </w:style>
  <w:style w:type="character" w:styleId="Onopgelostemelding">
    <w:name w:val="Unresolved Mention"/>
    <w:basedOn w:val="Standaardalinea-lettertype"/>
    <w:uiPriority w:val="99"/>
    <w:semiHidden/>
    <w:unhideWhenUsed/>
    <w:rsid w:val="00EB4719"/>
    <w:rPr>
      <w:color w:val="605E5C"/>
      <w:shd w:val="clear" w:color="auto" w:fill="E1DFDD"/>
    </w:rPr>
  </w:style>
  <w:style w:type="paragraph" w:styleId="Lijstalinea">
    <w:name w:val="List Paragraph"/>
    <w:basedOn w:val="Standaard"/>
    <w:uiPriority w:val="34"/>
    <w:qFormat/>
    <w:rsid w:val="00117C1F"/>
    <w:pPr>
      <w:spacing w:after="160" w:line="279" w:lineRule="auto"/>
      <w:ind w:left="720"/>
      <w:contextualSpacing/>
    </w:pPr>
    <w:rPr>
      <w:rFonts w:asciiTheme="minorHAnsi" w:eastAsiaTheme="minorHAnsi" w:hAnsiTheme="minorHAnsi" w:cstheme="minorBidi"/>
      <w:sz w:val="24"/>
      <w:lang w:eastAsia="en-US"/>
    </w:rPr>
  </w:style>
  <w:style w:type="paragraph" w:styleId="Revisie">
    <w:name w:val="Revision"/>
    <w:hidden/>
    <w:uiPriority w:val="99"/>
    <w:semiHidden/>
    <w:rsid w:val="008F7D9B"/>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913F48"/>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913F48"/>
    <w:rPr>
      <w:rFonts w:ascii="Verdana" w:eastAsiaTheme="minorHAnsi" w:hAnsi="Verdana" w:cstheme="minorBidi"/>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noord-holland.nl/bestanden/pdf/Brief%20aan%20PS%20over%20start%20procedure%20projectbesluit%20Heracless-Groen%20Staal.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3302</ap:Words>
  <ap:Characters>18678</ap:Characters>
  <ap:DocSecurity>0</ap:DocSecurity>
  <ap:Lines>155</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2026-04-02T15:58:00.0000000Z</dcterms:created>
  <dcterms:modified xsi:type="dcterms:W3CDTF">2026-04-02T19:24:00.0000000Z</dcterms:modified>
  <dc:description>------------------------</dc:description>
  <version/>
  <category/>
</coreProperties>
</file>