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5DF" w:rsidP="006405DF" w:rsidRDefault="006405DF" w14:paraId="70D51E57" w14:textId="77777777"/>
    <w:p w:rsidR="006405DF" w:rsidP="006405DF" w:rsidRDefault="006405DF" w14:paraId="3AF9DC8D" w14:textId="77777777"/>
    <w:p w:rsidR="0034725E" w:rsidP="005F56B1" w:rsidRDefault="0034725E" w14:paraId="02794F65" w14:textId="4E6E9D89">
      <w:pPr>
        <w:pStyle w:val="Huisstijl-Kopje"/>
      </w:pPr>
    </w:p>
    <w:p w:rsidR="005F1DBC" w:rsidP="005F56B1" w:rsidRDefault="004C7CBB" w14:paraId="2BC1E71D" w14:textId="4FF4EEC8">
      <w:pPr>
        <w:pStyle w:val="Huisstijl-Kopje"/>
      </w:pPr>
      <w:r>
        <w:t>Parafenroute</w:t>
      </w:r>
    </w:p>
    <w:tbl>
      <w:tblPr>
        <w:tblpPr w:leftFromText="142" w:rightFromText="142" w:vertAnchor="text" w:horzAnchor="margin" w:tblpY="1"/>
        <w:tblW w:w="7088" w:type="dxa"/>
        <w:tblBorders>
          <w:top w:val="dotted" w:color="auto" w:sz="4" w:space="0"/>
          <w:bottom w:val="dotted" w:color="auto" w:sz="4" w:space="0"/>
          <w:insideH w:val="dotted" w:color="auto" w:sz="4" w:space="0"/>
        </w:tblBorders>
        <w:tblLayout w:type="fixed"/>
        <w:tblCellMar>
          <w:left w:w="0" w:type="dxa"/>
          <w:right w:w="0" w:type="dxa"/>
        </w:tblCellMar>
        <w:tblLook w:val="0000" w:firstRow="0" w:lastRow="0" w:firstColumn="0" w:lastColumn="0" w:noHBand="0" w:noVBand="0"/>
      </w:tblPr>
      <w:tblGrid>
        <w:gridCol w:w="2364"/>
        <w:gridCol w:w="2362"/>
        <w:gridCol w:w="2362"/>
      </w:tblGrid>
      <w:tr w:rsidR="00871B0E" w:rsidTr="00A81E91" w14:paraId="6D5C26C0" w14:textId="77777777">
        <w:trPr>
          <w:cantSplit/>
          <w:trHeight w:val="548" w:hRule="exact"/>
        </w:trPr>
        <w:tc>
          <w:tcPr>
            <w:tcW w:w="2514" w:type="dxa"/>
          </w:tcPr>
          <w:p w:rsidRPr="005503B0" w:rsidR="0087607D" w:rsidRDefault="0087607D" w14:paraId="190D38DE" w14:textId="77777777">
            <w:pPr>
              <w:pStyle w:val="Huisstijl-NotaGegeven"/>
              <w:rPr>
                <w:highlight w:val="yellow"/>
              </w:rPr>
            </w:pPr>
          </w:p>
        </w:tc>
        <w:tc>
          <w:tcPr>
            <w:tcW w:w="2513" w:type="dxa"/>
          </w:tcPr>
          <w:p w:rsidRPr="005503B0" w:rsidR="001B1A32" w:rsidRDefault="001B1A32" w14:paraId="03A6C94B" w14:textId="77777777">
            <w:pPr>
              <w:pStyle w:val="Huisstijl-NotaGegeven"/>
              <w:rPr>
                <w:highlight w:val="yellow"/>
              </w:rPr>
            </w:pPr>
          </w:p>
        </w:tc>
        <w:tc>
          <w:tcPr>
            <w:tcW w:w="2513" w:type="dxa"/>
          </w:tcPr>
          <w:p w:rsidRPr="005503B0" w:rsidR="004E4712" w:rsidRDefault="004E4712" w14:paraId="75DC8282" w14:textId="77777777">
            <w:pPr>
              <w:pStyle w:val="Huisstijl-NotaGegeven"/>
              <w:rPr>
                <w:highlight w:val="yellow"/>
              </w:rPr>
            </w:pPr>
          </w:p>
        </w:tc>
      </w:tr>
      <w:tr w:rsidR="00871B0E" w:rsidTr="00A81E91" w14:paraId="6E22190F" w14:textId="77777777">
        <w:trPr>
          <w:cantSplit/>
          <w:trHeight w:val="528" w:hRule="exact"/>
        </w:trPr>
        <w:tc>
          <w:tcPr>
            <w:tcW w:w="2514" w:type="dxa"/>
          </w:tcPr>
          <w:p w:rsidRPr="00593C2B" w:rsidR="002A7FA3" w:rsidP="00661BFE" w:rsidRDefault="002A7FA3" w14:paraId="03477BE8" w14:textId="77777777">
            <w:pPr>
              <w:pStyle w:val="Huisstijl-NotaGegeven"/>
            </w:pPr>
          </w:p>
        </w:tc>
        <w:tc>
          <w:tcPr>
            <w:tcW w:w="2513" w:type="dxa"/>
          </w:tcPr>
          <w:p w:rsidRPr="00593C2B" w:rsidR="002A7FA3" w:rsidP="00661BFE" w:rsidRDefault="002A7FA3" w14:paraId="686912F9" w14:textId="77777777">
            <w:pPr>
              <w:pStyle w:val="Huisstijl-NotaGegeven"/>
            </w:pPr>
          </w:p>
        </w:tc>
        <w:tc>
          <w:tcPr>
            <w:tcW w:w="2513" w:type="dxa"/>
          </w:tcPr>
          <w:p w:rsidRPr="00593C2B" w:rsidR="002A7FA3" w:rsidP="00661BFE" w:rsidRDefault="002A7FA3" w14:paraId="2209D44C" w14:textId="77777777">
            <w:pPr>
              <w:pStyle w:val="Huisstijl-NotaGegeven"/>
            </w:pPr>
          </w:p>
        </w:tc>
      </w:tr>
    </w:tbl>
    <w:p w:rsidRPr="00F04F0A" w:rsidR="00F04F0A" w:rsidP="00F04F0A" w:rsidRDefault="00F04F0A" w14:paraId="2D285028" w14:textId="77777777">
      <w:pPr>
        <w:spacing w:line="240" w:lineRule="auto"/>
        <w:rPr>
          <w:sz w:val="2"/>
          <w:szCs w:val="2"/>
        </w:rPr>
      </w:pPr>
    </w:p>
    <w:p w:rsidR="0028799F" w:rsidP="00AF78B4" w:rsidRDefault="0028799F" w14:paraId="7E97E42C" w14:textId="3BF40C64"/>
    <w:p w:rsidR="0093653B" w:rsidP="00AF78B4" w:rsidRDefault="0093653B" w14:paraId="0C014DB1" w14:textId="31E9E0D7"/>
    <w:p w:rsidR="0093653B" w:rsidP="00AF78B4" w:rsidRDefault="0093653B" w14:paraId="63E083C2" w14:textId="794773F5"/>
    <w:p w:rsidR="00860AA2" w:rsidP="00AF78B4" w:rsidRDefault="00860AA2" w14:paraId="7004D673" w14:textId="77777777"/>
    <w:p w:rsidR="008A3920" w:rsidP="008A3920" w:rsidRDefault="004C7CBB" w14:paraId="4CD6E29D" w14:textId="77777777">
      <w:pPr>
        <w:rPr>
          <w:rFonts w:asciiTheme="minorHAnsi" w:hAnsiTheme="minorHAnsi" w:cstheme="minorHAnsi"/>
          <w:sz w:val="28"/>
          <w:szCs w:val="28"/>
        </w:rPr>
      </w:pPr>
      <w:r>
        <w:rPr>
          <w:rFonts w:asciiTheme="minorHAnsi" w:hAnsiTheme="minorHAnsi" w:cstheme="minorHAnsi"/>
          <w:sz w:val="28"/>
          <w:szCs w:val="28"/>
        </w:rPr>
        <w:t>Aanleiding</w:t>
      </w:r>
    </w:p>
    <w:p w:rsidR="00403247" w:rsidP="7E4E951A" w:rsidRDefault="00403247" w14:paraId="7E8B4025" w14:textId="20270AC4">
      <w:bookmarkStart w:name="bm_Besluit" w:id="0"/>
      <w:r>
        <w:t>De volgende ontwikkelingen</w:t>
      </w:r>
      <w:r w:rsidR="009B57E3">
        <w:t xml:space="preserve"> en het plenaire debat over </w:t>
      </w:r>
      <w:r w:rsidR="00ED381F">
        <w:t>de Joint Letter of Intent met Tata Steel (JLoI) van 7 april a.s.,</w:t>
      </w:r>
      <w:r>
        <w:t xml:space="preserve"> geven aanleiding om</w:t>
      </w:r>
      <w:r w:rsidR="00AA780B">
        <w:t>, samen met de staatssecretaris van IenW,</w:t>
      </w:r>
      <w:r>
        <w:t xml:space="preserve"> de Kamer</w:t>
      </w:r>
      <w:r w:rsidR="00ED381F">
        <w:t xml:space="preserve"> op korte termijn</w:t>
      </w:r>
      <w:r>
        <w:t xml:space="preserve"> te informeren</w:t>
      </w:r>
      <w:r w:rsidR="6C1EEE06">
        <w:t xml:space="preserve"> over</w:t>
      </w:r>
      <w:r>
        <w:t>:</w:t>
      </w:r>
    </w:p>
    <w:p w:rsidR="00403247" w:rsidP="00403247" w:rsidRDefault="00DF7016" w14:paraId="191FFB5B" w14:textId="4DA6CADF">
      <w:pPr>
        <w:pStyle w:val="Lijstalinea"/>
        <w:numPr>
          <w:ilvl w:val="0"/>
          <w:numId w:val="18"/>
        </w:numPr>
      </w:pPr>
      <w:r>
        <w:t xml:space="preserve">de </w:t>
      </w:r>
      <w:r w:rsidR="006721D4">
        <w:t>a</w:t>
      </w:r>
      <w:r w:rsidR="00403247">
        <w:t xml:space="preserve">fronding van de </w:t>
      </w:r>
      <w:r w:rsidR="00AB0E8E">
        <w:t xml:space="preserve">publieke consultatie </w:t>
      </w:r>
      <w:r w:rsidR="00892184">
        <w:t>van de Joint Letter of Intent</w:t>
      </w:r>
      <w:r w:rsidR="60D1794F">
        <w:t xml:space="preserve"> (JLoI)</w:t>
      </w:r>
      <w:r w:rsidR="00AA780B">
        <w:t xml:space="preserve"> met Tata Steel</w:t>
      </w:r>
      <w:r w:rsidR="006721D4">
        <w:t>;</w:t>
      </w:r>
    </w:p>
    <w:p w:rsidR="008A3920" w:rsidP="008A3920" w:rsidRDefault="6B7680B8" w14:paraId="76EF802A" w14:textId="7D1F4B82">
      <w:pPr>
        <w:pStyle w:val="Lijstalinea"/>
        <w:numPr>
          <w:ilvl w:val="0"/>
          <w:numId w:val="18"/>
        </w:numPr>
      </w:pPr>
      <w:r>
        <w:t xml:space="preserve">de </w:t>
      </w:r>
      <w:r w:rsidR="3D905A2E">
        <w:t xml:space="preserve">oplevering van de </w:t>
      </w:r>
      <w:r w:rsidR="00DD2D5D">
        <w:t xml:space="preserve">rapportage </w:t>
      </w:r>
      <w:r w:rsidRPr="00403247" w:rsidR="3B84E992">
        <w:rPr>
          <w:rFonts w:eastAsia="Verdana" w:cs="Verdana"/>
          <w:color w:val="000000" w:themeColor="text1"/>
        </w:rPr>
        <w:t>van</w:t>
      </w:r>
      <w:r w:rsidRPr="00403247" w:rsidR="43A47515">
        <w:rPr>
          <w:rFonts w:eastAsia="Verdana" w:cs="Verdana"/>
          <w:color w:val="000000" w:themeColor="text1"/>
        </w:rPr>
        <w:t xml:space="preserve"> </w:t>
      </w:r>
      <w:r w:rsidRPr="00403247" w:rsidR="3B84E992">
        <w:rPr>
          <w:rFonts w:eastAsia="Verdana" w:cs="Verdana"/>
          <w:color w:val="000000" w:themeColor="text1"/>
        </w:rPr>
        <w:t>de</w:t>
      </w:r>
      <w:r w:rsidRPr="00403247" w:rsidR="7E8C8CA5">
        <w:rPr>
          <w:rFonts w:eastAsia="Verdana" w:cs="Verdana"/>
          <w:color w:val="000000" w:themeColor="text1"/>
        </w:rPr>
        <w:t xml:space="preserve"> </w:t>
      </w:r>
      <w:r w:rsidRPr="00403247" w:rsidR="3B84E992">
        <w:rPr>
          <w:rFonts w:eastAsia="Verdana" w:cs="Verdana"/>
          <w:color w:val="000000" w:themeColor="text1"/>
        </w:rPr>
        <w:t>werkgroep GER-TSN</w:t>
      </w:r>
      <w:r w:rsidR="00DD2D5D">
        <w:rPr>
          <w:rFonts w:eastAsia="Verdana" w:cs="Verdana"/>
          <w:color w:val="000000" w:themeColor="text1"/>
        </w:rPr>
        <w:t>: “</w:t>
      </w:r>
      <w:r w:rsidRPr="00DD2D5D" w:rsidR="00DD2D5D">
        <w:rPr>
          <w:rFonts w:eastAsia="Verdana" w:cs="Verdana"/>
          <w:i/>
          <w:iCs/>
          <w:color w:val="000000" w:themeColor="text1"/>
        </w:rPr>
        <w:t>Inschatting gezondheidseffecten van een deel van de aanvullende maatregelen conform Joint Letter of Intent van Tata Steel, de provincie Noord-Hollan</w:t>
      </w:r>
      <w:r w:rsidR="00DD2D5D">
        <w:rPr>
          <w:rFonts w:eastAsia="Verdana" w:cs="Verdana"/>
          <w:i/>
          <w:iCs/>
          <w:color w:val="000000" w:themeColor="text1"/>
        </w:rPr>
        <w:t>d</w:t>
      </w:r>
      <w:r w:rsidRPr="00DD2D5D" w:rsidR="00DD2D5D">
        <w:rPr>
          <w:rFonts w:eastAsia="Verdana" w:cs="Verdana"/>
          <w:i/>
          <w:iCs/>
          <w:color w:val="000000" w:themeColor="text1"/>
        </w:rPr>
        <w:t xml:space="preserve"> en de Staat</w:t>
      </w:r>
      <w:r w:rsidR="00DD2D5D">
        <w:rPr>
          <w:rFonts w:eastAsia="Verdana" w:cs="Verdana"/>
          <w:color w:val="000000" w:themeColor="text1"/>
        </w:rPr>
        <w:t>”</w:t>
      </w:r>
      <w:r w:rsidR="006721D4">
        <w:t>;</w:t>
      </w:r>
      <w:r w:rsidR="0020141E">
        <w:t xml:space="preserve"> </w:t>
      </w:r>
    </w:p>
    <w:p w:rsidRPr="00595104" w:rsidR="0020141E" w:rsidP="008A3920" w:rsidRDefault="0020141E" w14:paraId="070A6CD5" w14:textId="53A195F3">
      <w:pPr>
        <w:pStyle w:val="Lijstalinea"/>
        <w:numPr>
          <w:ilvl w:val="0"/>
          <w:numId w:val="18"/>
        </w:numPr>
      </w:pPr>
      <w:r>
        <w:t>het verzoek van de vaste commissie van Infrastructuur en Waterstaat</w:t>
      </w:r>
      <w:r w:rsidR="00595104">
        <w:t xml:space="preserve"> op 26 maart jl.</w:t>
      </w:r>
      <w:r>
        <w:t xml:space="preserve"> om </w:t>
      </w:r>
      <w:r w:rsidRPr="5E45C2B2" w:rsidR="008A3C9D">
        <w:rPr>
          <w:rFonts w:eastAsia="Calibri" w:cs="Calibri"/>
          <w:szCs w:val="18"/>
        </w:rPr>
        <w:t xml:space="preserve">een </w:t>
      </w:r>
      <w:r w:rsidRPr="7D7B7D97" w:rsidR="003A7A85">
        <w:rPr>
          <w:rFonts w:eastAsia="Calibri" w:cs="Calibri"/>
          <w:szCs w:val="18"/>
        </w:rPr>
        <w:t xml:space="preserve">reactie </w:t>
      </w:r>
      <w:r w:rsidR="003A7A85">
        <w:rPr>
          <w:rFonts w:eastAsia="Calibri" w:cs="Calibri"/>
          <w:szCs w:val="18"/>
        </w:rPr>
        <w:t>te</w:t>
      </w:r>
      <w:r w:rsidR="00595104">
        <w:rPr>
          <w:rFonts w:eastAsia="Calibri" w:cs="Calibri"/>
          <w:szCs w:val="18"/>
        </w:rPr>
        <w:t xml:space="preserve"> </w:t>
      </w:r>
      <w:r w:rsidRPr="7D7B7D97" w:rsidR="008A3C9D">
        <w:rPr>
          <w:rFonts w:eastAsia="Calibri" w:cs="Calibri"/>
          <w:szCs w:val="18"/>
        </w:rPr>
        <w:t xml:space="preserve">geven op de </w:t>
      </w:r>
      <w:r w:rsidRPr="0A2FC3F2" w:rsidR="008A3C9D">
        <w:rPr>
          <w:rFonts w:eastAsia="Calibri" w:cs="Calibri"/>
          <w:i/>
          <w:szCs w:val="18"/>
        </w:rPr>
        <w:t>position papers</w:t>
      </w:r>
      <w:r w:rsidRPr="6B72F859" w:rsidR="008A3C9D">
        <w:rPr>
          <w:rFonts w:eastAsia="Calibri" w:cs="Calibri"/>
          <w:szCs w:val="18"/>
        </w:rPr>
        <w:t xml:space="preserve"> van </w:t>
      </w:r>
      <w:r w:rsidRPr="2BBE0F49" w:rsidR="008A3C9D">
        <w:rPr>
          <w:rFonts w:eastAsia="Calibri" w:cs="Calibri"/>
          <w:szCs w:val="18"/>
        </w:rPr>
        <w:t xml:space="preserve">de </w:t>
      </w:r>
      <w:r w:rsidRPr="5C599A75" w:rsidR="008A3C9D">
        <w:rPr>
          <w:rFonts w:eastAsia="Calibri" w:cs="Calibri"/>
          <w:szCs w:val="18"/>
        </w:rPr>
        <w:t>Commissie mer</w:t>
      </w:r>
      <w:r w:rsidRPr="2BBE0F49" w:rsidR="008A3C9D">
        <w:rPr>
          <w:rFonts w:eastAsia="Calibri" w:cs="Calibri"/>
          <w:szCs w:val="18"/>
        </w:rPr>
        <w:t xml:space="preserve"> en de Expertgroep </w:t>
      </w:r>
      <w:r w:rsidRPr="791B2632" w:rsidR="008A3C9D">
        <w:rPr>
          <w:rFonts w:eastAsia="Calibri" w:cs="Calibri"/>
          <w:szCs w:val="18"/>
        </w:rPr>
        <w:t>Gezondheid IJmond</w:t>
      </w:r>
      <w:r w:rsidR="008A3C9D">
        <w:rPr>
          <w:rFonts w:eastAsia="Calibri" w:cs="Calibri"/>
          <w:szCs w:val="18"/>
        </w:rPr>
        <w:t xml:space="preserve"> die op 19 maart jl. </w:t>
      </w:r>
      <w:r w:rsidR="00AA780B">
        <w:rPr>
          <w:rFonts w:eastAsia="Calibri" w:cs="Calibri"/>
          <w:szCs w:val="18"/>
        </w:rPr>
        <w:t>aan de Kamer zijn gestuurd</w:t>
      </w:r>
      <w:r w:rsidR="00595104">
        <w:rPr>
          <w:rFonts w:eastAsia="Calibri" w:cs="Calibri"/>
          <w:szCs w:val="18"/>
        </w:rPr>
        <w:t>; en</w:t>
      </w:r>
      <w:r w:rsidR="00AA780B">
        <w:rPr>
          <w:rFonts w:eastAsia="Calibri" w:cs="Calibri"/>
          <w:szCs w:val="18"/>
        </w:rPr>
        <w:t xml:space="preserve"> </w:t>
      </w:r>
    </w:p>
    <w:p w:rsidRPr="00AA780B" w:rsidR="00595104" w:rsidP="008A3920" w:rsidRDefault="00595104" w14:paraId="1CAF64A8" w14:textId="2B657961">
      <w:pPr>
        <w:pStyle w:val="Lijstalinea"/>
        <w:numPr>
          <w:ilvl w:val="0"/>
          <w:numId w:val="18"/>
        </w:numPr>
      </w:pPr>
      <w:r>
        <w:t xml:space="preserve">de benoeming van de heer Asscher als ministerieel gezant Tata Steel. </w:t>
      </w:r>
    </w:p>
    <w:p w:rsidR="00AA780B" w:rsidP="00AA780B" w:rsidRDefault="00AA780B" w14:paraId="5AC0DAA8" w14:textId="77777777">
      <w:pPr>
        <w:pStyle w:val="Lijstalinea"/>
      </w:pPr>
    </w:p>
    <w:p w:rsidR="008A3920" w:rsidP="008A3920" w:rsidRDefault="004C7CBB" w14:paraId="5D14D01B" w14:textId="77777777">
      <w:pPr>
        <w:jc w:val="both"/>
        <w:rPr>
          <w:rFonts w:asciiTheme="minorHAnsi" w:hAnsiTheme="minorHAnsi" w:cstheme="minorHAnsi"/>
          <w:sz w:val="28"/>
          <w:szCs w:val="28"/>
        </w:rPr>
      </w:pPr>
      <w:r>
        <w:rPr>
          <w:rFonts w:asciiTheme="minorHAnsi" w:hAnsiTheme="minorHAnsi" w:cstheme="minorHAnsi"/>
          <w:sz w:val="28"/>
          <w:szCs w:val="28"/>
        </w:rPr>
        <w:t>Geadviseerd besluit</w:t>
      </w:r>
    </w:p>
    <w:p w:rsidRPr="007527C5" w:rsidR="008A3920" w:rsidP="008A3920" w:rsidRDefault="007527C5" w14:paraId="02808E87" w14:textId="30BC6EB7">
      <w:pPr>
        <w:jc w:val="both"/>
      </w:pPr>
      <w:r w:rsidRPr="007527C5">
        <w:t>U kunt akkoord gaan met verzending van de brief naar de Kamer</w:t>
      </w:r>
      <w:r>
        <w:t>.</w:t>
      </w:r>
    </w:p>
    <w:p w:rsidR="008A3920" w:rsidP="008A3920" w:rsidRDefault="008A3920" w14:paraId="2BB7CDEA" w14:textId="77777777"/>
    <w:bookmarkEnd w:id="0"/>
    <w:p w:rsidR="008A3920" w:rsidP="008A3920" w:rsidRDefault="004C7CBB" w14:paraId="4563522A" w14:textId="77777777">
      <w:pPr>
        <w:pStyle w:val="Geenafstand"/>
        <w:rPr>
          <w:rFonts w:asciiTheme="minorHAnsi" w:hAnsiTheme="minorHAnsi" w:eastAsiaTheme="minorHAnsi" w:cstheme="minorHAnsi"/>
          <w:sz w:val="28"/>
          <w:szCs w:val="22"/>
        </w:rPr>
      </w:pPr>
      <w:r>
        <w:rPr>
          <w:rFonts w:asciiTheme="minorHAnsi" w:hAnsiTheme="minorHAnsi" w:cstheme="minorHAnsi"/>
          <w:sz w:val="28"/>
        </w:rPr>
        <w:t>Kernpunten</w:t>
      </w:r>
    </w:p>
    <w:p w:rsidRPr="00F23C49" w:rsidR="00F23C49" w:rsidP="00F23C49" w:rsidRDefault="00F23C49" w14:paraId="391F261F" w14:textId="6FC2E470">
      <w:pPr>
        <w:rPr>
          <w:i/>
          <w:iCs/>
        </w:rPr>
      </w:pPr>
      <w:r>
        <w:rPr>
          <w:i/>
          <w:iCs/>
        </w:rPr>
        <w:t>Publieke consultatie</w:t>
      </w:r>
    </w:p>
    <w:p w:rsidR="00F14B91" w:rsidP="00F23C49" w:rsidRDefault="00AA780B" w14:paraId="2E9195EA" w14:textId="77777777">
      <w:pPr>
        <w:pStyle w:val="Lijstalinea"/>
        <w:numPr>
          <w:ilvl w:val="0"/>
          <w:numId w:val="18"/>
        </w:numPr>
      </w:pPr>
      <w:r>
        <w:t xml:space="preserve">De hoofdlijnen van de </w:t>
      </w:r>
      <w:r w:rsidR="00C90381">
        <w:t xml:space="preserve">444 </w:t>
      </w:r>
      <w:r w:rsidR="00DD2AA2">
        <w:t xml:space="preserve">reacties op </w:t>
      </w:r>
      <w:r w:rsidR="001B7B6A">
        <w:t>de</w:t>
      </w:r>
      <w:r w:rsidR="00DD2AA2">
        <w:t xml:space="preserve"> </w:t>
      </w:r>
      <w:r>
        <w:t xml:space="preserve">publieke </w:t>
      </w:r>
      <w:r w:rsidR="00DD2AA2">
        <w:t>consultatie</w:t>
      </w:r>
      <w:r>
        <w:t xml:space="preserve">. Waarbij u benoemt dat </w:t>
      </w:r>
      <w:r w:rsidR="00C90381">
        <w:t xml:space="preserve">ca. 70% </w:t>
      </w:r>
      <w:r w:rsidR="00BD55D6">
        <w:t>overwegend instemmend heeft gereageerd op de JLoI en ca. 25% zich kritisch heeft uitgelaten.</w:t>
      </w:r>
      <w:r w:rsidR="00A14732">
        <w:t xml:space="preserve"> </w:t>
      </w:r>
    </w:p>
    <w:p w:rsidR="00BD55D6" w:rsidP="045D8D01" w:rsidRDefault="00A14732" w14:paraId="74A02A56" w14:textId="6554B2E9">
      <w:pPr>
        <w:pStyle w:val="Lijstalinea"/>
        <w:numPr>
          <w:ilvl w:val="0"/>
          <w:numId w:val="18"/>
        </w:numPr>
        <w:rPr>
          <w:rFonts w:eastAsia="Verdana" w:cs="Verdana"/>
          <w:color w:val="000000" w:themeColor="text1"/>
          <w:szCs w:val="18"/>
        </w:rPr>
      </w:pPr>
      <w:r>
        <w:lastRenderedPageBreak/>
        <w:t>Ook benoemt u dat – waar mogelijk – de reacties worden meegenomen, maar dat o.a. vanwege de tegenstrijdigheid van de reacties niet alles kan worden overgenomen.</w:t>
      </w:r>
      <w:r w:rsidR="0063875C">
        <w:t xml:space="preserve"> </w:t>
      </w:r>
      <w:r w:rsidRPr="045D8D01" w:rsidR="0063875C">
        <w:rPr>
          <w:rFonts w:eastAsia="Verdana" w:cs="Verdana"/>
          <w:color w:val="000000" w:themeColor="text1"/>
          <w:szCs w:val="18"/>
        </w:rPr>
        <w:t xml:space="preserve">Voor enkele inhoudelijke onderwerpen geldt dat in de JLoI al is aangegeven dat dit nader zal worden uitgewerkt in de maatwerkafspraak, bijvoorbeeld </w:t>
      </w:r>
      <w:r w:rsidRPr="045D8D01" w:rsidR="5E1F6421">
        <w:rPr>
          <w:rFonts w:eastAsia="Verdana" w:cs="Verdana"/>
          <w:color w:val="000000" w:themeColor="text1"/>
          <w:szCs w:val="18"/>
        </w:rPr>
        <w:t>op gebied</w:t>
      </w:r>
      <w:r w:rsidRPr="045D8D01" w:rsidR="0063875C">
        <w:rPr>
          <w:rFonts w:eastAsia="Verdana" w:cs="Verdana"/>
          <w:color w:val="000000" w:themeColor="text1"/>
          <w:szCs w:val="18"/>
        </w:rPr>
        <w:t xml:space="preserve"> </w:t>
      </w:r>
      <w:r w:rsidRPr="045D8D01" w:rsidR="5E1F6421">
        <w:rPr>
          <w:rFonts w:eastAsia="Verdana" w:cs="Verdana"/>
          <w:color w:val="000000" w:themeColor="text1"/>
          <w:szCs w:val="18"/>
        </w:rPr>
        <w:t xml:space="preserve">van </w:t>
      </w:r>
      <w:r w:rsidRPr="045D8D01" w:rsidR="0063875C">
        <w:rPr>
          <w:rFonts w:eastAsia="Verdana" w:cs="Verdana"/>
          <w:color w:val="000000" w:themeColor="text1"/>
          <w:szCs w:val="18"/>
        </w:rPr>
        <w:t>financiële borging</w:t>
      </w:r>
      <w:r w:rsidRPr="045D8D01" w:rsidR="5086EECD">
        <w:rPr>
          <w:rFonts w:eastAsia="Verdana" w:cs="Verdana"/>
          <w:color w:val="000000" w:themeColor="text1"/>
          <w:szCs w:val="18"/>
        </w:rPr>
        <w:t xml:space="preserve"> en meten en monitoren</w:t>
      </w:r>
      <w:r w:rsidRPr="045D8D01" w:rsidR="0812482F">
        <w:rPr>
          <w:rFonts w:eastAsia="Verdana" w:cs="Verdana"/>
          <w:color w:val="000000" w:themeColor="text1"/>
          <w:szCs w:val="18"/>
        </w:rPr>
        <w:t>.</w:t>
      </w:r>
    </w:p>
    <w:p w:rsidR="17D69D87" w:rsidP="045D8D01" w:rsidRDefault="17D69D87" w14:paraId="78F1B5C4" w14:textId="097CCB8D">
      <w:pPr>
        <w:pStyle w:val="Lijstalinea"/>
        <w:numPr>
          <w:ilvl w:val="0"/>
          <w:numId w:val="18"/>
        </w:numPr>
        <w:rPr>
          <w:rFonts w:eastAsia="Verdana" w:cs="Verdana"/>
          <w:color w:val="000000" w:themeColor="text1"/>
          <w:szCs w:val="18"/>
        </w:rPr>
      </w:pPr>
      <w:r w:rsidRPr="045D8D01">
        <w:rPr>
          <w:rFonts w:eastAsia="Verdana" w:cs="Verdana"/>
          <w:color w:val="000000" w:themeColor="text1"/>
          <w:szCs w:val="18"/>
        </w:rPr>
        <w:t>De reacties op de consultatie worden als bijlage bij de brief met de Kamer gedeeld in de vorm van een hoofdlijnenverslag.</w:t>
      </w:r>
    </w:p>
    <w:p w:rsidR="40307870" w:rsidP="40307870" w:rsidRDefault="40307870" w14:paraId="051E27F7" w14:textId="38098AFB">
      <w:pPr>
        <w:rPr>
          <w:i/>
          <w:iCs/>
        </w:rPr>
      </w:pPr>
    </w:p>
    <w:p w:rsidRPr="007F6A98" w:rsidR="007F6A98" w:rsidP="007F6A98" w:rsidRDefault="007F6A98" w14:paraId="1839C190" w14:textId="77777777">
      <w:pPr>
        <w:rPr>
          <w:i/>
          <w:iCs/>
        </w:rPr>
      </w:pPr>
      <w:r w:rsidRPr="007F6A98">
        <w:rPr>
          <w:i/>
          <w:iCs/>
        </w:rPr>
        <w:t>Rapportage werkgroep GER-TSN</w:t>
      </w:r>
    </w:p>
    <w:p w:rsidRPr="007F6A98" w:rsidR="007F6A98" w:rsidP="007F6A98" w:rsidRDefault="007F6A98" w14:paraId="7AC36323" w14:textId="77777777">
      <w:pPr>
        <w:numPr>
          <w:ilvl w:val="0"/>
          <w:numId w:val="19"/>
        </w:numPr>
      </w:pPr>
      <w:r w:rsidRPr="007F6A98">
        <w:t>Naar aanleiding van een advies van de Expertgroep Gezondheid IJmond</w:t>
      </w:r>
      <w:r w:rsidRPr="007F6A98">
        <w:rPr>
          <w:vertAlign w:val="superscript"/>
        </w:rPr>
        <w:footnoteReference w:id="1"/>
      </w:r>
      <w:r w:rsidRPr="007F6A98">
        <w:t xml:space="preserve"> en de motie-Gabriëls c.s.</w:t>
      </w:r>
      <w:r w:rsidRPr="007F6A98">
        <w:rPr>
          <w:vertAlign w:val="superscript"/>
        </w:rPr>
        <w:footnoteReference w:id="2"/>
      </w:r>
      <w:r w:rsidRPr="007F6A98">
        <w:t xml:space="preserve"> is in 2024 gestart met het concretiseren van een gezondheidseffectrapportage (GER) voor de TSN-plannen. Voor de ontwikkeling van de GER heeft het ministerie van IenW een onafhankelijke werkgroep ingesteld.</w:t>
      </w:r>
    </w:p>
    <w:p w:rsidRPr="007F6A98" w:rsidR="007F6A98" w:rsidP="007F6A98" w:rsidRDefault="007F6A98" w14:paraId="34BF2DE7" w14:textId="77777777">
      <w:pPr>
        <w:numPr>
          <w:ilvl w:val="0"/>
          <w:numId w:val="19"/>
        </w:numPr>
      </w:pPr>
      <w:r w:rsidRPr="007F6A98">
        <w:t>De GER-TSN heeft tot doel inzicht te bieden in de effecten van de beoogde maatwerkafspraak op de gezondheid van omwonenden. De GER zal geen oordeel bevatten over de vraag of de voorgenomen maatregelen voldoende of onvoldoende zijn om de gezondheid van werknemers en omwonenden te borgen; het is een instrument om de gezondheidseffecten in kaart te brengen. De GER kan, ook na het sluiten van de maatwerkafspraak, helpen om inzichtelijk te krijgen of de doelen gehaald worden.</w:t>
      </w:r>
    </w:p>
    <w:p w:rsidRPr="007F6A98" w:rsidR="007F6A98" w:rsidP="007F6A98" w:rsidRDefault="007F6A98" w14:paraId="2550B7E2" w14:textId="77777777">
      <w:pPr>
        <w:numPr>
          <w:ilvl w:val="0"/>
          <w:numId w:val="19"/>
        </w:numPr>
      </w:pPr>
      <w:r w:rsidRPr="007F6A98">
        <w:t xml:space="preserve">Vanwege de gedeelde wens van alle betrokkenen om tempo te maken en om de inzichten van de GER-TSN mee te nemen, is de werkgroep GER-TSN begonnen met een </w:t>
      </w:r>
      <w:r w:rsidRPr="007F6A98">
        <w:rPr>
          <w:u w:val="single"/>
        </w:rPr>
        <w:t xml:space="preserve">inschatting </w:t>
      </w:r>
      <w:r w:rsidRPr="007F6A98">
        <w:t xml:space="preserve">van de gezondheidseffecten van </w:t>
      </w:r>
      <w:r w:rsidRPr="007F6A98">
        <w:rPr>
          <w:u w:val="single"/>
        </w:rPr>
        <w:t xml:space="preserve">een deel </w:t>
      </w:r>
      <w:r w:rsidRPr="007F6A98">
        <w:t xml:space="preserve">van de milieumaatregelen uit de JLoI (windschermen, overkappingen). De rapportage van deze inschatting wordt met deze brief naar de Kamer verzonden. Deze rapportage wordt meegenomen in de uitwerking van de maatwerkafspraak. Eventuele tussentijdse inzichten van de GER-TSN worden ook meegenomen in het komen tot een maatwerkafspraak. </w:t>
      </w:r>
    </w:p>
    <w:p w:rsidRPr="007F6A98" w:rsidR="007F6A98" w:rsidP="007F6A98" w:rsidRDefault="007F6A98" w14:paraId="24AB1F16" w14:textId="77777777">
      <w:pPr>
        <w:numPr>
          <w:ilvl w:val="0"/>
          <w:numId w:val="19"/>
        </w:numPr>
      </w:pPr>
      <w:r w:rsidRPr="007F6A98">
        <w:t xml:space="preserve">Uit de rapportage komt naar voren dat de onderzochte maatregelen (beperkte) gezondheidswinst opleveren voor de omwonenden van Tata Steel.  </w:t>
      </w:r>
    </w:p>
    <w:p w:rsidRPr="007F6A98" w:rsidR="007F6A98" w:rsidP="007F6A98" w:rsidRDefault="007F6A98" w14:paraId="53D45B7E" w14:textId="77777777">
      <w:pPr>
        <w:numPr>
          <w:ilvl w:val="0"/>
          <w:numId w:val="19"/>
        </w:numPr>
      </w:pPr>
      <w:r w:rsidRPr="007F6A98">
        <w:t xml:space="preserve">Komende tijd zal verder worden gewerkt aan de GER. Daarbij zet eenieder zich in om snelheid te behouden, in lijn met de wensen van de Kamer. De werkgroep heeft aangegeven dat een GER idealiter wordt opgesteld op basis van een definitieve MER, die ook beoordeeld is door de Commissie mer en het bevoegd gezag, omdat de data dan volledig gevalideerd zijn. Deze versie van het MER is nog niet beschikbaar. Doordat de GER voor het eerst wordt uitgevoerd en de uitvoering afhankelijk is van de m.e.r.-procedure, is de exacte duur van de verdere uitvoering niet geheel te voorspellen. </w:t>
      </w:r>
    </w:p>
    <w:p w:rsidR="00F07831" w:rsidP="00F07831" w:rsidRDefault="00F07831" w14:paraId="02C21460" w14:textId="77777777">
      <w:r>
        <w:t xml:space="preserve"> </w:t>
      </w:r>
    </w:p>
    <w:p w:rsidRPr="00F07831" w:rsidR="00314521" w:rsidP="00F07831" w:rsidRDefault="00F07831" w14:paraId="5CEB34A4" w14:textId="0D68A657">
      <w:pPr>
        <w:rPr>
          <w:i/>
          <w:iCs/>
        </w:rPr>
      </w:pPr>
      <w:r w:rsidRPr="00F07831">
        <w:rPr>
          <w:i/>
          <w:iCs/>
        </w:rPr>
        <w:t>Position papers</w:t>
      </w:r>
    </w:p>
    <w:p w:rsidRPr="007F6A98" w:rsidR="007F6A98" w:rsidP="007F6A98" w:rsidRDefault="007F6A98" w14:paraId="0068AFED" w14:textId="77777777">
      <w:pPr>
        <w:pStyle w:val="Lijstalinea"/>
        <w:numPr>
          <w:ilvl w:val="0"/>
          <w:numId w:val="18"/>
        </w:numPr>
        <w:rPr>
          <w:rFonts w:eastAsia="Verdana" w:cs="Verdana"/>
          <w:color w:val="000000" w:themeColor="text1"/>
          <w:szCs w:val="18"/>
        </w:rPr>
      </w:pPr>
      <w:r w:rsidRPr="007F6A98">
        <w:rPr>
          <w:rFonts w:eastAsia="Verdana" w:cs="Verdana"/>
          <w:color w:val="000000" w:themeColor="text1"/>
          <w:szCs w:val="18"/>
        </w:rPr>
        <w:lastRenderedPageBreak/>
        <w:t xml:space="preserve">Het </w:t>
      </w:r>
      <w:r w:rsidRPr="007F6A98">
        <w:rPr>
          <w:rFonts w:eastAsia="Verdana" w:cs="Verdana"/>
          <w:i/>
          <w:iCs/>
          <w:color w:val="000000" w:themeColor="text1"/>
          <w:szCs w:val="18"/>
        </w:rPr>
        <w:t xml:space="preserve">position paper </w:t>
      </w:r>
      <w:r w:rsidRPr="007F6A98">
        <w:rPr>
          <w:rFonts w:eastAsia="Verdana" w:cs="Verdana"/>
          <w:color w:val="000000" w:themeColor="text1"/>
          <w:szCs w:val="18"/>
        </w:rPr>
        <w:t xml:space="preserve">van de Commissie mer schetst de rol van de Commissie mer en de hoofdlijnen van het tussentijdse advies over het tussentijdse MER, in lijn met het wettelijk kader (de Omgevingswet). Het kabinet stelt vast dat het </w:t>
      </w:r>
      <w:r w:rsidRPr="007F6A98">
        <w:rPr>
          <w:rFonts w:eastAsia="Verdana" w:cs="Verdana"/>
          <w:i/>
          <w:iCs/>
          <w:color w:val="000000" w:themeColor="text1"/>
          <w:szCs w:val="18"/>
        </w:rPr>
        <w:t>position paper</w:t>
      </w:r>
      <w:r w:rsidRPr="007F6A98">
        <w:rPr>
          <w:rFonts w:eastAsia="Verdana" w:cs="Verdana"/>
          <w:color w:val="000000" w:themeColor="text1"/>
          <w:szCs w:val="18"/>
        </w:rPr>
        <w:t xml:space="preserve"> een beschrijving bevat van de feitelijk geldende situatie. Daarmee behoeft dit geen aanvullende reactie. </w:t>
      </w:r>
    </w:p>
    <w:p w:rsidRPr="007F6A98" w:rsidR="007F6A98" w:rsidP="007F6A98" w:rsidRDefault="007F6A98" w14:paraId="4B31B66B" w14:textId="77777777">
      <w:pPr>
        <w:pStyle w:val="Lijstalinea"/>
        <w:numPr>
          <w:ilvl w:val="0"/>
          <w:numId w:val="18"/>
        </w:numPr>
        <w:rPr>
          <w:rFonts w:eastAsia="Verdana" w:cs="Verdana"/>
          <w:color w:val="000000" w:themeColor="text1"/>
          <w:szCs w:val="18"/>
        </w:rPr>
      </w:pPr>
      <w:r w:rsidRPr="007F6A98">
        <w:rPr>
          <w:rFonts w:eastAsia="Verdana" w:cs="Verdana"/>
          <w:color w:val="000000" w:themeColor="text1"/>
          <w:szCs w:val="18"/>
        </w:rPr>
        <w:t xml:space="preserve">Het </w:t>
      </w:r>
      <w:r w:rsidRPr="007F6A98">
        <w:rPr>
          <w:rFonts w:eastAsia="Verdana" w:cs="Verdana"/>
          <w:i/>
          <w:iCs/>
          <w:color w:val="000000" w:themeColor="text1"/>
          <w:szCs w:val="18"/>
        </w:rPr>
        <w:t xml:space="preserve">position paper </w:t>
      </w:r>
      <w:r w:rsidRPr="007F6A98">
        <w:rPr>
          <w:rFonts w:eastAsia="Verdana" w:cs="Verdana"/>
          <w:color w:val="000000" w:themeColor="text1"/>
          <w:szCs w:val="18"/>
        </w:rPr>
        <w:t xml:space="preserve">van de Expertgroep Gezondheid IJmond gaat in op de zaken die, op advies van de Expertgroep Gezondheid IJmond, zijn aangescherpt in de finale JLoI ten opzichte van het concept. Dit ziet o.a. op de inspanningsverplichtingen voor ultrafijnstof en emissieplafonds voor ZZS. Daarnaast worden 3 zaken genoemd die volgens de Expertgroep nog nadere uitwerking behoeven in de maatwerkafspraak (1) de GER als structureel sturingsinstrument, (2) Ambitieuzere doelen voor (ultra)fijnstof, ZZS en VOS en (3) Betere monitoring van uitstoot en blootstelling. </w:t>
      </w:r>
    </w:p>
    <w:p w:rsidRPr="007F6A98" w:rsidR="007F6A98" w:rsidP="007F6A98" w:rsidRDefault="007F6A98" w14:paraId="4D2FFDDD" w14:textId="77777777">
      <w:pPr>
        <w:pStyle w:val="Lijstalinea"/>
        <w:numPr>
          <w:ilvl w:val="0"/>
          <w:numId w:val="18"/>
        </w:numPr>
        <w:rPr>
          <w:rFonts w:eastAsia="Verdana" w:cs="Verdana"/>
          <w:color w:val="000000" w:themeColor="text1"/>
          <w:szCs w:val="18"/>
        </w:rPr>
      </w:pPr>
      <w:r w:rsidRPr="007F6A98">
        <w:rPr>
          <w:rFonts w:eastAsia="Verdana" w:cs="Verdana"/>
          <w:color w:val="000000" w:themeColor="text1"/>
          <w:szCs w:val="18"/>
        </w:rPr>
        <w:t>Bij (1) geeft u aan de suggestie mee te nemen om elke 2 jaar een voortgangsrapportage te maken en elke 5 jaar een volledige GER uit te voeren en dit mee te wegen in het bredere potentiële instrumentarium.</w:t>
      </w:r>
    </w:p>
    <w:p w:rsidRPr="007F6A98" w:rsidR="007F6A98" w:rsidP="007F6A98" w:rsidRDefault="007F6A98" w14:paraId="452AEB17" w14:textId="77777777">
      <w:pPr>
        <w:pStyle w:val="Lijstalinea"/>
        <w:numPr>
          <w:ilvl w:val="0"/>
          <w:numId w:val="18"/>
        </w:numPr>
        <w:rPr>
          <w:rFonts w:eastAsia="Verdana" w:cs="Verdana"/>
          <w:color w:val="000000" w:themeColor="text1"/>
          <w:szCs w:val="18"/>
        </w:rPr>
      </w:pPr>
      <w:r w:rsidRPr="007F6A98">
        <w:rPr>
          <w:rFonts w:eastAsia="Verdana" w:cs="Verdana"/>
          <w:color w:val="000000" w:themeColor="text1"/>
          <w:szCs w:val="18"/>
        </w:rPr>
        <w:t>Bij (2) geeft u aan dat het kabinet ook de ambitieuzere doelen of fijnstof deelt en dat dit wordt meegenomen in de maatwerkafspraak (zoals ook aangegeven in het tweeminutendebat Leefomgeving en Externe veiligheid van 18 december jl.). Voor ultrafijnstof geeft u aan dat het van belang is dat eerst meer onderzoek wordt gedaan naar het ontstaan en meten van ultrafijnstof. Bij ZZS en VOS geeft u aan dat de doelen in de JLoI een eerste stap is en dat er een wettelijke minimalisatieplicht bestaat waardoor het niet het einddoel is.</w:t>
      </w:r>
    </w:p>
    <w:p w:rsidRPr="007F6A98" w:rsidR="007F6A98" w:rsidP="007F6A98" w:rsidRDefault="007F6A98" w14:paraId="1A89A919" w14:textId="77777777">
      <w:pPr>
        <w:pStyle w:val="Lijstalinea"/>
        <w:numPr>
          <w:ilvl w:val="0"/>
          <w:numId w:val="18"/>
        </w:numPr>
        <w:rPr>
          <w:rFonts w:eastAsia="Verdana" w:cs="Verdana"/>
          <w:color w:val="000000" w:themeColor="text1"/>
          <w:szCs w:val="18"/>
        </w:rPr>
      </w:pPr>
      <w:r w:rsidRPr="007F6A98">
        <w:rPr>
          <w:rFonts w:eastAsia="Verdana" w:cs="Verdana"/>
          <w:color w:val="000000" w:themeColor="text1"/>
          <w:szCs w:val="18"/>
        </w:rPr>
        <w:t xml:space="preserve">Bij (3) geeft u aan dat dit wordt meegenomen in de uitwerking van de maatwerkafspraak en wordt meegewogen in het bredere instrumentarium. U benoemt hierbij nogmaals dat afspraken over monitoring van groot belang zijn. </w:t>
      </w:r>
    </w:p>
    <w:p w:rsidR="007F6A98" w:rsidP="007F6A98" w:rsidRDefault="007F6A98" w14:paraId="2347906D" w14:textId="77777777">
      <w:pPr>
        <w:rPr>
          <w:rFonts w:eastAsia="Verdana" w:cs="Verdana"/>
          <w:color w:val="000000" w:themeColor="text1"/>
          <w:szCs w:val="18"/>
        </w:rPr>
      </w:pPr>
    </w:p>
    <w:p w:rsidRPr="007F6A98" w:rsidR="007F6A98" w:rsidP="007F6A98" w:rsidRDefault="007F6A98" w14:paraId="73EA4C31" w14:textId="277DE1AE">
      <w:pPr>
        <w:rPr>
          <w:rFonts w:eastAsia="Verdana" w:cs="Verdana"/>
          <w:i/>
          <w:iCs/>
          <w:color w:val="000000" w:themeColor="text1"/>
          <w:szCs w:val="18"/>
        </w:rPr>
      </w:pPr>
      <w:r w:rsidRPr="007F6A98">
        <w:rPr>
          <w:rFonts w:eastAsia="Verdana" w:cs="Verdana"/>
          <w:i/>
          <w:iCs/>
          <w:color w:val="000000" w:themeColor="text1"/>
          <w:szCs w:val="18"/>
        </w:rPr>
        <w:t>Ministerieel gezant</w:t>
      </w:r>
    </w:p>
    <w:p w:rsidRPr="007F6A98" w:rsidR="00A30434" w:rsidP="007F6A98" w:rsidRDefault="007F6A98" w14:paraId="64A34D38" w14:textId="1D77EA84">
      <w:pPr>
        <w:pStyle w:val="Lijstalinea"/>
        <w:numPr>
          <w:ilvl w:val="0"/>
          <w:numId w:val="18"/>
        </w:numPr>
        <w:rPr>
          <w:rFonts w:eastAsia="Verdana" w:cs="Verdana"/>
          <w:color w:val="000000" w:themeColor="text1"/>
          <w:szCs w:val="18"/>
        </w:rPr>
      </w:pPr>
      <w:r w:rsidRPr="007F6A98">
        <w:rPr>
          <w:rFonts w:eastAsia="Verdana" w:cs="Verdana"/>
          <w:color w:val="000000" w:themeColor="text1"/>
          <w:szCs w:val="18"/>
        </w:rPr>
        <w:t xml:space="preserve">U geeft aan dat de heer Asscher voor de laatste fase de rol van ministerieel gezant zal invullen. Hij zal in deze rol namens het kabinet optreden richting het bedrijf en andere stakeholders. U benoemt dat zijn opdracht o.a. ziet op de voorbereiding van zorgvuldige besluitvorming. </w:t>
      </w:r>
    </w:p>
    <w:sectPr w:rsidRPr="007F6A98" w:rsidR="00A30434" w:rsidSect="009809C0">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C3FC" w14:textId="77777777" w:rsidR="00A35C4F" w:rsidRDefault="00A35C4F">
      <w:r>
        <w:separator/>
      </w:r>
    </w:p>
    <w:p w14:paraId="0A9C8F37" w14:textId="77777777" w:rsidR="00A35C4F" w:rsidRDefault="00A35C4F"/>
  </w:endnote>
  <w:endnote w:type="continuationSeparator" w:id="0">
    <w:p w14:paraId="27F0FA56" w14:textId="77777777" w:rsidR="00A35C4F" w:rsidRDefault="00A35C4F">
      <w:r>
        <w:continuationSeparator/>
      </w:r>
    </w:p>
    <w:p w14:paraId="62C06C03" w14:textId="77777777" w:rsidR="00A35C4F" w:rsidRDefault="00A35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6593" w14:textId="77777777" w:rsidR="00137AC0" w:rsidRPr="00BC3B53" w:rsidRDefault="00137AC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71B0E" w14:paraId="7333AB6E" w14:textId="77777777" w:rsidTr="001E4C6B">
      <w:trPr>
        <w:trHeight w:hRule="exact" w:val="240"/>
      </w:trPr>
      <w:tc>
        <w:tcPr>
          <w:tcW w:w="7601" w:type="dxa"/>
        </w:tcPr>
        <w:p w14:paraId="33267F23" w14:textId="77777777" w:rsidR="00137AC0" w:rsidRDefault="00137AC0" w:rsidP="003F1F6B">
          <w:pPr>
            <w:pStyle w:val="Huisstijl-Rubricering"/>
          </w:pPr>
        </w:p>
      </w:tc>
      <w:tc>
        <w:tcPr>
          <w:tcW w:w="2156" w:type="dxa"/>
        </w:tcPr>
        <w:p w14:paraId="66E8272C" w14:textId="46BE9CE4" w:rsidR="00137AC0" w:rsidRPr="00236CFE" w:rsidRDefault="004C7CBB"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517284">
            <w:t>2</w:t>
          </w:r>
          <w:r w:rsidRPr="00CB7ABA">
            <w:fldChar w:fldCharType="end"/>
          </w:r>
          <w:r w:rsidRPr="00CB7ABA">
            <w:t xml:space="preserve"> van </w:t>
          </w:r>
          <w:r w:rsidR="00EA14A9">
            <w:fldChar w:fldCharType="begin"/>
          </w:r>
          <w:r>
            <w:instrText xml:space="preserve"> SECTIONPAGES   \* MERGEFORMAT </w:instrText>
          </w:r>
          <w:r w:rsidR="00EA14A9">
            <w:fldChar w:fldCharType="separate"/>
          </w:r>
          <w:r w:rsidR="007F6A98">
            <w:t>3</w:t>
          </w:r>
          <w:r w:rsidR="00EA14A9">
            <w:fldChar w:fldCharType="end"/>
          </w:r>
        </w:p>
      </w:tc>
    </w:tr>
  </w:tbl>
  <w:p w14:paraId="2044A31C" w14:textId="77777777" w:rsidR="00137AC0" w:rsidRPr="00BC3B53" w:rsidRDefault="00137AC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71B0E" w14:paraId="6EC496B2" w14:textId="77777777" w:rsidTr="001E4C6B">
      <w:trPr>
        <w:trHeight w:hRule="exact" w:val="240"/>
      </w:trPr>
      <w:tc>
        <w:tcPr>
          <w:tcW w:w="7601" w:type="dxa"/>
        </w:tcPr>
        <w:p w14:paraId="14C74DA5" w14:textId="77777777" w:rsidR="00137AC0" w:rsidRDefault="00137AC0" w:rsidP="008C356D">
          <w:pPr>
            <w:pStyle w:val="Huisstijl-Rubricering"/>
          </w:pPr>
        </w:p>
      </w:tc>
      <w:tc>
        <w:tcPr>
          <w:tcW w:w="2170" w:type="dxa"/>
        </w:tcPr>
        <w:p w14:paraId="3CFA70C2" w14:textId="7FDB3E8A" w:rsidR="00137AC0" w:rsidRPr="00CB7ABA" w:rsidRDefault="004C7CBB"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517284">
            <w:t>1</w:t>
          </w:r>
          <w:r w:rsidRPr="00CB7ABA">
            <w:fldChar w:fldCharType="end"/>
          </w:r>
          <w:r w:rsidRPr="00CB7ABA">
            <w:t xml:space="preserve"> van</w:t>
          </w:r>
          <w:r w:rsidRPr="00CB7ABA">
            <w:rPr>
              <w:rStyle w:val="Huisstijl-GegevenCharChar"/>
            </w:rPr>
            <w:t xml:space="preserve"> </w:t>
          </w:r>
          <w:r w:rsidR="00EA14A9">
            <w:fldChar w:fldCharType="begin"/>
          </w:r>
          <w:r>
            <w:instrText xml:space="preserve"> SECTIONPAGES   \* MERGEFORMAT </w:instrText>
          </w:r>
          <w:r w:rsidR="00EA14A9">
            <w:fldChar w:fldCharType="separate"/>
          </w:r>
          <w:r w:rsidR="007F6A98">
            <w:t>3</w:t>
          </w:r>
          <w:r w:rsidR="00EA14A9">
            <w:fldChar w:fldCharType="end"/>
          </w:r>
        </w:p>
      </w:tc>
    </w:tr>
  </w:tbl>
  <w:p w14:paraId="06D60ACD" w14:textId="77777777" w:rsidR="00137AC0" w:rsidRPr="00BC3B53" w:rsidRDefault="00137AC0" w:rsidP="008C356D">
    <w:pPr>
      <w:pStyle w:val="Voettekst"/>
      <w:spacing w:line="240" w:lineRule="auto"/>
      <w:rPr>
        <w:sz w:val="2"/>
        <w:szCs w:val="2"/>
      </w:rPr>
    </w:pPr>
  </w:p>
  <w:p w14:paraId="5C690FBF" w14:textId="77777777" w:rsidR="00137AC0" w:rsidRPr="00BC3B53" w:rsidRDefault="00137AC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99F40" w14:textId="77777777" w:rsidR="00A35C4F" w:rsidRDefault="00A35C4F">
      <w:r>
        <w:separator/>
      </w:r>
    </w:p>
    <w:p w14:paraId="73EF0A0D" w14:textId="77777777" w:rsidR="00A35C4F" w:rsidRDefault="00A35C4F"/>
  </w:footnote>
  <w:footnote w:type="continuationSeparator" w:id="0">
    <w:p w14:paraId="1DF46159" w14:textId="77777777" w:rsidR="00A35C4F" w:rsidRDefault="00A35C4F">
      <w:r>
        <w:continuationSeparator/>
      </w:r>
    </w:p>
    <w:p w14:paraId="4347562B" w14:textId="77777777" w:rsidR="00A35C4F" w:rsidRDefault="00A35C4F"/>
  </w:footnote>
  <w:footnote w:id="1">
    <w:p w14:paraId="14C6DC13" w14:textId="77777777" w:rsidR="007F6A98" w:rsidRDefault="007F6A98" w:rsidP="007F6A98">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Bijlage bij Kamerstuk Nummer:32813-1369</w:t>
      </w:r>
    </w:p>
  </w:footnote>
  <w:footnote w:id="2">
    <w:p w14:paraId="2BF57C93" w14:textId="77777777" w:rsidR="007F6A98" w:rsidRDefault="007F6A98" w:rsidP="007F6A98">
      <w:pPr>
        <w:pStyle w:val="Voetnoottekst"/>
      </w:pPr>
      <w:r>
        <w:rPr>
          <w:rStyle w:val="Voetnootmarkering"/>
          <w:rFonts w:ascii="Verdana" w:hAnsi="Verdana"/>
          <w:sz w:val="16"/>
          <w:szCs w:val="16"/>
        </w:rPr>
        <w:footnoteRef/>
      </w:r>
      <w:r>
        <w:rPr>
          <w:rFonts w:ascii="Verdana" w:hAnsi="Verdana"/>
          <w:sz w:val="16"/>
          <w:szCs w:val="16"/>
        </w:rPr>
        <w:t xml:space="preserve"> Motie van het lid Gabriëls c.s, Kamerstuk 28089, nr. 286, 4 april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2651" w14:textId="77777777" w:rsidR="00137AC0" w:rsidRDefault="00137AC0"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71B0E" w14:paraId="1E54C066" w14:textId="77777777" w:rsidTr="005558E0">
      <w:tc>
        <w:tcPr>
          <w:tcW w:w="2160" w:type="dxa"/>
        </w:tcPr>
        <w:p w14:paraId="4079DE5F" w14:textId="239457BA" w:rsidR="00137AC0" w:rsidRPr="00044613" w:rsidRDefault="004C7CBB" w:rsidP="005558E0">
          <w:pPr>
            <w:pStyle w:val="Huisstijl-Adres"/>
          </w:pPr>
          <w:r>
            <w:rPr>
              <w:b/>
            </w:rPr>
            <w:t>Directoraat-generaal Realisatie Groene Groei</w:t>
          </w:r>
          <w:r>
            <w:rPr>
              <w:b/>
            </w:rPr>
            <w:br/>
          </w:r>
        </w:p>
      </w:tc>
    </w:tr>
    <w:tr w:rsidR="00871B0E" w14:paraId="416B37A2" w14:textId="77777777" w:rsidTr="005558E0">
      <w:trPr>
        <w:trHeight w:hRule="exact" w:val="200"/>
      </w:trPr>
      <w:tc>
        <w:tcPr>
          <w:tcW w:w="2160" w:type="dxa"/>
        </w:tcPr>
        <w:p w14:paraId="3465D362" w14:textId="77777777" w:rsidR="00137AC0" w:rsidRPr="005819CE" w:rsidRDefault="00137AC0" w:rsidP="005558E0"/>
      </w:tc>
    </w:tr>
    <w:tr w:rsidR="00871B0E" w14:paraId="50DE8946" w14:textId="77777777" w:rsidTr="005558E0">
      <w:tc>
        <w:tcPr>
          <w:tcW w:w="2160" w:type="dxa"/>
        </w:tcPr>
        <w:p w14:paraId="4942244F" w14:textId="77777777" w:rsidR="00137AC0" w:rsidRPr="005819CE" w:rsidRDefault="004C7CBB" w:rsidP="005558E0">
          <w:pPr>
            <w:pStyle w:val="Huisstijl-Kopje"/>
          </w:pPr>
          <w:r>
            <w:t>Kenmerk</w:t>
          </w:r>
        </w:p>
        <w:p w14:paraId="0977B81B" w14:textId="66697A1A" w:rsidR="00137AC0" w:rsidRPr="005819CE" w:rsidRDefault="004C7CBB" w:rsidP="005558E0">
          <w:pPr>
            <w:pStyle w:val="Huisstijl-Gegeven"/>
          </w:pPr>
          <w:r>
            <w:t>KGG_DGRGG / 105420772</w:t>
          </w:r>
        </w:p>
      </w:tc>
    </w:tr>
  </w:tbl>
  <w:p w14:paraId="04451561" w14:textId="77777777" w:rsidR="002B6DE0" w:rsidRDefault="002B6DE0" w:rsidP="008C356D"/>
  <w:p w14:paraId="6951E0A2" w14:textId="77777777" w:rsidR="00137AC0" w:rsidRPr="00740712" w:rsidRDefault="00137AC0" w:rsidP="008C356D"/>
  <w:p w14:paraId="0523A21D" w14:textId="77777777" w:rsidR="00137AC0" w:rsidRPr="00217880" w:rsidRDefault="00137AC0" w:rsidP="008C356D">
    <w:pPr>
      <w:spacing w:line="0" w:lineRule="atLeast"/>
      <w:rPr>
        <w:sz w:val="2"/>
        <w:szCs w:val="2"/>
      </w:rPr>
    </w:pPr>
  </w:p>
  <w:p w14:paraId="430EDE4B" w14:textId="77777777" w:rsidR="00137AC0" w:rsidRDefault="00137AC0" w:rsidP="004F44C2">
    <w:pPr>
      <w:pStyle w:val="Koptekst"/>
      <w:rPr>
        <w:rFonts w:cs="Verdana-Bold"/>
        <w:b/>
        <w:bCs/>
        <w:smallCaps/>
        <w:szCs w:val="18"/>
      </w:rPr>
    </w:pPr>
  </w:p>
  <w:p w14:paraId="493FC17E" w14:textId="77777777" w:rsidR="00137AC0" w:rsidRPr="00740712" w:rsidRDefault="00137AC0" w:rsidP="004F44C2"/>
  <w:p w14:paraId="2DEECCC6" w14:textId="77777777" w:rsidR="00137AC0" w:rsidRPr="00217880" w:rsidRDefault="00137AC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71B0E" w14:paraId="3EEA5F4E" w14:textId="77777777" w:rsidTr="003B7675">
      <w:trPr>
        <w:trHeight w:val="2636"/>
      </w:trPr>
      <w:tc>
        <w:tcPr>
          <w:tcW w:w="737" w:type="dxa"/>
        </w:tcPr>
        <w:p w14:paraId="11C11B22" w14:textId="5EAA7064" w:rsidR="00137AC0" w:rsidRPr="00B520EC" w:rsidRDefault="00137AC0" w:rsidP="005F63F7">
          <w:pPr>
            <w:framePr w:w="6391" w:h="2750" w:hRule="exact" w:hSpace="180" w:wrap="around" w:vAnchor="page" w:hAnchor="page" w:x="5371" w:y="-70"/>
            <w:spacing w:line="240" w:lineRule="auto"/>
          </w:pPr>
        </w:p>
      </w:tc>
      <w:tc>
        <w:tcPr>
          <w:tcW w:w="5156" w:type="dxa"/>
        </w:tcPr>
        <w:p w14:paraId="383AB2CE" w14:textId="00A88216" w:rsidR="00137AC0" w:rsidRPr="00B520EC" w:rsidRDefault="004C7CBB" w:rsidP="005F63F7">
          <w:pPr>
            <w:framePr w:w="6391" w:h="2750" w:hRule="exact" w:hSpace="180" w:wrap="around" w:vAnchor="page" w:hAnchor="page" w:x="5371" w:y="-70"/>
            <w:spacing w:line="240" w:lineRule="auto"/>
          </w:pPr>
          <w:r>
            <w:t xml:space="preserve">  </w:t>
          </w:r>
          <w:r w:rsidR="00F13D80">
            <w:t xml:space="preserve"> </w:t>
          </w:r>
          <w:r w:rsidRPr="002F1B86">
            <w:rPr>
              <w:sz w:val="2"/>
              <w:szCs w:val="2"/>
            </w:rPr>
            <w:t xml:space="preserve"> </w:t>
          </w:r>
          <w:r>
            <w:rPr>
              <w:noProof/>
            </w:rPr>
            <w:drawing>
              <wp:inline distT="0" distB="0" distL="0" distR="0" wp14:anchorId="54F6D0F2" wp14:editId="1BBAAFA1">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4056FE57" w14:textId="77777777" w:rsidR="00137AC0" w:rsidRPr="00B520EC" w:rsidRDefault="00137AC0" w:rsidP="005F63F7">
    <w:pPr>
      <w:framePr w:w="6391" w:h="2750" w:hRule="exact" w:hSpace="180" w:wrap="around" w:vAnchor="page" w:hAnchor="page" w:x="5371" w:y="-70"/>
    </w:pPr>
  </w:p>
  <w:p w14:paraId="646822A0" w14:textId="77777777" w:rsidR="00137AC0" w:rsidRPr="00B520EC" w:rsidRDefault="004C7CBB">
    <w:r>
      <w:rPr>
        <w:noProof/>
        <w:lang w:val="en-US" w:eastAsia="en-US"/>
      </w:rPr>
      <mc:AlternateContent>
        <mc:Choice Requires="wps">
          <w:drawing>
            <wp:anchor distT="0" distB="0" distL="114300" distR="114300" simplePos="0" relativeHeight="251658240" behindDoc="0" locked="0" layoutInCell="1" allowOverlap="1" wp14:anchorId="63F0738D" wp14:editId="1A8DCDAE">
              <wp:simplePos x="0" y="0"/>
              <wp:positionH relativeFrom="column">
                <wp:posOffset>4734560</wp:posOffset>
              </wp:positionH>
              <wp:positionV relativeFrom="page">
                <wp:posOffset>9295130</wp:posOffset>
              </wp:positionV>
              <wp:extent cx="1542415" cy="276225"/>
              <wp:effectExtent l="635" t="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CC792" w14:textId="77777777" w:rsidR="00137AC0" w:rsidRDefault="00137AC0" w:rsidP="009D5D50">
                          <w:pPr>
                            <w:pStyle w:val="Huisstijl-Gegeven"/>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3F0738D" id="_x0000_t202" coordsize="21600,21600" o:spt="202" path="m,l,21600r21600,l21600,xe">
              <v:stroke joinstyle="miter"/>
              <v:path gradientshapeok="t" o:connecttype="rect"/>
            </v:shapetype>
            <v:shape id="Text Box 1" o:spid="_x0000_s1026" type="#_x0000_t202" style="position:absolute;margin-left:372.8pt;margin-top:731.9pt;width:121.4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" filled="f" stroked="f">
              <v:textbox>
                <w:txbxContent>
                  <w:p w14:paraId="3E8CC792" w14:textId="77777777" w:rsidR="00137AC0" w:rsidRDefault="00137AC0" w:rsidP="009D5D50">
                    <w:pPr>
                      <w:pStyle w:val="Huisstijl-Gegeven"/>
                    </w:pPr>
                  </w:p>
                </w:txbxContent>
              </v:textbox>
              <w10:wrap anchory="page"/>
            </v:shape>
          </w:pict>
        </mc:Fallback>
      </mc:AlternateContent>
    </w: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71B0E" w14:paraId="3E1E7431" w14:textId="77777777" w:rsidTr="005558E0">
      <w:tc>
        <w:tcPr>
          <w:tcW w:w="2160" w:type="dxa"/>
        </w:tcPr>
        <w:p w14:paraId="0A0537DC" w14:textId="528116C6" w:rsidR="00137AC0" w:rsidRPr="00B520EC" w:rsidRDefault="004C7CBB" w:rsidP="005558E0">
          <w:pPr>
            <w:pStyle w:val="Huisstijl-Adres"/>
          </w:pPr>
          <w:r>
            <w:rPr>
              <w:b/>
            </w:rPr>
            <w:t>Directoraat-generaal Realisatie Groene Groei</w:t>
          </w:r>
          <w:r w:rsidRPr="00B520EC">
            <w:rPr>
              <w:b/>
            </w:rPr>
            <w:br/>
          </w:r>
        </w:p>
        <w:p w14:paraId="053C9D56" w14:textId="2BBB4F39" w:rsidR="004E5110" w:rsidRPr="00FC145D" w:rsidRDefault="004C7CBB" w:rsidP="004E5110">
          <w:pPr>
            <w:pStyle w:val="Huisstijl-Adres"/>
            <w:rPr>
              <w:lang w:val="fr-FR"/>
            </w:rPr>
          </w:pPr>
          <w:r w:rsidRPr="00B520EC">
            <w:rPr>
              <w:b/>
            </w:rPr>
            <w:t>Auteur</w:t>
          </w:r>
          <w:r w:rsidRPr="00B520EC">
            <w:rPr>
              <w:b/>
            </w:rPr>
            <w:br/>
          </w:r>
        </w:p>
        <w:p w14:paraId="016C9861" w14:textId="58FF0ABB" w:rsidR="00137AC0" w:rsidRPr="00FC145D" w:rsidRDefault="00137AC0" w:rsidP="005558E0">
          <w:pPr>
            <w:pStyle w:val="Huisstijl-Adres"/>
            <w:rPr>
              <w:lang w:val="fr-FR"/>
            </w:rPr>
          </w:pPr>
        </w:p>
      </w:tc>
    </w:tr>
    <w:tr w:rsidR="00871B0E" w14:paraId="3B8571CA" w14:textId="77777777" w:rsidTr="005558E0">
      <w:trPr>
        <w:trHeight w:hRule="exact" w:val="200"/>
      </w:trPr>
      <w:tc>
        <w:tcPr>
          <w:tcW w:w="2160" w:type="dxa"/>
        </w:tcPr>
        <w:p w14:paraId="315C430F" w14:textId="77777777" w:rsidR="00137AC0" w:rsidRPr="00FC145D" w:rsidRDefault="00137AC0" w:rsidP="005558E0">
          <w:pPr>
            <w:rPr>
              <w:lang w:val="fr-FR"/>
            </w:rPr>
          </w:pPr>
        </w:p>
      </w:tc>
    </w:tr>
    <w:tr w:rsidR="00871B0E" w14:paraId="56114B5C" w14:textId="77777777" w:rsidTr="005558E0">
      <w:tc>
        <w:tcPr>
          <w:tcW w:w="2160" w:type="dxa"/>
        </w:tcPr>
        <w:p w14:paraId="195E7618" w14:textId="1A6CDF9D" w:rsidR="00E945D9" w:rsidRPr="00B9126B" w:rsidRDefault="004C7CBB" w:rsidP="005558E0">
          <w:pPr>
            <w:pStyle w:val="Huisstijl-Kopje"/>
          </w:pPr>
          <w:r w:rsidRPr="00B9126B">
            <w:t>TER BESLISSING</w:t>
          </w:r>
        </w:p>
        <w:p w14:paraId="096B15F9" w14:textId="0F173A07" w:rsidR="00137AC0" w:rsidRPr="00B520EC" w:rsidRDefault="004C7CBB" w:rsidP="005558E0">
          <w:pPr>
            <w:pStyle w:val="Huisstijl-Kopje"/>
          </w:pPr>
          <w:r w:rsidRPr="00B520EC">
            <w:t>Datum</w:t>
          </w:r>
          <w:r w:rsidR="00A55513">
            <w:t xml:space="preserve"> aangemaakt</w:t>
          </w:r>
        </w:p>
        <w:p w14:paraId="6C369EC9" w14:textId="479E0098" w:rsidR="00137AC0" w:rsidRPr="00B520EC" w:rsidRDefault="004C7CBB" w:rsidP="005558E0">
          <w:pPr>
            <w:pStyle w:val="Huisstijl-Gegeven"/>
          </w:pPr>
          <w:r>
            <w:t>25 maart 2026</w:t>
          </w:r>
        </w:p>
        <w:p w14:paraId="0676811B" w14:textId="77777777" w:rsidR="00137AC0" w:rsidRPr="00B520EC" w:rsidRDefault="004C7CBB" w:rsidP="005558E0">
          <w:pPr>
            <w:pStyle w:val="Huisstijl-Kopje"/>
          </w:pPr>
          <w:r w:rsidRPr="00B520EC">
            <w:t>Kenmerk</w:t>
          </w:r>
        </w:p>
        <w:p w14:paraId="0B43947F" w14:textId="67E322AA" w:rsidR="00137AC0" w:rsidRPr="00B520EC" w:rsidRDefault="004C7CBB" w:rsidP="005558E0">
          <w:pPr>
            <w:pStyle w:val="Huisstijl-Gegeven"/>
          </w:pPr>
          <w:r>
            <w:t>KGG_DGRGG</w:t>
          </w:r>
          <w:r w:rsidRPr="00B520EC">
            <w:t xml:space="preserve"> / </w:t>
          </w:r>
          <w:r>
            <w:t>105420772</w:t>
          </w:r>
        </w:p>
        <w:p w14:paraId="5328228F" w14:textId="55BDEE2B" w:rsidR="00DB297C" w:rsidRDefault="00DB297C" w:rsidP="005558E0">
          <w:pPr>
            <w:pStyle w:val="Huisstijl-Kopje"/>
          </w:pPr>
        </w:p>
        <w:p w14:paraId="765B218A" w14:textId="77777777" w:rsidR="0034725E" w:rsidRPr="00B520EC" w:rsidRDefault="0034725E" w:rsidP="005558E0">
          <w:pPr>
            <w:pStyle w:val="Huisstijl-Kopje"/>
          </w:pPr>
        </w:p>
        <w:p w14:paraId="45C2BBF0" w14:textId="77777777" w:rsidR="00137AC0" w:rsidRPr="00B520EC" w:rsidRDefault="004C7CBB" w:rsidP="005558E0">
          <w:pPr>
            <w:pStyle w:val="Huisstijl-Kopje"/>
          </w:pPr>
          <w:r w:rsidRPr="00B520EC">
            <w:t>Kopie aan</w:t>
          </w:r>
        </w:p>
        <w:p w14:paraId="5AB0C6EB" w14:textId="44C03237" w:rsidR="00137AC0" w:rsidRPr="00B520EC" w:rsidRDefault="00137AC0" w:rsidP="005558E0">
          <w:pPr>
            <w:pStyle w:val="Huisstijl-NotaGegeven"/>
          </w:pPr>
        </w:p>
        <w:p w14:paraId="4ACC1251" w14:textId="77777777" w:rsidR="00137AC0" w:rsidRPr="00B520EC" w:rsidRDefault="00137AC0" w:rsidP="005558E0">
          <w:pPr>
            <w:pStyle w:val="Huisstijl-NotaGegeven"/>
          </w:pPr>
        </w:p>
        <w:p w14:paraId="11E78B50" w14:textId="77777777" w:rsidR="00137AC0" w:rsidRPr="00B520EC" w:rsidRDefault="004C7CBB" w:rsidP="005558E0">
          <w:pPr>
            <w:pStyle w:val="Huisstijl-Kopje"/>
          </w:pPr>
          <w:r w:rsidRPr="00B520EC">
            <w:t>Bijlage(n)</w:t>
          </w:r>
        </w:p>
        <w:p w14:paraId="7AD84663" w14:textId="29333D52" w:rsidR="00137AC0" w:rsidRPr="00B520EC" w:rsidRDefault="004C7CBB" w:rsidP="005558E0">
          <w:pPr>
            <w:pStyle w:val="Huisstijl-Gegeven"/>
          </w:pPr>
          <w:r>
            <w:t>2</w:t>
          </w:r>
        </w:p>
      </w:tc>
    </w:tr>
  </w:tbl>
  <w:p w14:paraId="7084EAF3" w14:textId="77777777" w:rsidR="00CE48D1" w:rsidRPr="00B520EC" w:rsidRDefault="00CE48D1" w:rsidP="00CE48D1">
    <w:pPr>
      <w:rPr>
        <w:vanish/>
      </w:rPr>
    </w:pPr>
  </w:p>
  <w:tbl>
    <w:tblPr>
      <w:tblW w:w="7371" w:type="dxa"/>
      <w:tblLayout w:type="fixed"/>
      <w:tblCellMar>
        <w:left w:w="0" w:type="dxa"/>
        <w:right w:w="0" w:type="dxa"/>
      </w:tblCellMar>
      <w:tblLook w:val="0000" w:firstRow="0" w:lastRow="0" w:firstColumn="0" w:lastColumn="0" w:noHBand="0" w:noVBand="0"/>
    </w:tblPr>
    <w:tblGrid>
      <w:gridCol w:w="2835"/>
      <w:gridCol w:w="4536"/>
    </w:tblGrid>
    <w:tr w:rsidR="00871B0E" w14:paraId="601AA5F2" w14:textId="77777777" w:rsidTr="002E2FFC">
      <w:trPr>
        <w:trHeight w:val="400"/>
      </w:trPr>
      <w:tc>
        <w:tcPr>
          <w:tcW w:w="7371" w:type="dxa"/>
          <w:gridSpan w:val="2"/>
        </w:tcPr>
        <w:p w14:paraId="36366703" w14:textId="210E0C26" w:rsidR="00137AC0" w:rsidRPr="00B520EC" w:rsidRDefault="00137AC0" w:rsidP="00B9126B">
          <w:pPr>
            <w:spacing w:line="180" w:lineRule="exact"/>
          </w:pPr>
        </w:p>
      </w:tc>
    </w:tr>
    <w:tr w:rsidR="00871B0E" w14:paraId="032866FC" w14:textId="77777777" w:rsidTr="002E2FFC">
      <w:trPr>
        <w:trHeight w:hRule="exact" w:val="255"/>
      </w:trPr>
      <w:tc>
        <w:tcPr>
          <w:tcW w:w="7371" w:type="dxa"/>
          <w:gridSpan w:val="2"/>
        </w:tcPr>
        <w:p w14:paraId="5B1D7FBF" w14:textId="5C694A2F" w:rsidR="002C1735" w:rsidRPr="0075019D" w:rsidRDefault="002C1735" w:rsidP="002C1735">
          <w:pPr>
            <w:pStyle w:val="Huisstijl-NAW"/>
            <w:rPr>
              <w:b/>
              <w:bCs/>
            </w:rPr>
          </w:pPr>
        </w:p>
        <w:p w14:paraId="795D162B" w14:textId="3D875156" w:rsidR="00137AC0" w:rsidRPr="00B520EC" w:rsidRDefault="00137AC0" w:rsidP="00240C98">
          <w:pPr>
            <w:pStyle w:val="Huisstijl-NAW"/>
          </w:pPr>
        </w:p>
      </w:tc>
    </w:tr>
    <w:tr w:rsidR="00871B0E" w14:paraId="7556CBAF" w14:textId="77777777" w:rsidTr="002E2FFC">
      <w:trPr>
        <w:trHeight w:hRule="exact" w:val="1616"/>
      </w:trPr>
      <w:tc>
        <w:tcPr>
          <w:tcW w:w="7371" w:type="dxa"/>
          <w:gridSpan w:val="2"/>
        </w:tcPr>
        <w:p w14:paraId="41EE7594" w14:textId="5AFBDC9B" w:rsidR="00EA14A9" w:rsidRDefault="004C7CBB" w:rsidP="00EA14A9">
          <w:r>
            <w:t>Aan de Minister van Klimaat en Groene Groei</w:t>
          </w:r>
        </w:p>
        <w:p w14:paraId="0A3F38AA" w14:textId="0065AD2B" w:rsidR="004D65A2" w:rsidRDefault="004D65A2" w:rsidP="00EA14A9">
          <w:r>
            <w:t>Aan de Staatssecretaris van Klimaat</w:t>
          </w:r>
          <w:r w:rsidR="007C2B80">
            <w:t xml:space="preserve"> </w:t>
          </w:r>
          <w:r>
            <w:t>en Groene Groei</w:t>
          </w:r>
        </w:p>
        <w:p w14:paraId="641E3151" w14:textId="02231B5A" w:rsidR="00240C98" w:rsidRPr="00B520EC" w:rsidRDefault="004C7CBB" w:rsidP="00EA14A9">
          <w:r w:rsidRPr="00B520EC">
            <w:tab/>
          </w:r>
        </w:p>
      </w:tc>
    </w:tr>
    <w:tr w:rsidR="00871B0E" w14:paraId="139D22A8" w14:textId="77777777" w:rsidTr="00CF04BD">
      <w:trPr>
        <w:trHeight w:val="401"/>
      </w:trPr>
      <w:tc>
        <w:tcPr>
          <w:tcW w:w="2835" w:type="dxa"/>
          <w:vMerge w:val="restart"/>
        </w:tcPr>
        <w:p w14:paraId="1DD101EC" w14:textId="49F481DD" w:rsidR="00B60FC2" w:rsidRPr="00B520EC" w:rsidRDefault="004C7CBB" w:rsidP="009D5D50">
          <w:r>
            <w:rPr>
              <w:noProof/>
            </w:rPr>
            <w:drawing>
              <wp:inline distT="0" distB="0" distL="0" distR="0" wp14:anchorId="4D183D70" wp14:editId="35F9D87D">
                <wp:extent cx="752475" cy="457200"/>
                <wp:effectExtent l="0" t="0" r="9525" b="0"/>
                <wp:docPr id="3" name="Picture 45" descr="Nota"/>
                <wp:cNvGraphicFramePr/>
                <a:graphic xmlns:a="http://schemas.openxmlformats.org/drawingml/2006/main">
                  <a:graphicData uri="http://schemas.openxmlformats.org/drawingml/2006/picture">
                    <pic:pic xmlns:pic="http://schemas.openxmlformats.org/drawingml/2006/picture">
                      <pic:nvPicPr>
                        <pic:cNvPr id="3" name="Picture 45" descr="Nota"/>
                        <pic:cNvPicPr/>
                      </pic:nvPicPr>
                      <pic:blipFill>
                        <a:blip r:embed="rId3">
                          <a:extLst>
                            <a:ext uri="{28A0092B-C50C-407E-A947-70E740481C1C}">
                              <a14:useLocalDpi xmlns:a14="http://schemas.microsoft.com/office/drawing/2010/main" val="0"/>
                            </a:ext>
                          </a:extLst>
                        </a:blip>
                        <a:srcRect b="14047"/>
                        <a:stretch>
                          <a:fillRect/>
                        </a:stretch>
                      </pic:blipFill>
                      <pic:spPr bwMode="auto">
                        <a:xfrm>
                          <a:off x="0" y="0"/>
                          <a:ext cx="752475" cy="457200"/>
                        </a:xfrm>
                        <a:prstGeom prst="rect">
                          <a:avLst/>
                        </a:prstGeom>
                        <a:noFill/>
                        <a:ln>
                          <a:noFill/>
                        </a:ln>
                      </pic:spPr>
                    </pic:pic>
                  </a:graphicData>
                </a:graphic>
              </wp:inline>
            </w:drawing>
          </w:r>
          <w:r w:rsidR="00CF04BD">
            <w:br/>
          </w:r>
          <w:r w:rsidR="00DC2EE0">
            <w:t>TER BESLISSING</w:t>
          </w:r>
        </w:p>
      </w:tc>
      <w:tc>
        <w:tcPr>
          <w:tcW w:w="4536" w:type="dxa"/>
        </w:tcPr>
        <w:p w14:paraId="76436C42" w14:textId="77777777" w:rsidR="00137AC0" w:rsidRPr="00B520EC" w:rsidRDefault="00137AC0" w:rsidP="009D5D50"/>
      </w:tc>
    </w:tr>
    <w:tr w:rsidR="00871B0E" w14:paraId="14232331" w14:textId="77777777" w:rsidTr="00CF04BD">
      <w:trPr>
        <w:trHeight w:val="560"/>
      </w:trPr>
      <w:tc>
        <w:tcPr>
          <w:tcW w:w="2835" w:type="dxa"/>
          <w:vMerge/>
        </w:tcPr>
        <w:p w14:paraId="0E47321E" w14:textId="77777777" w:rsidR="00137AC0" w:rsidRPr="00B520EC" w:rsidRDefault="00137AC0" w:rsidP="009D5D50"/>
      </w:tc>
      <w:tc>
        <w:tcPr>
          <w:tcW w:w="4536" w:type="dxa"/>
        </w:tcPr>
        <w:p w14:paraId="5C5A6D62" w14:textId="6B6C8899" w:rsidR="00137AC0" w:rsidRPr="00B520EC" w:rsidRDefault="004C7CBB" w:rsidP="009D5D50">
          <w:r>
            <w:t>Voortgangsbrief maatwerkafspraken Tata Steel Nederland</w:t>
          </w:r>
        </w:p>
      </w:tc>
    </w:tr>
  </w:tbl>
  <w:p w14:paraId="2309D96E" w14:textId="06737B2E" w:rsidR="00137AC0" w:rsidRPr="00B520EC" w:rsidRDefault="00137AC0" w:rsidP="00044613">
    <w:pPr>
      <w:pStyle w:val="Koptekst"/>
    </w:pPr>
  </w:p>
  <w:p w14:paraId="4BE72781" w14:textId="77777777" w:rsidR="00137AC0" w:rsidRPr="00B520EC" w:rsidRDefault="00137AC0"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1160A46">
      <w:start w:val="1"/>
      <w:numFmt w:val="bullet"/>
      <w:pStyle w:val="Lijstopsomteken"/>
      <w:lvlText w:val="•"/>
      <w:lvlJc w:val="left"/>
      <w:pPr>
        <w:tabs>
          <w:tab w:val="num" w:pos="227"/>
        </w:tabs>
        <w:ind w:left="227" w:hanging="227"/>
      </w:pPr>
      <w:rPr>
        <w:rFonts w:ascii="Verdana" w:hAnsi="Verdana" w:hint="default"/>
        <w:sz w:val="18"/>
        <w:szCs w:val="18"/>
      </w:rPr>
    </w:lvl>
    <w:lvl w:ilvl="1" w:tplc="882A3E98" w:tentative="1">
      <w:start w:val="1"/>
      <w:numFmt w:val="bullet"/>
      <w:lvlText w:val="o"/>
      <w:lvlJc w:val="left"/>
      <w:pPr>
        <w:tabs>
          <w:tab w:val="num" w:pos="1440"/>
        </w:tabs>
        <w:ind w:left="1440" w:hanging="360"/>
      </w:pPr>
      <w:rPr>
        <w:rFonts w:ascii="Courier New" w:hAnsi="Courier New" w:cs="Courier New" w:hint="default"/>
      </w:rPr>
    </w:lvl>
    <w:lvl w:ilvl="2" w:tplc="D18C86FE" w:tentative="1">
      <w:start w:val="1"/>
      <w:numFmt w:val="bullet"/>
      <w:lvlText w:val=""/>
      <w:lvlJc w:val="left"/>
      <w:pPr>
        <w:tabs>
          <w:tab w:val="num" w:pos="2160"/>
        </w:tabs>
        <w:ind w:left="2160" w:hanging="360"/>
      </w:pPr>
      <w:rPr>
        <w:rFonts w:ascii="Wingdings" w:hAnsi="Wingdings" w:hint="default"/>
      </w:rPr>
    </w:lvl>
    <w:lvl w:ilvl="3" w:tplc="497433B6" w:tentative="1">
      <w:start w:val="1"/>
      <w:numFmt w:val="bullet"/>
      <w:lvlText w:val=""/>
      <w:lvlJc w:val="left"/>
      <w:pPr>
        <w:tabs>
          <w:tab w:val="num" w:pos="2880"/>
        </w:tabs>
        <w:ind w:left="2880" w:hanging="360"/>
      </w:pPr>
      <w:rPr>
        <w:rFonts w:ascii="Symbol" w:hAnsi="Symbol" w:hint="default"/>
      </w:rPr>
    </w:lvl>
    <w:lvl w:ilvl="4" w:tplc="5158FACA" w:tentative="1">
      <w:start w:val="1"/>
      <w:numFmt w:val="bullet"/>
      <w:lvlText w:val="o"/>
      <w:lvlJc w:val="left"/>
      <w:pPr>
        <w:tabs>
          <w:tab w:val="num" w:pos="3600"/>
        </w:tabs>
        <w:ind w:left="3600" w:hanging="360"/>
      </w:pPr>
      <w:rPr>
        <w:rFonts w:ascii="Courier New" w:hAnsi="Courier New" w:cs="Courier New" w:hint="default"/>
      </w:rPr>
    </w:lvl>
    <w:lvl w:ilvl="5" w:tplc="C1CA04C0" w:tentative="1">
      <w:start w:val="1"/>
      <w:numFmt w:val="bullet"/>
      <w:lvlText w:val=""/>
      <w:lvlJc w:val="left"/>
      <w:pPr>
        <w:tabs>
          <w:tab w:val="num" w:pos="4320"/>
        </w:tabs>
        <w:ind w:left="4320" w:hanging="360"/>
      </w:pPr>
      <w:rPr>
        <w:rFonts w:ascii="Wingdings" w:hAnsi="Wingdings" w:hint="default"/>
      </w:rPr>
    </w:lvl>
    <w:lvl w:ilvl="6" w:tplc="AC18B754" w:tentative="1">
      <w:start w:val="1"/>
      <w:numFmt w:val="bullet"/>
      <w:lvlText w:val=""/>
      <w:lvlJc w:val="left"/>
      <w:pPr>
        <w:tabs>
          <w:tab w:val="num" w:pos="5040"/>
        </w:tabs>
        <w:ind w:left="5040" w:hanging="360"/>
      </w:pPr>
      <w:rPr>
        <w:rFonts w:ascii="Symbol" w:hAnsi="Symbol" w:hint="default"/>
      </w:rPr>
    </w:lvl>
    <w:lvl w:ilvl="7" w:tplc="C5F60540" w:tentative="1">
      <w:start w:val="1"/>
      <w:numFmt w:val="bullet"/>
      <w:lvlText w:val="o"/>
      <w:lvlJc w:val="left"/>
      <w:pPr>
        <w:tabs>
          <w:tab w:val="num" w:pos="5760"/>
        </w:tabs>
        <w:ind w:left="5760" w:hanging="360"/>
      </w:pPr>
      <w:rPr>
        <w:rFonts w:ascii="Courier New" w:hAnsi="Courier New" w:cs="Courier New" w:hint="default"/>
      </w:rPr>
    </w:lvl>
    <w:lvl w:ilvl="8" w:tplc="CF66259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73857D2">
      <w:start w:val="1"/>
      <w:numFmt w:val="bullet"/>
      <w:pStyle w:val="Lijstopsomteken2"/>
      <w:lvlText w:val="–"/>
      <w:lvlJc w:val="left"/>
      <w:pPr>
        <w:tabs>
          <w:tab w:val="num" w:pos="227"/>
        </w:tabs>
        <w:ind w:left="227" w:firstLine="0"/>
      </w:pPr>
      <w:rPr>
        <w:rFonts w:ascii="Verdana" w:hAnsi="Verdana" w:hint="default"/>
      </w:rPr>
    </w:lvl>
    <w:lvl w:ilvl="1" w:tplc="7D465DF6" w:tentative="1">
      <w:start w:val="1"/>
      <w:numFmt w:val="bullet"/>
      <w:lvlText w:val="o"/>
      <w:lvlJc w:val="left"/>
      <w:pPr>
        <w:tabs>
          <w:tab w:val="num" w:pos="1440"/>
        </w:tabs>
        <w:ind w:left="1440" w:hanging="360"/>
      </w:pPr>
      <w:rPr>
        <w:rFonts w:ascii="Courier New" w:hAnsi="Courier New" w:cs="Courier New" w:hint="default"/>
      </w:rPr>
    </w:lvl>
    <w:lvl w:ilvl="2" w:tplc="0720CB6E" w:tentative="1">
      <w:start w:val="1"/>
      <w:numFmt w:val="bullet"/>
      <w:lvlText w:val=""/>
      <w:lvlJc w:val="left"/>
      <w:pPr>
        <w:tabs>
          <w:tab w:val="num" w:pos="2160"/>
        </w:tabs>
        <w:ind w:left="2160" w:hanging="360"/>
      </w:pPr>
      <w:rPr>
        <w:rFonts w:ascii="Wingdings" w:hAnsi="Wingdings" w:hint="default"/>
      </w:rPr>
    </w:lvl>
    <w:lvl w:ilvl="3" w:tplc="F8ACA26A" w:tentative="1">
      <w:start w:val="1"/>
      <w:numFmt w:val="bullet"/>
      <w:lvlText w:val=""/>
      <w:lvlJc w:val="left"/>
      <w:pPr>
        <w:tabs>
          <w:tab w:val="num" w:pos="2880"/>
        </w:tabs>
        <w:ind w:left="2880" w:hanging="360"/>
      </w:pPr>
      <w:rPr>
        <w:rFonts w:ascii="Symbol" w:hAnsi="Symbol" w:hint="default"/>
      </w:rPr>
    </w:lvl>
    <w:lvl w:ilvl="4" w:tplc="337C69E4" w:tentative="1">
      <w:start w:val="1"/>
      <w:numFmt w:val="bullet"/>
      <w:lvlText w:val="o"/>
      <w:lvlJc w:val="left"/>
      <w:pPr>
        <w:tabs>
          <w:tab w:val="num" w:pos="3600"/>
        </w:tabs>
        <w:ind w:left="3600" w:hanging="360"/>
      </w:pPr>
      <w:rPr>
        <w:rFonts w:ascii="Courier New" w:hAnsi="Courier New" w:cs="Courier New" w:hint="default"/>
      </w:rPr>
    </w:lvl>
    <w:lvl w:ilvl="5" w:tplc="A5A8B20E" w:tentative="1">
      <w:start w:val="1"/>
      <w:numFmt w:val="bullet"/>
      <w:lvlText w:val=""/>
      <w:lvlJc w:val="left"/>
      <w:pPr>
        <w:tabs>
          <w:tab w:val="num" w:pos="4320"/>
        </w:tabs>
        <w:ind w:left="4320" w:hanging="360"/>
      </w:pPr>
      <w:rPr>
        <w:rFonts w:ascii="Wingdings" w:hAnsi="Wingdings" w:hint="default"/>
      </w:rPr>
    </w:lvl>
    <w:lvl w:ilvl="6" w:tplc="449A1ADE" w:tentative="1">
      <w:start w:val="1"/>
      <w:numFmt w:val="bullet"/>
      <w:lvlText w:val=""/>
      <w:lvlJc w:val="left"/>
      <w:pPr>
        <w:tabs>
          <w:tab w:val="num" w:pos="5040"/>
        </w:tabs>
        <w:ind w:left="5040" w:hanging="360"/>
      </w:pPr>
      <w:rPr>
        <w:rFonts w:ascii="Symbol" w:hAnsi="Symbol" w:hint="default"/>
      </w:rPr>
    </w:lvl>
    <w:lvl w:ilvl="7" w:tplc="0DDE70D2" w:tentative="1">
      <w:start w:val="1"/>
      <w:numFmt w:val="bullet"/>
      <w:lvlText w:val="o"/>
      <w:lvlJc w:val="left"/>
      <w:pPr>
        <w:tabs>
          <w:tab w:val="num" w:pos="5760"/>
        </w:tabs>
        <w:ind w:left="5760" w:hanging="360"/>
      </w:pPr>
      <w:rPr>
        <w:rFonts w:ascii="Courier New" w:hAnsi="Courier New" w:cs="Courier New" w:hint="default"/>
      </w:rPr>
    </w:lvl>
    <w:lvl w:ilvl="8" w:tplc="AAB471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282930"/>
    <w:multiLevelType w:val="hybridMultilevel"/>
    <w:tmpl w:val="AE22C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65EC6F"/>
    <w:multiLevelType w:val="hybridMultilevel"/>
    <w:tmpl w:val="A078B7AA"/>
    <w:lvl w:ilvl="0" w:tplc="9EBAD6FE">
      <w:start w:val="1"/>
      <w:numFmt w:val="bullet"/>
      <w:lvlText w:val="·"/>
      <w:lvlJc w:val="left"/>
      <w:pPr>
        <w:ind w:left="720" w:hanging="360"/>
      </w:pPr>
      <w:rPr>
        <w:rFonts w:ascii="Symbol" w:hAnsi="Symbol" w:hint="default"/>
      </w:rPr>
    </w:lvl>
    <w:lvl w:ilvl="1" w:tplc="69CADDA2">
      <w:start w:val="1"/>
      <w:numFmt w:val="bullet"/>
      <w:lvlText w:val="o"/>
      <w:lvlJc w:val="left"/>
      <w:pPr>
        <w:ind w:left="1440" w:hanging="360"/>
      </w:pPr>
      <w:rPr>
        <w:rFonts w:ascii="Courier New" w:hAnsi="Courier New" w:hint="default"/>
      </w:rPr>
    </w:lvl>
    <w:lvl w:ilvl="2" w:tplc="53488C62">
      <w:start w:val="1"/>
      <w:numFmt w:val="bullet"/>
      <w:lvlText w:val=""/>
      <w:lvlJc w:val="left"/>
      <w:pPr>
        <w:ind w:left="2160" w:hanging="360"/>
      </w:pPr>
      <w:rPr>
        <w:rFonts w:ascii="Wingdings" w:hAnsi="Wingdings" w:hint="default"/>
      </w:rPr>
    </w:lvl>
    <w:lvl w:ilvl="3" w:tplc="0B2C0100">
      <w:start w:val="1"/>
      <w:numFmt w:val="bullet"/>
      <w:lvlText w:val=""/>
      <w:lvlJc w:val="left"/>
      <w:pPr>
        <w:ind w:left="2880" w:hanging="360"/>
      </w:pPr>
      <w:rPr>
        <w:rFonts w:ascii="Symbol" w:hAnsi="Symbol" w:hint="default"/>
      </w:rPr>
    </w:lvl>
    <w:lvl w:ilvl="4" w:tplc="D13CA552">
      <w:start w:val="1"/>
      <w:numFmt w:val="bullet"/>
      <w:lvlText w:val="o"/>
      <w:lvlJc w:val="left"/>
      <w:pPr>
        <w:ind w:left="3600" w:hanging="360"/>
      </w:pPr>
      <w:rPr>
        <w:rFonts w:ascii="Courier New" w:hAnsi="Courier New" w:hint="default"/>
      </w:rPr>
    </w:lvl>
    <w:lvl w:ilvl="5" w:tplc="CA803B4C">
      <w:start w:val="1"/>
      <w:numFmt w:val="bullet"/>
      <w:lvlText w:val=""/>
      <w:lvlJc w:val="left"/>
      <w:pPr>
        <w:ind w:left="4320" w:hanging="360"/>
      </w:pPr>
      <w:rPr>
        <w:rFonts w:ascii="Wingdings" w:hAnsi="Wingdings" w:hint="default"/>
      </w:rPr>
    </w:lvl>
    <w:lvl w:ilvl="6" w:tplc="47BA10DE">
      <w:start w:val="1"/>
      <w:numFmt w:val="bullet"/>
      <w:lvlText w:val=""/>
      <w:lvlJc w:val="left"/>
      <w:pPr>
        <w:ind w:left="5040" w:hanging="360"/>
      </w:pPr>
      <w:rPr>
        <w:rFonts w:ascii="Symbol" w:hAnsi="Symbol" w:hint="default"/>
      </w:rPr>
    </w:lvl>
    <w:lvl w:ilvl="7" w:tplc="69788726">
      <w:start w:val="1"/>
      <w:numFmt w:val="bullet"/>
      <w:lvlText w:val="o"/>
      <w:lvlJc w:val="left"/>
      <w:pPr>
        <w:ind w:left="5760" w:hanging="360"/>
      </w:pPr>
      <w:rPr>
        <w:rFonts w:ascii="Courier New" w:hAnsi="Courier New" w:hint="default"/>
      </w:rPr>
    </w:lvl>
    <w:lvl w:ilvl="8" w:tplc="5F0486F0">
      <w:start w:val="1"/>
      <w:numFmt w:val="bullet"/>
      <w:lvlText w:val=""/>
      <w:lvlJc w:val="left"/>
      <w:pPr>
        <w:ind w:left="6480" w:hanging="360"/>
      </w:pPr>
      <w:rPr>
        <w:rFonts w:ascii="Wingdings" w:hAnsi="Wingdings" w:hint="default"/>
      </w:rPr>
    </w:lvl>
  </w:abstractNum>
  <w:abstractNum w:abstractNumId="16" w15:restartNumberingAfterBreak="0">
    <w:nsid w:val="764805A7"/>
    <w:multiLevelType w:val="hybridMultilevel"/>
    <w:tmpl w:val="1E10BE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618ED98A">
      <w:start w:val="1"/>
      <w:numFmt w:val="bullet"/>
      <w:lvlText w:val=""/>
      <w:lvlJc w:val="left"/>
      <w:pPr>
        <w:ind w:left="720" w:hanging="360"/>
      </w:pPr>
      <w:rPr>
        <w:rFonts w:ascii="Symbol" w:hAnsi="Symbol" w:hint="default"/>
      </w:rPr>
    </w:lvl>
    <w:lvl w:ilvl="1" w:tplc="03BED7DC">
      <w:start w:val="1"/>
      <w:numFmt w:val="bullet"/>
      <w:lvlText w:val="o"/>
      <w:lvlJc w:val="left"/>
      <w:pPr>
        <w:ind w:left="1440" w:hanging="360"/>
      </w:pPr>
      <w:rPr>
        <w:rFonts w:ascii="Courier New" w:hAnsi="Courier New" w:cs="Courier New" w:hint="default"/>
      </w:rPr>
    </w:lvl>
    <w:lvl w:ilvl="2" w:tplc="AA90F884">
      <w:start w:val="1"/>
      <w:numFmt w:val="bullet"/>
      <w:lvlText w:val=""/>
      <w:lvlJc w:val="left"/>
      <w:pPr>
        <w:ind w:left="2160" w:hanging="360"/>
      </w:pPr>
      <w:rPr>
        <w:rFonts w:ascii="Wingdings" w:hAnsi="Wingdings" w:hint="default"/>
      </w:rPr>
    </w:lvl>
    <w:lvl w:ilvl="3" w:tplc="A3905472">
      <w:start w:val="1"/>
      <w:numFmt w:val="bullet"/>
      <w:lvlText w:val=""/>
      <w:lvlJc w:val="left"/>
      <w:pPr>
        <w:ind w:left="2880" w:hanging="360"/>
      </w:pPr>
      <w:rPr>
        <w:rFonts w:ascii="Symbol" w:hAnsi="Symbol" w:hint="default"/>
      </w:rPr>
    </w:lvl>
    <w:lvl w:ilvl="4" w:tplc="02ACE35E">
      <w:start w:val="1"/>
      <w:numFmt w:val="bullet"/>
      <w:lvlText w:val="o"/>
      <w:lvlJc w:val="left"/>
      <w:pPr>
        <w:ind w:left="3600" w:hanging="360"/>
      </w:pPr>
      <w:rPr>
        <w:rFonts w:ascii="Courier New" w:hAnsi="Courier New" w:cs="Courier New" w:hint="default"/>
      </w:rPr>
    </w:lvl>
    <w:lvl w:ilvl="5" w:tplc="2FA89DF2">
      <w:start w:val="1"/>
      <w:numFmt w:val="bullet"/>
      <w:lvlText w:val=""/>
      <w:lvlJc w:val="left"/>
      <w:pPr>
        <w:ind w:left="4320" w:hanging="360"/>
      </w:pPr>
      <w:rPr>
        <w:rFonts w:ascii="Wingdings" w:hAnsi="Wingdings" w:hint="default"/>
      </w:rPr>
    </w:lvl>
    <w:lvl w:ilvl="6" w:tplc="E1169186">
      <w:start w:val="1"/>
      <w:numFmt w:val="bullet"/>
      <w:lvlText w:val=""/>
      <w:lvlJc w:val="left"/>
      <w:pPr>
        <w:ind w:left="5040" w:hanging="360"/>
      </w:pPr>
      <w:rPr>
        <w:rFonts w:ascii="Symbol" w:hAnsi="Symbol" w:hint="default"/>
      </w:rPr>
    </w:lvl>
    <w:lvl w:ilvl="7" w:tplc="3EA83914">
      <w:start w:val="1"/>
      <w:numFmt w:val="bullet"/>
      <w:lvlText w:val="o"/>
      <w:lvlJc w:val="left"/>
      <w:pPr>
        <w:ind w:left="5760" w:hanging="360"/>
      </w:pPr>
      <w:rPr>
        <w:rFonts w:ascii="Courier New" w:hAnsi="Courier New" w:cs="Courier New" w:hint="default"/>
      </w:rPr>
    </w:lvl>
    <w:lvl w:ilvl="8" w:tplc="3D986048">
      <w:start w:val="1"/>
      <w:numFmt w:val="bullet"/>
      <w:lvlText w:val=""/>
      <w:lvlJc w:val="left"/>
      <w:pPr>
        <w:ind w:left="6480" w:hanging="360"/>
      </w:pPr>
      <w:rPr>
        <w:rFonts w:ascii="Wingdings" w:hAnsi="Wingdings" w:hint="default"/>
      </w:rPr>
    </w:lvl>
  </w:abstractNum>
  <w:num w:numId="1" w16cid:durableId="2066054192">
    <w:abstractNumId w:val="15"/>
  </w:num>
  <w:num w:numId="2" w16cid:durableId="1610894473">
    <w:abstractNumId w:val="10"/>
  </w:num>
  <w:num w:numId="3" w16cid:durableId="1242376627">
    <w:abstractNumId w:val="7"/>
  </w:num>
  <w:num w:numId="4" w16cid:durableId="936792513">
    <w:abstractNumId w:val="6"/>
  </w:num>
  <w:num w:numId="5" w16cid:durableId="1135685517">
    <w:abstractNumId w:val="5"/>
  </w:num>
  <w:num w:numId="6" w16cid:durableId="1431897853">
    <w:abstractNumId w:val="4"/>
  </w:num>
  <w:num w:numId="7" w16cid:durableId="1530755687">
    <w:abstractNumId w:val="8"/>
  </w:num>
  <w:num w:numId="8" w16cid:durableId="1884559724">
    <w:abstractNumId w:val="3"/>
  </w:num>
  <w:num w:numId="9" w16cid:durableId="1305543623">
    <w:abstractNumId w:val="2"/>
  </w:num>
  <w:num w:numId="10" w16cid:durableId="270280425">
    <w:abstractNumId w:val="1"/>
  </w:num>
  <w:num w:numId="11" w16cid:durableId="592472820">
    <w:abstractNumId w:val="0"/>
  </w:num>
  <w:num w:numId="12" w16cid:durableId="1158884385">
    <w:abstractNumId w:val="9"/>
  </w:num>
  <w:num w:numId="13" w16cid:durableId="574321450">
    <w:abstractNumId w:val="11"/>
  </w:num>
  <w:num w:numId="14" w16cid:durableId="1248611479">
    <w:abstractNumId w:val="14"/>
  </w:num>
  <w:num w:numId="15" w16cid:durableId="154806122">
    <w:abstractNumId w:val="12"/>
  </w:num>
  <w:num w:numId="16" w16cid:durableId="561870107">
    <w:abstractNumId w:val="17"/>
  </w:num>
  <w:num w:numId="17" w16cid:durableId="100076430">
    <w:abstractNumId w:val="16"/>
  </w:num>
  <w:num w:numId="18" w16cid:durableId="700857799">
    <w:abstractNumId w:val="13"/>
  </w:num>
  <w:num w:numId="19" w16cid:durableId="960838807">
    <w:abstractNumId w:val="13"/>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44"/>
    <w:rsid w:val="00001929"/>
    <w:rsid w:val="00003F86"/>
    <w:rsid w:val="000104C9"/>
    <w:rsid w:val="00010ECA"/>
    <w:rsid w:val="00013862"/>
    <w:rsid w:val="00016012"/>
    <w:rsid w:val="00020189"/>
    <w:rsid w:val="00020EE4"/>
    <w:rsid w:val="00023E9A"/>
    <w:rsid w:val="00026844"/>
    <w:rsid w:val="0003022F"/>
    <w:rsid w:val="00030739"/>
    <w:rsid w:val="00034A84"/>
    <w:rsid w:val="00035E67"/>
    <w:rsid w:val="000366F3"/>
    <w:rsid w:val="00044613"/>
    <w:rsid w:val="00044CD5"/>
    <w:rsid w:val="00050D83"/>
    <w:rsid w:val="00052C1A"/>
    <w:rsid w:val="0005565B"/>
    <w:rsid w:val="00055ACB"/>
    <w:rsid w:val="00071F28"/>
    <w:rsid w:val="0007250C"/>
    <w:rsid w:val="00074079"/>
    <w:rsid w:val="00074FE9"/>
    <w:rsid w:val="00085E3A"/>
    <w:rsid w:val="00090123"/>
    <w:rsid w:val="00092799"/>
    <w:rsid w:val="00092C5F"/>
    <w:rsid w:val="00093AAD"/>
    <w:rsid w:val="00096680"/>
    <w:rsid w:val="000A174A"/>
    <w:rsid w:val="000A3E0A"/>
    <w:rsid w:val="000A5183"/>
    <w:rsid w:val="000A65AC"/>
    <w:rsid w:val="000B7281"/>
    <w:rsid w:val="000B7959"/>
    <w:rsid w:val="000B7FAB"/>
    <w:rsid w:val="000C1230"/>
    <w:rsid w:val="000C2D3E"/>
    <w:rsid w:val="000C3EA9"/>
    <w:rsid w:val="000D0225"/>
    <w:rsid w:val="000D119D"/>
    <w:rsid w:val="000D6F4E"/>
    <w:rsid w:val="000E1704"/>
    <w:rsid w:val="000E7DD1"/>
    <w:rsid w:val="000F161D"/>
    <w:rsid w:val="000F6891"/>
    <w:rsid w:val="00103FBE"/>
    <w:rsid w:val="00104586"/>
    <w:rsid w:val="00106CDF"/>
    <w:rsid w:val="0011273F"/>
    <w:rsid w:val="0011624A"/>
    <w:rsid w:val="00123704"/>
    <w:rsid w:val="001270C7"/>
    <w:rsid w:val="00132540"/>
    <w:rsid w:val="00134E93"/>
    <w:rsid w:val="001358AD"/>
    <w:rsid w:val="00137AC0"/>
    <w:rsid w:val="001430D4"/>
    <w:rsid w:val="00143B2C"/>
    <w:rsid w:val="0014786A"/>
    <w:rsid w:val="00151324"/>
    <w:rsid w:val="001516A4"/>
    <w:rsid w:val="00151E5F"/>
    <w:rsid w:val="00153A1C"/>
    <w:rsid w:val="001569AB"/>
    <w:rsid w:val="00156E43"/>
    <w:rsid w:val="001612F5"/>
    <w:rsid w:val="00164952"/>
    <w:rsid w:val="001672AD"/>
    <w:rsid w:val="001726F3"/>
    <w:rsid w:val="00174CC2"/>
    <w:rsid w:val="00176CC6"/>
    <w:rsid w:val="0018075A"/>
    <w:rsid w:val="00181BE4"/>
    <w:rsid w:val="001823B1"/>
    <w:rsid w:val="001839E1"/>
    <w:rsid w:val="00184454"/>
    <w:rsid w:val="00185576"/>
    <w:rsid w:val="00185951"/>
    <w:rsid w:val="00185BF7"/>
    <w:rsid w:val="001863F1"/>
    <w:rsid w:val="00194348"/>
    <w:rsid w:val="00195D12"/>
    <w:rsid w:val="00196B8B"/>
    <w:rsid w:val="001A2BEA"/>
    <w:rsid w:val="001A3378"/>
    <w:rsid w:val="001A6D93"/>
    <w:rsid w:val="001B1601"/>
    <w:rsid w:val="001B1A32"/>
    <w:rsid w:val="001B3D52"/>
    <w:rsid w:val="001B563E"/>
    <w:rsid w:val="001B7B6A"/>
    <w:rsid w:val="001C32EC"/>
    <w:rsid w:val="001C4D5A"/>
    <w:rsid w:val="001C6F01"/>
    <w:rsid w:val="001C70EE"/>
    <w:rsid w:val="001D211E"/>
    <w:rsid w:val="001E0A39"/>
    <w:rsid w:val="001E1E90"/>
    <w:rsid w:val="001E3070"/>
    <w:rsid w:val="001E34C6"/>
    <w:rsid w:val="001E4C6B"/>
    <w:rsid w:val="001E5581"/>
    <w:rsid w:val="001E720C"/>
    <w:rsid w:val="001F1983"/>
    <w:rsid w:val="001F3C70"/>
    <w:rsid w:val="001F6159"/>
    <w:rsid w:val="00200D88"/>
    <w:rsid w:val="0020141E"/>
    <w:rsid w:val="00201F68"/>
    <w:rsid w:val="0021116F"/>
    <w:rsid w:val="0021255A"/>
    <w:rsid w:val="002129E6"/>
    <w:rsid w:val="00212F2A"/>
    <w:rsid w:val="002141F4"/>
    <w:rsid w:val="00214F2B"/>
    <w:rsid w:val="00216BC2"/>
    <w:rsid w:val="00217880"/>
    <w:rsid w:val="00221C2C"/>
    <w:rsid w:val="0022290A"/>
    <w:rsid w:val="00222A9F"/>
    <w:rsid w:val="002309A8"/>
    <w:rsid w:val="00234783"/>
    <w:rsid w:val="00236CFE"/>
    <w:rsid w:val="00240317"/>
    <w:rsid w:val="00240C98"/>
    <w:rsid w:val="00241498"/>
    <w:rsid w:val="002428E3"/>
    <w:rsid w:val="002439BC"/>
    <w:rsid w:val="00254097"/>
    <w:rsid w:val="00254864"/>
    <w:rsid w:val="00260277"/>
    <w:rsid w:val="002603C4"/>
    <w:rsid w:val="00260BAF"/>
    <w:rsid w:val="0026208B"/>
    <w:rsid w:val="002650F7"/>
    <w:rsid w:val="00270614"/>
    <w:rsid w:val="00273F3B"/>
    <w:rsid w:val="00274DB7"/>
    <w:rsid w:val="00275984"/>
    <w:rsid w:val="002768E5"/>
    <w:rsid w:val="00277DF2"/>
    <w:rsid w:val="002801F4"/>
    <w:rsid w:val="00280F74"/>
    <w:rsid w:val="00282C6C"/>
    <w:rsid w:val="00286998"/>
    <w:rsid w:val="0028799F"/>
    <w:rsid w:val="00291AB7"/>
    <w:rsid w:val="0029422B"/>
    <w:rsid w:val="00294F62"/>
    <w:rsid w:val="00297741"/>
    <w:rsid w:val="002A0384"/>
    <w:rsid w:val="002A1420"/>
    <w:rsid w:val="002A3B41"/>
    <w:rsid w:val="002A3E00"/>
    <w:rsid w:val="002A4E76"/>
    <w:rsid w:val="002A5758"/>
    <w:rsid w:val="002A7FA3"/>
    <w:rsid w:val="002B153C"/>
    <w:rsid w:val="002B4718"/>
    <w:rsid w:val="002B6DE0"/>
    <w:rsid w:val="002B6ED0"/>
    <w:rsid w:val="002C1735"/>
    <w:rsid w:val="002C1738"/>
    <w:rsid w:val="002C2805"/>
    <w:rsid w:val="002C2830"/>
    <w:rsid w:val="002C533C"/>
    <w:rsid w:val="002D001A"/>
    <w:rsid w:val="002D317B"/>
    <w:rsid w:val="002D33BE"/>
    <w:rsid w:val="002D3587"/>
    <w:rsid w:val="002D502D"/>
    <w:rsid w:val="002D68D8"/>
    <w:rsid w:val="002D71B6"/>
    <w:rsid w:val="002E0F69"/>
    <w:rsid w:val="002E2FFC"/>
    <w:rsid w:val="002F1B86"/>
    <w:rsid w:val="002F5147"/>
    <w:rsid w:val="002F673C"/>
    <w:rsid w:val="002F7084"/>
    <w:rsid w:val="00304B69"/>
    <w:rsid w:val="00312597"/>
    <w:rsid w:val="00312719"/>
    <w:rsid w:val="00313C07"/>
    <w:rsid w:val="00314521"/>
    <w:rsid w:val="00314870"/>
    <w:rsid w:val="003163ED"/>
    <w:rsid w:val="003263D7"/>
    <w:rsid w:val="00331BFF"/>
    <w:rsid w:val="00334154"/>
    <w:rsid w:val="00334F55"/>
    <w:rsid w:val="00341FA0"/>
    <w:rsid w:val="0034725E"/>
    <w:rsid w:val="00351B54"/>
    <w:rsid w:val="003521B5"/>
    <w:rsid w:val="0035274A"/>
    <w:rsid w:val="00352BCF"/>
    <w:rsid w:val="00353932"/>
    <w:rsid w:val="0035464B"/>
    <w:rsid w:val="00354FD2"/>
    <w:rsid w:val="00357B62"/>
    <w:rsid w:val="00360B0B"/>
    <w:rsid w:val="0036252A"/>
    <w:rsid w:val="00364D9D"/>
    <w:rsid w:val="003709A1"/>
    <w:rsid w:val="0037421D"/>
    <w:rsid w:val="00374A71"/>
    <w:rsid w:val="00383DA1"/>
    <w:rsid w:val="00386AC5"/>
    <w:rsid w:val="00390A94"/>
    <w:rsid w:val="0039361F"/>
    <w:rsid w:val="00393963"/>
    <w:rsid w:val="00395575"/>
    <w:rsid w:val="00395619"/>
    <w:rsid w:val="00395672"/>
    <w:rsid w:val="003A06C8"/>
    <w:rsid w:val="003A0D7C"/>
    <w:rsid w:val="003A2419"/>
    <w:rsid w:val="003A7A85"/>
    <w:rsid w:val="003B02CD"/>
    <w:rsid w:val="003B2360"/>
    <w:rsid w:val="003B7675"/>
    <w:rsid w:val="003B7EE7"/>
    <w:rsid w:val="003C2761"/>
    <w:rsid w:val="003C2CCB"/>
    <w:rsid w:val="003C31F4"/>
    <w:rsid w:val="003C6804"/>
    <w:rsid w:val="003C74EA"/>
    <w:rsid w:val="003C79AD"/>
    <w:rsid w:val="003D39EC"/>
    <w:rsid w:val="003E3DD5"/>
    <w:rsid w:val="003F07C6"/>
    <w:rsid w:val="003F1F6B"/>
    <w:rsid w:val="003F3757"/>
    <w:rsid w:val="003F44B7"/>
    <w:rsid w:val="00403247"/>
    <w:rsid w:val="00406802"/>
    <w:rsid w:val="00407CAF"/>
    <w:rsid w:val="00413D48"/>
    <w:rsid w:val="00415CCD"/>
    <w:rsid w:val="00425884"/>
    <w:rsid w:val="00427175"/>
    <w:rsid w:val="00427E02"/>
    <w:rsid w:val="00441AC2"/>
    <w:rsid w:val="0044249B"/>
    <w:rsid w:val="00443510"/>
    <w:rsid w:val="00444AE3"/>
    <w:rsid w:val="0045023C"/>
    <w:rsid w:val="00451696"/>
    <w:rsid w:val="00451A5B"/>
    <w:rsid w:val="00452BCD"/>
    <w:rsid w:val="00452CEA"/>
    <w:rsid w:val="00465B52"/>
    <w:rsid w:val="00465F43"/>
    <w:rsid w:val="0046708E"/>
    <w:rsid w:val="00467FE1"/>
    <w:rsid w:val="00474463"/>
    <w:rsid w:val="00474B75"/>
    <w:rsid w:val="0047627E"/>
    <w:rsid w:val="004765D9"/>
    <w:rsid w:val="00480036"/>
    <w:rsid w:val="004816FF"/>
    <w:rsid w:val="004833E1"/>
    <w:rsid w:val="00483F0B"/>
    <w:rsid w:val="00484957"/>
    <w:rsid w:val="00484A02"/>
    <w:rsid w:val="00485395"/>
    <w:rsid w:val="00491DB4"/>
    <w:rsid w:val="00496319"/>
    <w:rsid w:val="004A0304"/>
    <w:rsid w:val="004A34BC"/>
    <w:rsid w:val="004A558F"/>
    <w:rsid w:val="004A5883"/>
    <w:rsid w:val="004B5465"/>
    <w:rsid w:val="004C14B6"/>
    <w:rsid w:val="004C7CBB"/>
    <w:rsid w:val="004D505E"/>
    <w:rsid w:val="004D5087"/>
    <w:rsid w:val="004D5E35"/>
    <w:rsid w:val="004D65A2"/>
    <w:rsid w:val="004D72CA"/>
    <w:rsid w:val="004E151D"/>
    <w:rsid w:val="004E2242"/>
    <w:rsid w:val="004E260E"/>
    <w:rsid w:val="004E4712"/>
    <w:rsid w:val="004E5110"/>
    <w:rsid w:val="004E6851"/>
    <w:rsid w:val="004E7692"/>
    <w:rsid w:val="004F0877"/>
    <w:rsid w:val="004F0BAE"/>
    <w:rsid w:val="004F42FF"/>
    <w:rsid w:val="004F44C2"/>
    <w:rsid w:val="00516022"/>
    <w:rsid w:val="00517284"/>
    <w:rsid w:val="0052002F"/>
    <w:rsid w:val="005204BA"/>
    <w:rsid w:val="0052169F"/>
    <w:rsid w:val="00521CEE"/>
    <w:rsid w:val="00525CFF"/>
    <w:rsid w:val="00526BA0"/>
    <w:rsid w:val="00526C09"/>
    <w:rsid w:val="005324CC"/>
    <w:rsid w:val="005375B7"/>
    <w:rsid w:val="00540AAC"/>
    <w:rsid w:val="00541198"/>
    <w:rsid w:val="005429DC"/>
    <w:rsid w:val="005503B0"/>
    <w:rsid w:val="005510D6"/>
    <w:rsid w:val="00552EDD"/>
    <w:rsid w:val="00554E13"/>
    <w:rsid w:val="005558E0"/>
    <w:rsid w:val="0056216F"/>
    <w:rsid w:val="00572CD9"/>
    <w:rsid w:val="00573041"/>
    <w:rsid w:val="0057436B"/>
    <w:rsid w:val="00575A47"/>
    <w:rsid w:val="00575B80"/>
    <w:rsid w:val="005767BC"/>
    <w:rsid w:val="005819CE"/>
    <w:rsid w:val="0058298D"/>
    <w:rsid w:val="00593C2B"/>
    <w:rsid w:val="00595104"/>
    <w:rsid w:val="00596166"/>
    <w:rsid w:val="00597B35"/>
    <w:rsid w:val="005A1C39"/>
    <w:rsid w:val="005B2DF5"/>
    <w:rsid w:val="005C3FE0"/>
    <w:rsid w:val="005C740C"/>
    <w:rsid w:val="005D0404"/>
    <w:rsid w:val="005D625B"/>
    <w:rsid w:val="005D7A82"/>
    <w:rsid w:val="005E106C"/>
    <w:rsid w:val="005E27A3"/>
    <w:rsid w:val="005E6203"/>
    <w:rsid w:val="005E6A47"/>
    <w:rsid w:val="005F1DBC"/>
    <w:rsid w:val="005F56B1"/>
    <w:rsid w:val="005F63F7"/>
    <w:rsid w:val="005F6D11"/>
    <w:rsid w:val="005F79E9"/>
    <w:rsid w:val="00600CF0"/>
    <w:rsid w:val="006011C2"/>
    <w:rsid w:val="006022BA"/>
    <w:rsid w:val="00603423"/>
    <w:rsid w:val="006048F4"/>
    <w:rsid w:val="0060660A"/>
    <w:rsid w:val="006069D6"/>
    <w:rsid w:val="00617A44"/>
    <w:rsid w:val="006202B6"/>
    <w:rsid w:val="00622291"/>
    <w:rsid w:val="00625CD0"/>
    <w:rsid w:val="00626BE8"/>
    <w:rsid w:val="00627432"/>
    <w:rsid w:val="00631090"/>
    <w:rsid w:val="00635067"/>
    <w:rsid w:val="00635A49"/>
    <w:rsid w:val="00637427"/>
    <w:rsid w:val="0063875C"/>
    <w:rsid w:val="006402AE"/>
    <w:rsid w:val="006405DF"/>
    <w:rsid w:val="006425CB"/>
    <w:rsid w:val="006448E4"/>
    <w:rsid w:val="0065066C"/>
    <w:rsid w:val="00651203"/>
    <w:rsid w:val="006523F2"/>
    <w:rsid w:val="00653606"/>
    <w:rsid w:val="006540BC"/>
    <w:rsid w:val="00661591"/>
    <w:rsid w:val="0066195F"/>
    <w:rsid w:val="00661BFE"/>
    <w:rsid w:val="0066398A"/>
    <w:rsid w:val="00665F29"/>
    <w:rsid w:val="0066632F"/>
    <w:rsid w:val="006721D4"/>
    <w:rsid w:val="0067275E"/>
    <w:rsid w:val="006730F5"/>
    <w:rsid w:val="00674A89"/>
    <w:rsid w:val="00682EBF"/>
    <w:rsid w:val="00685545"/>
    <w:rsid w:val="006864B3"/>
    <w:rsid w:val="00687F74"/>
    <w:rsid w:val="00694C91"/>
    <w:rsid w:val="006960A1"/>
    <w:rsid w:val="006A038F"/>
    <w:rsid w:val="006A10F8"/>
    <w:rsid w:val="006A2100"/>
    <w:rsid w:val="006A388A"/>
    <w:rsid w:val="006A5FED"/>
    <w:rsid w:val="006A7295"/>
    <w:rsid w:val="006A7BAB"/>
    <w:rsid w:val="006B0209"/>
    <w:rsid w:val="006B0BF3"/>
    <w:rsid w:val="006B1D6E"/>
    <w:rsid w:val="006B775E"/>
    <w:rsid w:val="006C10E8"/>
    <w:rsid w:val="006C2280"/>
    <w:rsid w:val="006C2535"/>
    <w:rsid w:val="006C441E"/>
    <w:rsid w:val="006C4B90"/>
    <w:rsid w:val="006C6BE9"/>
    <w:rsid w:val="006D1016"/>
    <w:rsid w:val="006D17F2"/>
    <w:rsid w:val="006D45EC"/>
    <w:rsid w:val="006D54DC"/>
    <w:rsid w:val="006E3546"/>
    <w:rsid w:val="006E3FA9"/>
    <w:rsid w:val="006E43DC"/>
    <w:rsid w:val="006E6C50"/>
    <w:rsid w:val="006E7D82"/>
    <w:rsid w:val="006F05B5"/>
    <w:rsid w:val="006F0C2B"/>
    <w:rsid w:val="006F0F93"/>
    <w:rsid w:val="006F31F2"/>
    <w:rsid w:val="006F38AE"/>
    <w:rsid w:val="00700B66"/>
    <w:rsid w:val="00701260"/>
    <w:rsid w:val="00702BF7"/>
    <w:rsid w:val="00702ED7"/>
    <w:rsid w:val="00706C05"/>
    <w:rsid w:val="0070705B"/>
    <w:rsid w:val="00713699"/>
    <w:rsid w:val="00714DC5"/>
    <w:rsid w:val="00715237"/>
    <w:rsid w:val="007160DF"/>
    <w:rsid w:val="00721B3A"/>
    <w:rsid w:val="0072232C"/>
    <w:rsid w:val="00722CA6"/>
    <w:rsid w:val="007254A5"/>
    <w:rsid w:val="00725748"/>
    <w:rsid w:val="00725B0C"/>
    <w:rsid w:val="00732028"/>
    <w:rsid w:val="00732BEB"/>
    <w:rsid w:val="00733F2F"/>
    <w:rsid w:val="00734EFA"/>
    <w:rsid w:val="00735D88"/>
    <w:rsid w:val="0073720D"/>
    <w:rsid w:val="00737507"/>
    <w:rsid w:val="00740712"/>
    <w:rsid w:val="00741ED7"/>
    <w:rsid w:val="00742AB9"/>
    <w:rsid w:val="00746233"/>
    <w:rsid w:val="0075019D"/>
    <w:rsid w:val="007527C5"/>
    <w:rsid w:val="00754FBF"/>
    <w:rsid w:val="00756346"/>
    <w:rsid w:val="0075648C"/>
    <w:rsid w:val="00760B77"/>
    <w:rsid w:val="007650B4"/>
    <w:rsid w:val="00766D9C"/>
    <w:rsid w:val="00770062"/>
    <w:rsid w:val="0077006F"/>
    <w:rsid w:val="007709EF"/>
    <w:rsid w:val="00771728"/>
    <w:rsid w:val="0077683D"/>
    <w:rsid w:val="00783559"/>
    <w:rsid w:val="00783D93"/>
    <w:rsid w:val="007878EF"/>
    <w:rsid w:val="00793A0C"/>
    <w:rsid w:val="00797AA5"/>
    <w:rsid w:val="007A0D08"/>
    <w:rsid w:val="007A2457"/>
    <w:rsid w:val="007A4105"/>
    <w:rsid w:val="007A5A9C"/>
    <w:rsid w:val="007B0C44"/>
    <w:rsid w:val="007B2ADC"/>
    <w:rsid w:val="007B4503"/>
    <w:rsid w:val="007B5D4B"/>
    <w:rsid w:val="007C2B80"/>
    <w:rsid w:val="007C406E"/>
    <w:rsid w:val="007C5183"/>
    <w:rsid w:val="007C5C59"/>
    <w:rsid w:val="007C71D7"/>
    <w:rsid w:val="007D097F"/>
    <w:rsid w:val="007D0A6B"/>
    <w:rsid w:val="007D21B7"/>
    <w:rsid w:val="007D2A81"/>
    <w:rsid w:val="007D7584"/>
    <w:rsid w:val="007E2B20"/>
    <w:rsid w:val="007E3D56"/>
    <w:rsid w:val="007E5A2F"/>
    <w:rsid w:val="007EABFD"/>
    <w:rsid w:val="007F22C8"/>
    <w:rsid w:val="007F2868"/>
    <w:rsid w:val="007F4605"/>
    <w:rsid w:val="007F4C96"/>
    <w:rsid w:val="007F5331"/>
    <w:rsid w:val="007F6A98"/>
    <w:rsid w:val="00800CCA"/>
    <w:rsid w:val="008011FB"/>
    <w:rsid w:val="0080261D"/>
    <w:rsid w:val="00802763"/>
    <w:rsid w:val="00806120"/>
    <w:rsid w:val="00812028"/>
    <w:rsid w:val="0081239B"/>
    <w:rsid w:val="00813082"/>
    <w:rsid w:val="00814D03"/>
    <w:rsid w:val="0081547C"/>
    <w:rsid w:val="00816D33"/>
    <w:rsid w:val="00820B12"/>
    <w:rsid w:val="00823AE2"/>
    <w:rsid w:val="0082675F"/>
    <w:rsid w:val="0083103A"/>
    <w:rsid w:val="0083178B"/>
    <w:rsid w:val="00833695"/>
    <w:rsid w:val="008336B7"/>
    <w:rsid w:val="00833872"/>
    <w:rsid w:val="00833A8E"/>
    <w:rsid w:val="00842CD8"/>
    <w:rsid w:val="008431FA"/>
    <w:rsid w:val="008448BD"/>
    <w:rsid w:val="00845C8E"/>
    <w:rsid w:val="008547BA"/>
    <w:rsid w:val="008553C7"/>
    <w:rsid w:val="00857FEB"/>
    <w:rsid w:val="008601AF"/>
    <w:rsid w:val="00860AA2"/>
    <w:rsid w:val="00860BA7"/>
    <w:rsid w:val="00866A77"/>
    <w:rsid w:val="008676AE"/>
    <w:rsid w:val="00871B0E"/>
    <w:rsid w:val="00872271"/>
    <w:rsid w:val="0087607D"/>
    <w:rsid w:val="00877636"/>
    <w:rsid w:val="00881F19"/>
    <w:rsid w:val="0088487A"/>
    <w:rsid w:val="00892184"/>
    <w:rsid w:val="00893C0C"/>
    <w:rsid w:val="00894741"/>
    <w:rsid w:val="00896047"/>
    <w:rsid w:val="008960D6"/>
    <w:rsid w:val="008A28F5"/>
    <w:rsid w:val="008A3920"/>
    <w:rsid w:val="008A3C9D"/>
    <w:rsid w:val="008A7B43"/>
    <w:rsid w:val="008A7E0D"/>
    <w:rsid w:val="008B3929"/>
    <w:rsid w:val="008B4CB3"/>
    <w:rsid w:val="008B7011"/>
    <w:rsid w:val="008B7B24"/>
    <w:rsid w:val="008C25FC"/>
    <w:rsid w:val="008C356D"/>
    <w:rsid w:val="008C5051"/>
    <w:rsid w:val="008C7719"/>
    <w:rsid w:val="008D6C99"/>
    <w:rsid w:val="008E49AD"/>
    <w:rsid w:val="008F2731"/>
    <w:rsid w:val="008F3246"/>
    <w:rsid w:val="008F371A"/>
    <w:rsid w:val="008F3C1B"/>
    <w:rsid w:val="008F41D7"/>
    <w:rsid w:val="008F508C"/>
    <w:rsid w:val="008F582A"/>
    <w:rsid w:val="008F60DB"/>
    <w:rsid w:val="0090271B"/>
    <w:rsid w:val="009043F8"/>
    <w:rsid w:val="00910642"/>
    <w:rsid w:val="00910DDF"/>
    <w:rsid w:val="00911834"/>
    <w:rsid w:val="0091643D"/>
    <w:rsid w:val="00922411"/>
    <w:rsid w:val="009311C8"/>
    <w:rsid w:val="00933060"/>
    <w:rsid w:val="00933376"/>
    <w:rsid w:val="00933A2F"/>
    <w:rsid w:val="00933E8D"/>
    <w:rsid w:val="0093653B"/>
    <w:rsid w:val="00940D4E"/>
    <w:rsid w:val="00943A1A"/>
    <w:rsid w:val="009475FE"/>
    <w:rsid w:val="0095179E"/>
    <w:rsid w:val="009517CD"/>
    <w:rsid w:val="00951EE8"/>
    <w:rsid w:val="00954E35"/>
    <w:rsid w:val="00956DA9"/>
    <w:rsid w:val="00961465"/>
    <w:rsid w:val="009718F9"/>
    <w:rsid w:val="00971928"/>
    <w:rsid w:val="00972FB9"/>
    <w:rsid w:val="00975112"/>
    <w:rsid w:val="009809C0"/>
    <w:rsid w:val="00981768"/>
    <w:rsid w:val="009839D2"/>
    <w:rsid w:val="00983E8F"/>
    <w:rsid w:val="00986B36"/>
    <w:rsid w:val="009937FC"/>
    <w:rsid w:val="00994FDA"/>
    <w:rsid w:val="00995AFE"/>
    <w:rsid w:val="009A0AC7"/>
    <w:rsid w:val="009A2FD7"/>
    <w:rsid w:val="009A3269"/>
    <w:rsid w:val="009A3B71"/>
    <w:rsid w:val="009A61BC"/>
    <w:rsid w:val="009B0138"/>
    <w:rsid w:val="009B0FE9"/>
    <w:rsid w:val="009B57E3"/>
    <w:rsid w:val="009C3F20"/>
    <w:rsid w:val="009C7CA1"/>
    <w:rsid w:val="009D043D"/>
    <w:rsid w:val="009D14B4"/>
    <w:rsid w:val="009D35BF"/>
    <w:rsid w:val="009D3B53"/>
    <w:rsid w:val="009D5D50"/>
    <w:rsid w:val="009D5F09"/>
    <w:rsid w:val="009D67D1"/>
    <w:rsid w:val="009E15A1"/>
    <w:rsid w:val="009E4655"/>
    <w:rsid w:val="009F3259"/>
    <w:rsid w:val="009F3D3A"/>
    <w:rsid w:val="009F6B27"/>
    <w:rsid w:val="009F6EEA"/>
    <w:rsid w:val="00A0350A"/>
    <w:rsid w:val="00A05669"/>
    <w:rsid w:val="00A05A7D"/>
    <w:rsid w:val="00A128AD"/>
    <w:rsid w:val="00A1408F"/>
    <w:rsid w:val="00A1431B"/>
    <w:rsid w:val="00A14732"/>
    <w:rsid w:val="00A14FC6"/>
    <w:rsid w:val="00A15BB6"/>
    <w:rsid w:val="00A165F6"/>
    <w:rsid w:val="00A203C6"/>
    <w:rsid w:val="00A21920"/>
    <w:rsid w:val="00A21E76"/>
    <w:rsid w:val="00A220E5"/>
    <w:rsid w:val="00A23BC8"/>
    <w:rsid w:val="00A2457A"/>
    <w:rsid w:val="00A24F15"/>
    <w:rsid w:val="00A27CE4"/>
    <w:rsid w:val="00A30434"/>
    <w:rsid w:val="00A30BE3"/>
    <w:rsid w:val="00A30E68"/>
    <w:rsid w:val="00A31933"/>
    <w:rsid w:val="00A328CE"/>
    <w:rsid w:val="00A34AA0"/>
    <w:rsid w:val="00A34AA1"/>
    <w:rsid w:val="00A35C4F"/>
    <w:rsid w:val="00A376AB"/>
    <w:rsid w:val="00A41F6E"/>
    <w:rsid w:val="00A41FE2"/>
    <w:rsid w:val="00A443CD"/>
    <w:rsid w:val="00A454E4"/>
    <w:rsid w:val="00A47948"/>
    <w:rsid w:val="00A50824"/>
    <w:rsid w:val="00A53549"/>
    <w:rsid w:val="00A53819"/>
    <w:rsid w:val="00A55513"/>
    <w:rsid w:val="00A56946"/>
    <w:rsid w:val="00A61145"/>
    <w:rsid w:val="00A61D1D"/>
    <w:rsid w:val="00A638E2"/>
    <w:rsid w:val="00A63B8C"/>
    <w:rsid w:val="00A675E5"/>
    <w:rsid w:val="00A706BA"/>
    <w:rsid w:val="00A72076"/>
    <w:rsid w:val="00A73D18"/>
    <w:rsid w:val="00A77F6F"/>
    <w:rsid w:val="00A81E91"/>
    <w:rsid w:val="00A82BC4"/>
    <w:rsid w:val="00A831FD"/>
    <w:rsid w:val="00A9016E"/>
    <w:rsid w:val="00A90A87"/>
    <w:rsid w:val="00A91FA3"/>
    <w:rsid w:val="00A93F67"/>
    <w:rsid w:val="00A94C4D"/>
    <w:rsid w:val="00A95860"/>
    <w:rsid w:val="00AA087F"/>
    <w:rsid w:val="00AA30BB"/>
    <w:rsid w:val="00AA4791"/>
    <w:rsid w:val="00AA780B"/>
    <w:rsid w:val="00AA7FC9"/>
    <w:rsid w:val="00AB0E8E"/>
    <w:rsid w:val="00AB237D"/>
    <w:rsid w:val="00AB462F"/>
    <w:rsid w:val="00AB5933"/>
    <w:rsid w:val="00AC0FFC"/>
    <w:rsid w:val="00AC2321"/>
    <w:rsid w:val="00AC3A1F"/>
    <w:rsid w:val="00AC59C5"/>
    <w:rsid w:val="00AC732A"/>
    <w:rsid w:val="00AD198B"/>
    <w:rsid w:val="00AE013D"/>
    <w:rsid w:val="00AE11B7"/>
    <w:rsid w:val="00AE2058"/>
    <w:rsid w:val="00AE4A91"/>
    <w:rsid w:val="00AE6410"/>
    <w:rsid w:val="00AF13DA"/>
    <w:rsid w:val="00AF52F6"/>
    <w:rsid w:val="00AF7237"/>
    <w:rsid w:val="00AF78B4"/>
    <w:rsid w:val="00B0043A"/>
    <w:rsid w:val="00B00D75"/>
    <w:rsid w:val="00B054DC"/>
    <w:rsid w:val="00B070CB"/>
    <w:rsid w:val="00B07AA5"/>
    <w:rsid w:val="00B10831"/>
    <w:rsid w:val="00B132B2"/>
    <w:rsid w:val="00B17BBB"/>
    <w:rsid w:val="00B259C8"/>
    <w:rsid w:val="00B26A45"/>
    <w:rsid w:val="00B26CCF"/>
    <w:rsid w:val="00B349FA"/>
    <w:rsid w:val="00B34C10"/>
    <w:rsid w:val="00B425F0"/>
    <w:rsid w:val="00B42DFA"/>
    <w:rsid w:val="00B43C50"/>
    <w:rsid w:val="00B44934"/>
    <w:rsid w:val="00B44F73"/>
    <w:rsid w:val="00B51AE9"/>
    <w:rsid w:val="00B520EC"/>
    <w:rsid w:val="00B531DD"/>
    <w:rsid w:val="00B55014"/>
    <w:rsid w:val="00B609ED"/>
    <w:rsid w:val="00B60FC2"/>
    <w:rsid w:val="00B62232"/>
    <w:rsid w:val="00B640FD"/>
    <w:rsid w:val="00B71DC2"/>
    <w:rsid w:val="00B768B2"/>
    <w:rsid w:val="00B80506"/>
    <w:rsid w:val="00B80712"/>
    <w:rsid w:val="00B870A9"/>
    <w:rsid w:val="00B9126B"/>
    <w:rsid w:val="00B92235"/>
    <w:rsid w:val="00B93893"/>
    <w:rsid w:val="00B95BDB"/>
    <w:rsid w:val="00BA2586"/>
    <w:rsid w:val="00BB19D4"/>
    <w:rsid w:val="00BB252B"/>
    <w:rsid w:val="00BB3253"/>
    <w:rsid w:val="00BB4785"/>
    <w:rsid w:val="00BC08F8"/>
    <w:rsid w:val="00BC164E"/>
    <w:rsid w:val="00BC3B53"/>
    <w:rsid w:val="00BC3B96"/>
    <w:rsid w:val="00BC4AE3"/>
    <w:rsid w:val="00BC5A35"/>
    <w:rsid w:val="00BD48A8"/>
    <w:rsid w:val="00BD5099"/>
    <w:rsid w:val="00BD55D6"/>
    <w:rsid w:val="00BD64CD"/>
    <w:rsid w:val="00BE3F88"/>
    <w:rsid w:val="00BE4756"/>
    <w:rsid w:val="00BE5ED9"/>
    <w:rsid w:val="00BE77D3"/>
    <w:rsid w:val="00BE7B41"/>
    <w:rsid w:val="00BF1A93"/>
    <w:rsid w:val="00BF1BB7"/>
    <w:rsid w:val="00BF43DB"/>
    <w:rsid w:val="00BF58C8"/>
    <w:rsid w:val="00BF5BBC"/>
    <w:rsid w:val="00C026FC"/>
    <w:rsid w:val="00C06D4A"/>
    <w:rsid w:val="00C073EE"/>
    <w:rsid w:val="00C078B9"/>
    <w:rsid w:val="00C07E1D"/>
    <w:rsid w:val="00C1212C"/>
    <w:rsid w:val="00C14FEF"/>
    <w:rsid w:val="00C206F1"/>
    <w:rsid w:val="00C217E1"/>
    <w:rsid w:val="00C24EDA"/>
    <w:rsid w:val="00C31EB5"/>
    <w:rsid w:val="00C405B6"/>
    <w:rsid w:val="00C40B1B"/>
    <w:rsid w:val="00C40C60"/>
    <w:rsid w:val="00C41376"/>
    <w:rsid w:val="00C4175A"/>
    <w:rsid w:val="00C433F1"/>
    <w:rsid w:val="00C47047"/>
    <w:rsid w:val="00C4709F"/>
    <w:rsid w:val="00C5258E"/>
    <w:rsid w:val="00C5390E"/>
    <w:rsid w:val="00C53F9D"/>
    <w:rsid w:val="00C60D40"/>
    <w:rsid w:val="00C614E1"/>
    <w:rsid w:val="00C66803"/>
    <w:rsid w:val="00C6711D"/>
    <w:rsid w:val="00C72038"/>
    <w:rsid w:val="00C80E18"/>
    <w:rsid w:val="00C81565"/>
    <w:rsid w:val="00C84DF4"/>
    <w:rsid w:val="00C90381"/>
    <w:rsid w:val="00C9311D"/>
    <w:rsid w:val="00C97C80"/>
    <w:rsid w:val="00CA0AB3"/>
    <w:rsid w:val="00CA47D3"/>
    <w:rsid w:val="00CA4CFC"/>
    <w:rsid w:val="00CA6950"/>
    <w:rsid w:val="00CA6A3F"/>
    <w:rsid w:val="00CA7C99"/>
    <w:rsid w:val="00CB7ABA"/>
    <w:rsid w:val="00CC16CD"/>
    <w:rsid w:val="00CC3794"/>
    <w:rsid w:val="00CC5174"/>
    <w:rsid w:val="00CC71D3"/>
    <w:rsid w:val="00CD362D"/>
    <w:rsid w:val="00CE1C84"/>
    <w:rsid w:val="00CE398F"/>
    <w:rsid w:val="00CE48D1"/>
    <w:rsid w:val="00CE567E"/>
    <w:rsid w:val="00CF04BD"/>
    <w:rsid w:val="00CF053F"/>
    <w:rsid w:val="00CF5031"/>
    <w:rsid w:val="00CF5917"/>
    <w:rsid w:val="00D047F9"/>
    <w:rsid w:val="00D0609E"/>
    <w:rsid w:val="00D06408"/>
    <w:rsid w:val="00D078E1"/>
    <w:rsid w:val="00D100E9"/>
    <w:rsid w:val="00D10E3A"/>
    <w:rsid w:val="00D16E93"/>
    <w:rsid w:val="00D21E4B"/>
    <w:rsid w:val="00D23522"/>
    <w:rsid w:val="00D264D6"/>
    <w:rsid w:val="00D27A8B"/>
    <w:rsid w:val="00D30565"/>
    <w:rsid w:val="00D33115"/>
    <w:rsid w:val="00D33BF0"/>
    <w:rsid w:val="00D3426A"/>
    <w:rsid w:val="00D4096A"/>
    <w:rsid w:val="00D424EF"/>
    <w:rsid w:val="00D474F4"/>
    <w:rsid w:val="00D516BE"/>
    <w:rsid w:val="00D5423B"/>
    <w:rsid w:val="00D54F4E"/>
    <w:rsid w:val="00D60BA4"/>
    <w:rsid w:val="00D62419"/>
    <w:rsid w:val="00D62542"/>
    <w:rsid w:val="00D62EC4"/>
    <w:rsid w:val="00D658BE"/>
    <w:rsid w:val="00D7522C"/>
    <w:rsid w:val="00D77870"/>
    <w:rsid w:val="00D80CCE"/>
    <w:rsid w:val="00D825E4"/>
    <w:rsid w:val="00D84508"/>
    <w:rsid w:val="00D87D03"/>
    <w:rsid w:val="00D95C88"/>
    <w:rsid w:val="00D97B2E"/>
    <w:rsid w:val="00DA6194"/>
    <w:rsid w:val="00DA658E"/>
    <w:rsid w:val="00DA7D2E"/>
    <w:rsid w:val="00DB297C"/>
    <w:rsid w:val="00DB36FE"/>
    <w:rsid w:val="00DB40CE"/>
    <w:rsid w:val="00DB533A"/>
    <w:rsid w:val="00DC1458"/>
    <w:rsid w:val="00DC2EE0"/>
    <w:rsid w:val="00DC622B"/>
    <w:rsid w:val="00DC66FF"/>
    <w:rsid w:val="00DD0751"/>
    <w:rsid w:val="00DD17C5"/>
    <w:rsid w:val="00DD2AA2"/>
    <w:rsid w:val="00DD2D5D"/>
    <w:rsid w:val="00DD66F2"/>
    <w:rsid w:val="00DE28E2"/>
    <w:rsid w:val="00DE2917"/>
    <w:rsid w:val="00DE3FE0"/>
    <w:rsid w:val="00DE578A"/>
    <w:rsid w:val="00DE70AC"/>
    <w:rsid w:val="00DF2583"/>
    <w:rsid w:val="00DF5450"/>
    <w:rsid w:val="00DF54D9"/>
    <w:rsid w:val="00DF7016"/>
    <w:rsid w:val="00E01A59"/>
    <w:rsid w:val="00E0640A"/>
    <w:rsid w:val="00E06ACE"/>
    <w:rsid w:val="00E10DC6"/>
    <w:rsid w:val="00E11F8E"/>
    <w:rsid w:val="00E16DE2"/>
    <w:rsid w:val="00E21DE3"/>
    <w:rsid w:val="00E24336"/>
    <w:rsid w:val="00E32318"/>
    <w:rsid w:val="00E3731D"/>
    <w:rsid w:val="00E40ED2"/>
    <w:rsid w:val="00E47676"/>
    <w:rsid w:val="00E51469"/>
    <w:rsid w:val="00E53AC1"/>
    <w:rsid w:val="00E55976"/>
    <w:rsid w:val="00E60FF3"/>
    <w:rsid w:val="00E634E3"/>
    <w:rsid w:val="00E65251"/>
    <w:rsid w:val="00E73850"/>
    <w:rsid w:val="00E73DC4"/>
    <w:rsid w:val="00E7469C"/>
    <w:rsid w:val="00E77F89"/>
    <w:rsid w:val="00E80236"/>
    <w:rsid w:val="00E80E71"/>
    <w:rsid w:val="00E83FCB"/>
    <w:rsid w:val="00E850D3"/>
    <w:rsid w:val="00E870D5"/>
    <w:rsid w:val="00E876B9"/>
    <w:rsid w:val="00E9188D"/>
    <w:rsid w:val="00E937C8"/>
    <w:rsid w:val="00E945D9"/>
    <w:rsid w:val="00EA14A9"/>
    <w:rsid w:val="00EB458F"/>
    <w:rsid w:val="00EC0B5E"/>
    <w:rsid w:val="00EC0DFF"/>
    <w:rsid w:val="00EC237D"/>
    <w:rsid w:val="00EC4D0E"/>
    <w:rsid w:val="00ED072A"/>
    <w:rsid w:val="00ED2AD5"/>
    <w:rsid w:val="00ED381F"/>
    <w:rsid w:val="00ED5D91"/>
    <w:rsid w:val="00EE4A1F"/>
    <w:rsid w:val="00EE4C2D"/>
    <w:rsid w:val="00EE6690"/>
    <w:rsid w:val="00EF1B5A"/>
    <w:rsid w:val="00EF24FB"/>
    <w:rsid w:val="00EF2CCA"/>
    <w:rsid w:val="00EF4D1C"/>
    <w:rsid w:val="00EF76A4"/>
    <w:rsid w:val="00EF7FAA"/>
    <w:rsid w:val="00F03963"/>
    <w:rsid w:val="00F04F0A"/>
    <w:rsid w:val="00F07831"/>
    <w:rsid w:val="00F11068"/>
    <w:rsid w:val="00F1256D"/>
    <w:rsid w:val="00F138CC"/>
    <w:rsid w:val="00F13A4E"/>
    <w:rsid w:val="00F13D80"/>
    <w:rsid w:val="00F14B91"/>
    <w:rsid w:val="00F14CA0"/>
    <w:rsid w:val="00F172BB"/>
    <w:rsid w:val="00F17B10"/>
    <w:rsid w:val="00F21BEF"/>
    <w:rsid w:val="00F23C49"/>
    <w:rsid w:val="00F24EB0"/>
    <w:rsid w:val="00F356BE"/>
    <w:rsid w:val="00F3673F"/>
    <w:rsid w:val="00F369AF"/>
    <w:rsid w:val="00F36C49"/>
    <w:rsid w:val="00F36E84"/>
    <w:rsid w:val="00F37290"/>
    <w:rsid w:val="00F426BB"/>
    <w:rsid w:val="00F432DA"/>
    <w:rsid w:val="00F44D1B"/>
    <w:rsid w:val="00F45A25"/>
    <w:rsid w:val="00F50F86"/>
    <w:rsid w:val="00F53B75"/>
    <w:rsid w:val="00F53F57"/>
    <w:rsid w:val="00F53F91"/>
    <w:rsid w:val="00F61A72"/>
    <w:rsid w:val="00F62B67"/>
    <w:rsid w:val="00F6461F"/>
    <w:rsid w:val="00F66E9D"/>
    <w:rsid w:val="00F66F13"/>
    <w:rsid w:val="00F70A37"/>
    <w:rsid w:val="00F70EF7"/>
    <w:rsid w:val="00F74073"/>
    <w:rsid w:val="00F75603"/>
    <w:rsid w:val="00F845B4"/>
    <w:rsid w:val="00F8713B"/>
    <w:rsid w:val="00F93F9E"/>
    <w:rsid w:val="00F95328"/>
    <w:rsid w:val="00F971A1"/>
    <w:rsid w:val="00FA2CD7"/>
    <w:rsid w:val="00FB06ED"/>
    <w:rsid w:val="00FB116D"/>
    <w:rsid w:val="00FB1359"/>
    <w:rsid w:val="00FB14A5"/>
    <w:rsid w:val="00FB44E8"/>
    <w:rsid w:val="00FB49EE"/>
    <w:rsid w:val="00FC145D"/>
    <w:rsid w:val="00FC2784"/>
    <w:rsid w:val="00FC3165"/>
    <w:rsid w:val="00FC36AB"/>
    <w:rsid w:val="00FC5867"/>
    <w:rsid w:val="00FC7F66"/>
    <w:rsid w:val="00FD60EF"/>
    <w:rsid w:val="00FE1815"/>
    <w:rsid w:val="00FE1CB6"/>
    <w:rsid w:val="00FE486B"/>
    <w:rsid w:val="00FE4F08"/>
    <w:rsid w:val="00FF041E"/>
    <w:rsid w:val="00FF09AB"/>
    <w:rsid w:val="00FF0D7E"/>
    <w:rsid w:val="00FF2ECD"/>
    <w:rsid w:val="0123D1DD"/>
    <w:rsid w:val="0249BFE4"/>
    <w:rsid w:val="03A152F5"/>
    <w:rsid w:val="03A731B4"/>
    <w:rsid w:val="045D8D01"/>
    <w:rsid w:val="065751A2"/>
    <w:rsid w:val="065C61FD"/>
    <w:rsid w:val="0732AC31"/>
    <w:rsid w:val="0812482F"/>
    <w:rsid w:val="088446CA"/>
    <w:rsid w:val="091C3EC3"/>
    <w:rsid w:val="097C928F"/>
    <w:rsid w:val="09DE50BD"/>
    <w:rsid w:val="0ADA45C6"/>
    <w:rsid w:val="0AE98396"/>
    <w:rsid w:val="0BB6754D"/>
    <w:rsid w:val="0E4BE441"/>
    <w:rsid w:val="125C5D35"/>
    <w:rsid w:val="135CB71F"/>
    <w:rsid w:val="13846019"/>
    <w:rsid w:val="16BC4683"/>
    <w:rsid w:val="17D69D87"/>
    <w:rsid w:val="181782C0"/>
    <w:rsid w:val="1A00C87F"/>
    <w:rsid w:val="1DF2FFD3"/>
    <w:rsid w:val="1F6457CC"/>
    <w:rsid w:val="205799FA"/>
    <w:rsid w:val="21C5A9FA"/>
    <w:rsid w:val="21CA6F55"/>
    <w:rsid w:val="273F3888"/>
    <w:rsid w:val="2765E639"/>
    <w:rsid w:val="2AD19307"/>
    <w:rsid w:val="2B85CF81"/>
    <w:rsid w:val="2BB62468"/>
    <w:rsid w:val="2BE09E0F"/>
    <w:rsid w:val="2EB6A841"/>
    <w:rsid w:val="2F2D6DE0"/>
    <w:rsid w:val="2F399605"/>
    <w:rsid w:val="31A74C52"/>
    <w:rsid w:val="325112E5"/>
    <w:rsid w:val="35DC4398"/>
    <w:rsid w:val="37A30CAE"/>
    <w:rsid w:val="37A81AAA"/>
    <w:rsid w:val="37C1D419"/>
    <w:rsid w:val="39B8D9BD"/>
    <w:rsid w:val="3B71B15F"/>
    <w:rsid w:val="3B84E992"/>
    <w:rsid w:val="3CCAF984"/>
    <w:rsid w:val="3D905A2E"/>
    <w:rsid w:val="3F31FCF2"/>
    <w:rsid w:val="40307870"/>
    <w:rsid w:val="41EFADB3"/>
    <w:rsid w:val="42E66D1B"/>
    <w:rsid w:val="43A47515"/>
    <w:rsid w:val="447CBCFE"/>
    <w:rsid w:val="47510415"/>
    <w:rsid w:val="490EBBD3"/>
    <w:rsid w:val="4BEF573C"/>
    <w:rsid w:val="4C5FCBC6"/>
    <w:rsid w:val="4CA8D2F2"/>
    <w:rsid w:val="4E1058DC"/>
    <w:rsid w:val="4EC1F14E"/>
    <w:rsid w:val="5086EECD"/>
    <w:rsid w:val="52255CD7"/>
    <w:rsid w:val="54A0D8B2"/>
    <w:rsid w:val="56409EE4"/>
    <w:rsid w:val="56474E0B"/>
    <w:rsid w:val="5703DC94"/>
    <w:rsid w:val="58E4690A"/>
    <w:rsid w:val="5ACA3B53"/>
    <w:rsid w:val="5BF4BA88"/>
    <w:rsid w:val="5C8E265E"/>
    <w:rsid w:val="5E1F6421"/>
    <w:rsid w:val="60D1794F"/>
    <w:rsid w:val="60E19C4C"/>
    <w:rsid w:val="62D941C5"/>
    <w:rsid w:val="680EC5CD"/>
    <w:rsid w:val="6B7680B8"/>
    <w:rsid w:val="6C1EEE06"/>
    <w:rsid w:val="6C253B8B"/>
    <w:rsid w:val="6CD1BB5B"/>
    <w:rsid w:val="6E3348B8"/>
    <w:rsid w:val="6F2EC79C"/>
    <w:rsid w:val="6F755C5E"/>
    <w:rsid w:val="6F9DBD0F"/>
    <w:rsid w:val="705506A1"/>
    <w:rsid w:val="715C2A20"/>
    <w:rsid w:val="716B57D9"/>
    <w:rsid w:val="74EA43E5"/>
    <w:rsid w:val="76305B79"/>
    <w:rsid w:val="764DB390"/>
    <w:rsid w:val="770C4ECE"/>
    <w:rsid w:val="770FE149"/>
    <w:rsid w:val="7715C9F7"/>
    <w:rsid w:val="7842F70E"/>
    <w:rsid w:val="789B0101"/>
    <w:rsid w:val="7C5A2DD5"/>
    <w:rsid w:val="7C6E5631"/>
    <w:rsid w:val="7E4E951A"/>
    <w:rsid w:val="7E8C8C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8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A7FA3"/>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2"/>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5"/>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044CD5"/>
    <w:rPr>
      <w:color w:val="808080"/>
    </w:rPr>
  </w:style>
  <w:style w:type="paragraph" w:styleId="Ballontekst">
    <w:name w:val="Balloon Text"/>
    <w:basedOn w:val="Standaard"/>
    <w:link w:val="BallontekstChar"/>
    <w:rsid w:val="00374A71"/>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374A71"/>
    <w:rPr>
      <w:rFonts w:ascii="Segoe UI" w:hAnsi="Segoe UI" w:cs="Segoe UI"/>
      <w:sz w:val="18"/>
      <w:szCs w:val="18"/>
      <w:lang w:val="nl-NL" w:eastAsia="nl-NL"/>
    </w:rPr>
  </w:style>
  <w:style w:type="paragraph" w:styleId="Geenafstand">
    <w:name w:val="No Spacing"/>
    <w:uiPriority w:val="1"/>
    <w:qFormat/>
    <w:rsid w:val="008A3920"/>
    <w:rPr>
      <w:rFonts w:ascii="Verdana" w:hAnsi="Verdana"/>
      <w:sz w:val="18"/>
      <w:szCs w:val="24"/>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DC1458"/>
    <w:pPr>
      <w:ind w:left="720"/>
      <w:contextualSpacing/>
    </w:pPr>
  </w:style>
  <w:style w:type="paragraph" w:styleId="Voetnoottekst">
    <w:name w:val="footnote text"/>
    <w:basedOn w:val="Standaard"/>
    <w:link w:val="VoetnoottekstChar"/>
    <w:uiPriority w:val="99"/>
    <w:unhideWhenUsed/>
    <w:rsid w:val="002A1420"/>
    <w:pPr>
      <w:spacing w:line="240" w:lineRule="auto"/>
    </w:pPr>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rsid w:val="002A1420"/>
    <w:rPr>
      <w:rFonts w:asciiTheme="minorHAnsi" w:eastAsiaTheme="minorHAnsi" w:hAnsiTheme="minorHAnsi" w:cstheme="minorBidi"/>
      <w:lang w:val="nl-NL"/>
    </w:rPr>
  </w:style>
  <w:style w:type="character" w:styleId="Voetnootmarkering">
    <w:name w:val="footnote reference"/>
    <w:basedOn w:val="Standaardalinea-lettertype"/>
    <w:uiPriority w:val="99"/>
    <w:semiHidden/>
    <w:unhideWhenUsed/>
    <w:rsid w:val="002A14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935</ap:Words>
  <ap:Characters>5009</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2026-04-02T19:17:00.0000000Z</dcterms:created>
  <dcterms:modified xsi:type="dcterms:W3CDTF">2026-04-02T19:34:00.0000000Z</dcterms:modified>
  <dc:description>------------------------</dc:description>
  <version/>
  <category/>
</coreProperties>
</file>