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8901D1" w:rsidR="00214726" w:rsidP="00214726" w14:paraId="6E2007AD" w14:textId="77777777">
      <w:r w:rsidRPr="008901D1">
        <w:t>Besluit van</w:t>
      </w:r>
      <w:r>
        <w:t xml:space="preserve"> </w:t>
      </w:r>
      <w:r w:rsidRPr="008901D1">
        <w:rPr>
          <w:highlight w:val="yellow"/>
        </w:rPr>
        <w:t>DATUM</w:t>
      </w:r>
      <w:r w:rsidRPr="008901D1">
        <w:t>,</w:t>
      </w:r>
    </w:p>
    <w:p w:rsidRPr="008901D1" w:rsidR="00214726" w:rsidP="00214726" w14:paraId="5DD36DC9" w14:textId="77777777"/>
    <w:p w:rsidRPr="008901D1" w:rsidR="00214726" w:rsidP="00214726" w14:paraId="13278E44" w14:textId="77777777">
      <w:r w:rsidRPr="008901D1">
        <w:t>houdende</w:t>
      </w:r>
      <w:r w:rsidRPr="008901D1">
        <w:t xml:space="preserve"> wijzigingen van het Besluit toegelaten instellingen volkshuisvesting 2015 in verband met de introductie </w:t>
      </w:r>
      <w:r>
        <w:t xml:space="preserve">van </w:t>
      </w:r>
      <w:r w:rsidRPr="008901D1">
        <w:t>de beleidswaarde</w:t>
      </w:r>
      <w:r w:rsidR="0044574E">
        <w:t xml:space="preserve"> [KETINID WGK0</w:t>
      </w:r>
      <w:r w:rsidRPr="0044574E" w:rsidR="0044574E">
        <w:t>27509</w:t>
      </w:r>
      <w:r w:rsidR="0044574E">
        <w:t>]</w:t>
      </w:r>
      <w:r w:rsidRPr="008901D1">
        <w:t>;</w:t>
      </w:r>
    </w:p>
    <w:p w:rsidRPr="008901D1" w:rsidR="00214726" w:rsidP="00214726" w14:paraId="6F897CCC" w14:textId="77777777"/>
    <w:p w:rsidRPr="008901D1" w:rsidR="00214726" w:rsidP="00214726" w14:paraId="0885A3DC" w14:textId="77777777">
      <w:r w:rsidRPr="008901D1">
        <w:br/>
        <w:t xml:space="preserve">Op voordracht van de Minister van Volkshuisvesting en Ruimtelijke Ordening van, kenmerk nr. </w:t>
      </w:r>
      <w:r w:rsidRPr="008901D1">
        <w:rPr>
          <w:highlight w:val="yellow"/>
        </w:rPr>
        <w:t>KENMERK VOORDRACHT</w:t>
      </w:r>
      <w:r w:rsidRPr="008901D1">
        <w:t>;</w:t>
      </w:r>
    </w:p>
    <w:p w:rsidRPr="008901D1" w:rsidR="00214726" w:rsidP="00214726" w14:paraId="09EBEB3E" w14:textId="77777777">
      <w:r w:rsidRPr="008901D1">
        <w:br/>
        <w:t> </w:t>
      </w:r>
    </w:p>
    <w:p w:rsidRPr="008901D1" w:rsidR="00214726" w:rsidP="00214726" w14:paraId="3AAC6577" w14:textId="77777777">
      <w:r w:rsidRPr="008901D1">
        <w:t>Gelet op de artikelen 21c, tweede lid</w:t>
      </w:r>
      <w:r>
        <w:t xml:space="preserve">, </w:t>
      </w:r>
      <w:r w:rsidRPr="008901D1">
        <w:t>35, tweede lid, en 53, vierde lid, onderdeel d, van de Woningwet;</w:t>
      </w:r>
    </w:p>
    <w:p w:rsidRPr="008901D1" w:rsidR="00214726" w:rsidP="00214726" w14:paraId="02BD6C10" w14:textId="77777777"/>
    <w:p w:rsidRPr="008901D1" w:rsidR="00214726" w:rsidP="00214726" w14:paraId="37E74F85" w14:textId="77777777">
      <w:r w:rsidRPr="008901D1">
        <w:t xml:space="preserve">De Afdeling advisering van de Raad van State gehoord (advies </w:t>
      </w:r>
      <w:r w:rsidRPr="008901D1">
        <w:t>van ,</w:t>
      </w:r>
      <w:r w:rsidRPr="008901D1">
        <w:t xml:space="preserve"> nr. </w:t>
      </w:r>
      <w:r w:rsidRPr="008901D1">
        <w:rPr>
          <w:highlight w:val="yellow"/>
        </w:rPr>
        <w:t>NUMMER ADVIES RVS</w:t>
      </w:r>
      <w:r w:rsidRPr="008901D1">
        <w:t>);</w:t>
      </w:r>
    </w:p>
    <w:p w:rsidRPr="008901D1" w:rsidR="00214726" w:rsidP="00214726" w14:paraId="3FE27384" w14:textId="77777777"/>
    <w:p w:rsidRPr="008901D1" w:rsidR="00214726" w:rsidP="00214726" w14:paraId="6D766365" w14:textId="77777777">
      <w:r w:rsidRPr="008901D1">
        <w:t xml:space="preserve">Gezien het nader rapport van Minister </w:t>
      </w:r>
      <w:r w:rsidR="004D2C90">
        <w:t xml:space="preserve">van </w:t>
      </w:r>
      <w:r w:rsidRPr="008901D1">
        <w:t>Volkshuisvesting en Ruimtelijke Ordening </w:t>
      </w:r>
      <w:r w:rsidRPr="008901D1">
        <w:t>van ,</w:t>
      </w:r>
      <w:r w:rsidRPr="008901D1">
        <w:t xml:space="preserve"> </w:t>
      </w:r>
      <w:r w:rsidRPr="008901D1">
        <w:rPr>
          <w:highlight w:val="yellow"/>
        </w:rPr>
        <w:t>KENMERK</w:t>
      </w:r>
      <w:r w:rsidRPr="008901D1">
        <w:t xml:space="preserve"> ;</w:t>
      </w:r>
    </w:p>
    <w:p w:rsidRPr="008901D1" w:rsidR="00214726" w:rsidP="00214726" w14:paraId="71D00EBA" w14:textId="77777777"/>
    <w:p w:rsidRPr="008901D1" w:rsidR="00214726" w:rsidP="00214726" w14:paraId="55D1EB48" w14:textId="77777777">
      <w:r w:rsidRPr="008901D1">
        <w:t>Hebben goedgevonden en verstaan:</w:t>
      </w:r>
    </w:p>
    <w:p w:rsidRPr="008901D1" w:rsidR="00214726" w:rsidP="00214726" w14:paraId="713C10C8" w14:textId="77777777"/>
    <w:p w:rsidRPr="008901D1" w:rsidR="00214726" w:rsidP="00214726" w14:paraId="285CAA84" w14:textId="77777777"/>
    <w:p w:rsidRPr="008901D1" w:rsidR="00214726" w:rsidP="00214726" w14:paraId="06064620" w14:textId="77777777">
      <w:pPr>
        <w:rPr>
          <w:b/>
          <w:bCs/>
        </w:rPr>
      </w:pPr>
      <w:r w:rsidRPr="008901D1">
        <w:rPr>
          <w:b/>
          <w:bCs/>
        </w:rPr>
        <w:t>ARTIKEL I</w:t>
      </w:r>
    </w:p>
    <w:p w:rsidRPr="008901D1" w:rsidR="00214726" w:rsidP="00214726" w14:paraId="39BCE7A2" w14:textId="77777777">
      <w:pPr>
        <w:rPr>
          <w:b/>
          <w:bCs/>
        </w:rPr>
      </w:pPr>
    </w:p>
    <w:p w:rsidRPr="008901D1" w:rsidR="00214726" w:rsidP="00214726" w14:paraId="1F0EF98F" w14:textId="77777777">
      <w:r w:rsidRPr="008901D1">
        <w:t>Het Besluit toegelaten instellingen volkshuisvesting 2015 wordt als volgt gewijzigd:</w:t>
      </w:r>
    </w:p>
    <w:p w:rsidRPr="008901D1" w:rsidR="00214726" w:rsidP="00214726" w14:paraId="1C88B646" w14:textId="77777777"/>
    <w:p w:rsidRPr="008901D1" w:rsidR="00214726" w:rsidP="00214726" w14:paraId="43C54E4E" w14:textId="77777777">
      <w:r w:rsidRPr="008901D1">
        <w:t xml:space="preserve">A </w:t>
      </w:r>
    </w:p>
    <w:p w:rsidRPr="008901D1" w:rsidR="00214726" w:rsidP="00214726" w14:paraId="0359ECFE" w14:textId="77777777"/>
    <w:p w:rsidRPr="008901D1" w:rsidR="00214726" w:rsidP="00214726" w14:paraId="2BE579E8" w14:textId="77777777">
      <w:r w:rsidRPr="008901D1">
        <w:t>Artikel 1 wordt als volgt gewijzigd:</w:t>
      </w:r>
    </w:p>
    <w:p w:rsidRPr="008901D1" w:rsidR="00214726" w:rsidP="00214726" w14:paraId="1D828483" w14:textId="77777777">
      <w:r w:rsidRPr="008901D1">
        <w:t xml:space="preserve">1. In de alfabetische volgorde </w:t>
      </w:r>
      <w:r w:rsidR="004D2C90">
        <w:t xml:space="preserve">wordt </w:t>
      </w:r>
      <w:r w:rsidRPr="008901D1">
        <w:t>de volgende begripsbepaling ingevoegd:</w:t>
      </w:r>
    </w:p>
    <w:p w:rsidRPr="008901D1" w:rsidR="00214726" w:rsidP="00214726" w14:paraId="33225727" w14:textId="77777777">
      <w:pPr>
        <w:pStyle w:val="ListParagraph"/>
        <w:numPr>
          <w:ilvl w:val="0"/>
          <w:numId w:val="6"/>
        </w:numPr>
        <w:spacing w:after="0"/>
        <w:rPr>
          <w:rFonts w:ascii="Verdana" w:hAnsi="Verdana"/>
          <w:sz w:val="18"/>
          <w:szCs w:val="18"/>
        </w:rPr>
      </w:pPr>
      <w:r w:rsidRPr="008901D1">
        <w:rPr>
          <w:rFonts w:ascii="Verdana" w:hAnsi="Verdana"/>
          <w:sz w:val="18"/>
          <w:szCs w:val="18"/>
        </w:rPr>
        <w:t>beleidswaarde</w:t>
      </w:r>
      <w:r w:rsidRPr="008901D1">
        <w:rPr>
          <w:rFonts w:ascii="Verdana" w:hAnsi="Verdana"/>
          <w:sz w:val="18"/>
          <w:szCs w:val="18"/>
        </w:rPr>
        <w:t xml:space="preserve">: waarde van een onroerende zaak in verhuurde staat, bepaald overeenkomstig het bepaalde </w:t>
      </w:r>
      <w:r w:rsidR="004D2C90">
        <w:rPr>
          <w:rFonts w:ascii="Verdana" w:hAnsi="Verdana"/>
          <w:sz w:val="18"/>
          <w:szCs w:val="18"/>
        </w:rPr>
        <w:t xml:space="preserve">bij en </w:t>
      </w:r>
      <w:r w:rsidRPr="008901D1">
        <w:rPr>
          <w:rFonts w:ascii="Verdana" w:hAnsi="Verdana"/>
          <w:sz w:val="18"/>
          <w:szCs w:val="18"/>
        </w:rPr>
        <w:t>krachtens artikel 31;</w:t>
      </w:r>
    </w:p>
    <w:p w:rsidRPr="008901D1" w:rsidR="00214726" w:rsidP="00214726" w14:paraId="47764A89" w14:textId="77777777">
      <w:pPr>
        <w:ind w:left="705" w:hanging="705"/>
      </w:pPr>
      <w:r w:rsidRPr="008901D1">
        <w:t xml:space="preserve">2. De begripsbepaling </w:t>
      </w:r>
      <w:r w:rsidRPr="008901D1">
        <w:rPr>
          <w:i/>
          <w:iCs/>
        </w:rPr>
        <w:t xml:space="preserve">modelmatige marktwaarde </w:t>
      </w:r>
      <w:r w:rsidRPr="008901D1">
        <w:t xml:space="preserve">vervalt. </w:t>
      </w:r>
    </w:p>
    <w:p w:rsidRPr="008901D1" w:rsidR="00214726" w:rsidP="00214726" w14:paraId="20163BAB" w14:textId="77777777">
      <w:pPr>
        <w:ind w:left="705" w:hanging="705"/>
      </w:pPr>
    </w:p>
    <w:p w:rsidRPr="008901D1" w:rsidR="00214726" w:rsidP="00214726" w14:paraId="0FFBD70E" w14:textId="77777777">
      <w:pPr>
        <w:ind w:left="705" w:hanging="705"/>
      </w:pPr>
      <w:r w:rsidRPr="008901D1">
        <w:t>B</w:t>
      </w:r>
    </w:p>
    <w:p w:rsidRPr="008901D1" w:rsidR="00214726" w:rsidP="00214726" w14:paraId="4B75F5F3" w14:textId="77777777">
      <w:pPr>
        <w:ind w:left="705" w:hanging="705"/>
      </w:pPr>
    </w:p>
    <w:p w:rsidRPr="008901D1" w:rsidR="00214726" w:rsidP="00214726" w14:paraId="07693828" w14:textId="77777777">
      <w:pPr>
        <w:ind w:left="705" w:hanging="705"/>
      </w:pPr>
      <w:r w:rsidRPr="008901D1">
        <w:t>Artikel 13 wordt als volgt gewijzigd:</w:t>
      </w:r>
    </w:p>
    <w:p w:rsidRPr="008901D1" w:rsidR="00214726" w:rsidP="00214726" w14:paraId="6A9C17F1" w14:textId="77777777">
      <w:pPr>
        <w:ind w:left="705" w:hanging="705"/>
      </w:pPr>
      <w:r w:rsidRPr="008901D1">
        <w:t>1. In het eerste lid, onderdeel d, wordt “</w:t>
      </w:r>
      <w:r w:rsidRPr="008901D1">
        <w:t>deWet</w:t>
      </w:r>
      <w:r w:rsidRPr="008901D1">
        <w:t xml:space="preserve">” vervangen door “de Wet”. </w:t>
      </w:r>
    </w:p>
    <w:p w:rsidRPr="008901D1" w:rsidR="00214726" w:rsidP="00214726" w14:paraId="014F6859" w14:textId="77777777">
      <w:pPr>
        <w:ind w:left="705" w:hanging="705"/>
      </w:pPr>
      <w:r w:rsidRPr="008901D1">
        <w:t>2. Het vierde lid vervalt, onder vernummering van het vijfde lid tot vierde lid.</w:t>
      </w:r>
    </w:p>
    <w:p w:rsidRPr="008901D1" w:rsidR="00214726" w:rsidP="00214726" w14:paraId="5E62D21B" w14:textId="77777777">
      <w:pPr>
        <w:ind w:left="705" w:hanging="705"/>
      </w:pPr>
    </w:p>
    <w:p w:rsidRPr="008901D1" w:rsidR="00214726" w:rsidP="00214726" w14:paraId="1023435C" w14:textId="77777777">
      <w:pPr>
        <w:ind w:left="705" w:hanging="705"/>
      </w:pPr>
      <w:r w:rsidRPr="008901D1">
        <w:t>C</w:t>
      </w:r>
    </w:p>
    <w:p w:rsidRPr="008901D1" w:rsidR="00214726" w:rsidP="00214726" w14:paraId="33DBCE6E" w14:textId="77777777">
      <w:pPr>
        <w:ind w:left="705" w:hanging="705"/>
      </w:pPr>
    </w:p>
    <w:p w:rsidRPr="008901D1" w:rsidR="00214726" w:rsidP="00214726" w14:paraId="128B19AC" w14:textId="77777777">
      <w:r w:rsidRPr="008901D1">
        <w:t xml:space="preserve">In artikel 13a, derde lid, wordt “modelmatige marktwaarde” vervangen door “getaxeerde marktwaarde”. </w:t>
      </w:r>
    </w:p>
    <w:p w:rsidRPr="008901D1" w:rsidR="00214726" w:rsidP="00214726" w14:paraId="7D648870" w14:textId="77777777"/>
    <w:p w:rsidRPr="008901D1" w:rsidR="00214726" w:rsidP="00214726" w14:paraId="14D3304B" w14:textId="77777777">
      <w:r w:rsidRPr="008901D1">
        <w:t>D</w:t>
      </w:r>
    </w:p>
    <w:p w:rsidRPr="008901D1" w:rsidR="00214726" w:rsidP="00214726" w14:paraId="04F06D9D" w14:textId="77777777">
      <w:pPr>
        <w:suppressAutoHyphens/>
        <w:spacing w:line="276" w:lineRule="auto"/>
        <w:textAlignment w:val="auto"/>
      </w:pPr>
    </w:p>
    <w:p w:rsidRPr="008901D1" w:rsidR="00214726" w:rsidP="00214726" w14:paraId="16A9D4A3" w14:textId="77777777">
      <w:pPr>
        <w:spacing w:line="276" w:lineRule="auto"/>
      </w:pPr>
      <w:r w:rsidRPr="008901D1">
        <w:t>In artikel 30, eerste lid, wordt, onder verlettering van de onderdelen j tot en met t tot k tot en met u, een onderdeel ingevoegd, luidende:</w:t>
      </w:r>
    </w:p>
    <w:p w:rsidRPr="008901D1" w:rsidR="00214726" w:rsidP="00214726" w14:paraId="0C4F3853" w14:textId="77777777">
      <w:pPr>
        <w:spacing w:line="276" w:lineRule="auto"/>
        <w:ind w:firstLine="708"/>
      </w:pPr>
      <w:r w:rsidRPr="008901D1">
        <w:t>j. artikel 390;</w:t>
      </w:r>
    </w:p>
    <w:p w:rsidRPr="008901D1" w:rsidR="00214726" w:rsidP="00214726" w14:paraId="56308A17" w14:textId="77777777"/>
    <w:p w:rsidRPr="008901D1" w:rsidR="00214726" w:rsidP="00214726" w14:paraId="1F2E6834" w14:textId="77777777">
      <w:r w:rsidRPr="008901D1">
        <w:t>E</w:t>
      </w:r>
    </w:p>
    <w:p w:rsidRPr="008901D1" w:rsidR="00214726" w:rsidP="00214726" w14:paraId="5260502E" w14:textId="77777777"/>
    <w:p w:rsidRPr="008901D1" w:rsidR="00214726" w:rsidP="00214726" w14:paraId="53F0E4E1" w14:textId="77777777">
      <w:r w:rsidRPr="008901D1">
        <w:t>Artikel 31 komt te luiden:</w:t>
      </w:r>
    </w:p>
    <w:p w:rsidRPr="008901D1" w:rsidR="00214726" w:rsidP="00214726" w14:paraId="5B89625B" w14:textId="77777777"/>
    <w:p w:rsidRPr="008901D1" w:rsidR="00214726" w:rsidP="00214726" w14:paraId="408F1600" w14:textId="77777777">
      <w:r w:rsidRPr="008901D1">
        <w:rPr>
          <w:b/>
          <w:bCs/>
        </w:rPr>
        <w:t>Artikel 31</w:t>
      </w:r>
    </w:p>
    <w:p w:rsidRPr="008901D1" w:rsidR="00214726" w:rsidP="00214726" w14:paraId="4C4BC8C7" w14:textId="77777777">
      <w:r w:rsidRPr="008901D1">
        <w:t xml:space="preserve">1. De waardering, bedoeld in artikel 35, tweede lid, van de wet, vindt plaats tegen de beleidswaarde. </w:t>
      </w:r>
    </w:p>
    <w:p w:rsidRPr="008901D1" w:rsidR="00214726" w:rsidP="00214726" w14:paraId="12625EC6" w14:textId="77777777">
      <w:r w:rsidRPr="008901D1">
        <w:t xml:space="preserve">2. Bij ministeriële regeling worden nadere voorschriften gegeven </w:t>
      </w:r>
      <w:r w:rsidRPr="008901D1">
        <w:t>omtrent</w:t>
      </w:r>
      <w:r w:rsidRPr="008901D1">
        <w:t xml:space="preserve"> de toepassing van dit artikel, welke voorschriften voor bij die regeling te bepalen categorieën van toegelaten instellingen verschillend kunnen worden vastgesteld, met het oog op het bewerkstelligen van een goede verhouding tussen de lasten voor toegelaten instellingen om te komen tot de waardering, bedoeld in artikel 35, tweede lid, van de wet, en een goede uitvoering van het toezicht.</w:t>
      </w:r>
    </w:p>
    <w:p w:rsidRPr="008901D1" w:rsidR="00214726" w:rsidP="00214726" w14:paraId="62DA9BA8" w14:textId="77777777"/>
    <w:p w:rsidRPr="008901D1" w:rsidR="00214726" w:rsidP="00214726" w14:paraId="7792720A" w14:textId="77777777">
      <w:r w:rsidRPr="008901D1">
        <w:t>F</w:t>
      </w:r>
    </w:p>
    <w:p w:rsidRPr="008901D1" w:rsidR="00214726" w:rsidP="00214726" w14:paraId="482DED0F" w14:textId="77777777"/>
    <w:p w:rsidRPr="008901D1" w:rsidR="00214726" w:rsidP="00214726" w14:paraId="24EC2301" w14:textId="77777777">
      <w:r w:rsidRPr="008901D1">
        <w:t xml:space="preserve">In artikel 75, tweede lid, onderdeel b, wordt “modelmatige marktwaarde” vervangen door “beleidswaarde”. </w:t>
      </w:r>
    </w:p>
    <w:p w:rsidRPr="008901D1" w:rsidR="00214726" w:rsidP="00214726" w14:paraId="1207ACF1" w14:textId="77777777">
      <w:pPr>
        <w:ind w:left="705" w:hanging="705"/>
      </w:pPr>
    </w:p>
    <w:p w:rsidRPr="008901D1" w:rsidR="00214726" w:rsidP="00214726" w14:paraId="4B824948" w14:textId="77777777">
      <w:pPr>
        <w:ind w:left="705" w:hanging="705"/>
      </w:pPr>
      <w:r w:rsidRPr="008901D1">
        <w:t>G</w:t>
      </w:r>
    </w:p>
    <w:p w:rsidRPr="008901D1" w:rsidR="00214726" w:rsidP="00214726" w14:paraId="60421DAE" w14:textId="77777777">
      <w:pPr>
        <w:ind w:left="705" w:hanging="705"/>
      </w:pPr>
    </w:p>
    <w:p w:rsidRPr="008901D1" w:rsidR="00214726" w:rsidP="00214726" w14:paraId="637983D6" w14:textId="77777777">
      <w:r w:rsidRPr="008901D1">
        <w:t xml:space="preserve">In 79, tweede lid, onderdeel a, </w:t>
      </w:r>
      <w:r>
        <w:t xml:space="preserve">vervalt “, tegen hun modelmatige marktwaarde,” en wordt </w:t>
      </w:r>
      <w:r w:rsidRPr="008901D1">
        <w:t>“</w:t>
      </w:r>
      <w:r>
        <w:t xml:space="preserve">die </w:t>
      </w:r>
      <w:r w:rsidRPr="008901D1">
        <w:t>modelmatige marktwaarde” telkens vervangen door “</w:t>
      </w:r>
      <w:bookmarkStart w:name="_Hlk215132870" w:id="0"/>
      <w:r>
        <w:t xml:space="preserve">de marktwaarde </w:t>
      </w:r>
      <w:r w:rsidRPr="00EB69C1">
        <w:t>vrij van huur en gebruik of de WOZ-waarde</w:t>
      </w:r>
      <w:bookmarkEnd w:id="0"/>
      <w:r w:rsidRPr="008901D1">
        <w:t>”.</w:t>
      </w:r>
      <w:r>
        <w:t xml:space="preserve"> </w:t>
      </w:r>
    </w:p>
    <w:p w:rsidRPr="008901D1" w:rsidR="00214726" w:rsidP="00214726" w14:paraId="47C38A99" w14:textId="77777777">
      <w:pPr>
        <w:ind w:left="705" w:hanging="705"/>
      </w:pPr>
    </w:p>
    <w:p w:rsidRPr="008901D1" w:rsidR="00214726" w:rsidP="00214726" w14:paraId="33A8F1F7" w14:textId="77777777">
      <w:pPr>
        <w:ind w:left="705" w:hanging="705"/>
      </w:pPr>
      <w:r w:rsidRPr="008901D1">
        <w:t>H</w:t>
      </w:r>
    </w:p>
    <w:p w:rsidRPr="008901D1" w:rsidR="00214726" w:rsidP="00214726" w14:paraId="73575729" w14:textId="77777777">
      <w:pPr>
        <w:ind w:left="705" w:hanging="705"/>
      </w:pPr>
    </w:p>
    <w:p w:rsidR="00214726" w:rsidP="00214726" w14:paraId="78B7B634" w14:textId="77777777">
      <w:bookmarkStart w:name="_Hlk221518558" w:id="1"/>
      <w:r>
        <w:t>Artikel 80 wordt als volgt gewijzigd:</w:t>
      </w:r>
    </w:p>
    <w:p w:rsidR="00214726" w:rsidP="00214726" w14:paraId="3AD5E1E7" w14:textId="77777777">
      <w:r>
        <w:t xml:space="preserve">1. </w:t>
      </w:r>
      <w:r w:rsidRPr="008901D1">
        <w:t xml:space="preserve">In </w:t>
      </w:r>
      <w:r>
        <w:t xml:space="preserve">het </w:t>
      </w:r>
      <w:r w:rsidRPr="008901D1">
        <w:t>tweede lid, onderdeel a, wordt “modelmatige marktwaarde” vervangen door “</w:t>
      </w:r>
      <w:bookmarkStart w:name="_Hlk215132969" w:id="2"/>
      <w:r w:rsidRPr="008901D1">
        <w:t>getaxeerde marktwaarde</w:t>
      </w:r>
      <w:bookmarkEnd w:id="2"/>
      <w:r w:rsidRPr="008901D1">
        <w:t xml:space="preserve">”. </w:t>
      </w:r>
    </w:p>
    <w:p w:rsidRPr="008901D1" w:rsidR="00214726" w:rsidP="00214726" w14:paraId="3A481BE2" w14:textId="77777777">
      <w:r>
        <w:t xml:space="preserve">2. In het vierde lid wordt na “in het eerste lid” ingevoegd </w:t>
      </w:r>
      <w:bookmarkStart w:name="_Hlk215133002" w:id="3"/>
      <w:r>
        <w:t>“, met dien verstande dat telkens in die bepaling voor “marktwaarde vrij van huur en gebruik of de WOZ-waarde”</w:t>
      </w:r>
      <w:r w:rsidR="00C35F2D">
        <w:t xml:space="preserve"> wordt gelezen </w:t>
      </w:r>
      <w:r>
        <w:t xml:space="preserve">de </w:t>
      </w:r>
      <w:r w:rsidR="00C35F2D">
        <w:t>“</w:t>
      </w:r>
      <w:r>
        <w:t>getaxeerde marktwaarde</w:t>
      </w:r>
      <w:bookmarkEnd w:id="3"/>
      <w:r>
        <w:t xml:space="preserve">”. </w:t>
      </w:r>
    </w:p>
    <w:bookmarkEnd w:id="1"/>
    <w:p w:rsidRPr="008901D1" w:rsidR="00214726" w:rsidP="00214726" w14:paraId="7B627315" w14:textId="77777777"/>
    <w:p w:rsidRPr="008901D1" w:rsidR="00214726" w:rsidP="00214726" w14:paraId="0AE5DF7F" w14:textId="77777777">
      <w:r w:rsidRPr="008901D1">
        <w:t>I</w:t>
      </w:r>
    </w:p>
    <w:p w:rsidRPr="008901D1" w:rsidR="00214726" w:rsidP="00214726" w14:paraId="2FBBD026" w14:textId="77777777"/>
    <w:p w:rsidRPr="008901D1" w:rsidR="00214726" w:rsidP="00214726" w14:paraId="532D0072" w14:textId="77777777">
      <w:r w:rsidRPr="008901D1">
        <w:t xml:space="preserve">In artikel 82, tweede lid, wordt “modelmatige marktwaarde” telkens vervangen door “getaxeerde </w:t>
      </w:r>
      <w:r>
        <w:t>markt</w:t>
      </w:r>
      <w:r w:rsidRPr="008901D1">
        <w:t xml:space="preserve">waarde”. </w:t>
      </w:r>
    </w:p>
    <w:p w:rsidRPr="008901D1" w:rsidR="00214726" w:rsidP="00214726" w14:paraId="0076E990" w14:textId="77777777"/>
    <w:p w:rsidRPr="008901D1" w:rsidR="00214726" w:rsidP="00214726" w14:paraId="6CEAEC1D" w14:textId="77777777">
      <w:r w:rsidRPr="008901D1">
        <w:t>J</w:t>
      </w:r>
    </w:p>
    <w:p w:rsidRPr="008901D1" w:rsidR="00214726" w:rsidP="00214726" w14:paraId="0B70F439" w14:textId="77777777"/>
    <w:p w:rsidRPr="008901D1" w:rsidR="00214726" w:rsidP="00214726" w14:paraId="0755EC14" w14:textId="77777777">
      <w:r w:rsidRPr="008901D1">
        <w:t xml:space="preserve">In artikel 98 vervalt het tweede lid </w:t>
      </w:r>
      <w:r w:rsidRPr="008901D1">
        <w:t>alsmede</w:t>
      </w:r>
      <w:r w:rsidRPr="008901D1">
        <w:t xml:space="preserve"> de aanduiding “1.” </w:t>
      </w:r>
      <w:r w:rsidR="00B755AA">
        <w:t>v</w:t>
      </w:r>
      <w:r w:rsidRPr="008901D1">
        <w:t xml:space="preserve">oor het eerste lid. </w:t>
      </w:r>
    </w:p>
    <w:p w:rsidRPr="008901D1" w:rsidR="00214726" w:rsidP="00214726" w14:paraId="064E65AE" w14:textId="77777777"/>
    <w:p w:rsidRPr="008901D1" w:rsidR="00214726" w:rsidP="00214726" w14:paraId="089F7059" w14:textId="77777777">
      <w:r w:rsidRPr="008901D1">
        <w:t>K</w:t>
      </w:r>
    </w:p>
    <w:p w:rsidRPr="008901D1" w:rsidR="00214726" w:rsidP="00214726" w14:paraId="67A5B948" w14:textId="77777777"/>
    <w:p w:rsidR="00214726" w:rsidP="00214726" w14:paraId="5BC1ECC6" w14:textId="77777777">
      <w:r w:rsidRPr="008901D1">
        <w:t xml:space="preserve">In artikel 118, tweede lid, onderdeel a wordt “marktwaarde in verhuurde staat” vervangen door “getaxeerde marktwaarde”. </w:t>
      </w:r>
    </w:p>
    <w:p w:rsidRPr="008901D1" w:rsidR="00214726" w:rsidP="00214726" w14:paraId="39A55E2B" w14:textId="77777777"/>
    <w:p w:rsidRPr="008901D1" w:rsidR="00214726" w:rsidP="00214726" w14:paraId="181A633A" w14:textId="77777777">
      <w:pPr>
        <w:rPr>
          <w:b/>
          <w:bCs/>
        </w:rPr>
      </w:pPr>
    </w:p>
    <w:p w:rsidRPr="008901D1" w:rsidR="00214726" w:rsidP="00214726" w14:paraId="475D661C" w14:textId="77777777">
      <w:pPr>
        <w:rPr>
          <w:b/>
          <w:bCs/>
        </w:rPr>
      </w:pPr>
      <w:r w:rsidRPr="008901D1">
        <w:rPr>
          <w:b/>
          <w:bCs/>
        </w:rPr>
        <w:t>ARTIKEL II</w:t>
      </w:r>
    </w:p>
    <w:p w:rsidRPr="008901D1" w:rsidR="00214726" w:rsidP="00214726" w14:paraId="6523294B" w14:textId="77777777">
      <w:r w:rsidRPr="008901D1">
        <w:t>Dit besluit treedt in werking op een bij koninklijk besluit te bepalen tijdstip.</w:t>
      </w:r>
    </w:p>
    <w:p w:rsidRPr="008901D1" w:rsidR="00214726" w:rsidP="00214726" w14:paraId="10F41C62" w14:textId="77777777"/>
    <w:p w:rsidRPr="008901D1" w:rsidR="00214726" w:rsidP="00214726" w14:paraId="7FF191EC" w14:textId="77777777">
      <w:r w:rsidRPr="008901D1">
        <w:t>Lasten en bevelen dat dit besluit met de daarbij behorende nota van toelichting in het Staatsblad zal worden geplaatst.</w:t>
      </w:r>
    </w:p>
    <w:p w:rsidRPr="008901D1" w:rsidR="00214726" w:rsidP="00214726" w14:paraId="7177FF05" w14:textId="77777777"/>
    <w:p w:rsidRPr="008901D1" w:rsidR="00214726" w:rsidP="00214726" w14:paraId="237F5F6D" w14:textId="77777777"/>
    <w:p w:rsidRPr="008901D1" w:rsidR="00214726" w:rsidP="00214726" w14:paraId="687C8EC5" w14:textId="77777777"/>
    <w:p w:rsidRPr="008901D1" w:rsidR="00214726" w:rsidP="00214726" w14:paraId="0D7E01EC" w14:textId="77777777"/>
    <w:p w:rsidRPr="008901D1" w:rsidR="00214726" w:rsidP="00214726" w14:paraId="361C72DB" w14:textId="77777777"/>
    <w:p w:rsidR="00214726" w:rsidP="00214726" w14:paraId="7C6F1744" w14:textId="77777777">
      <w:r w:rsidRPr="008901D1">
        <w:t>De Minister van Volkshuisvesting en Ruimtelijke Ordening,</w:t>
      </w:r>
    </w:p>
    <w:p w:rsidR="00214726" w:rsidP="00214726" w14:paraId="4CDC987E" w14:textId="77777777">
      <w:pPr>
        <w:spacing w:line="240" w:lineRule="auto"/>
      </w:pPr>
      <w:r>
        <w:br w:type="page"/>
      </w:r>
    </w:p>
    <w:p w:rsidRPr="00EB5E13" w:rsidR="00214726" w:rsidP="00214726" w14:paraId="45D2FF4D" w14:textId="77777777">
      <w:pPr>
        <w:rPr>
          <w:b/>
          <w:bCs/>
        </w:rPr>
      </w:pPr>
      <w:r w:rsidRPr="00EB5E13">
        <w:rPr>
          <w:b/>
          <w:bCs/>
        </w:rPr>
        <w:t>Nota van toelichting</w:t>
      </w:r>
      <w:r w:rsidRPr="00EB5E13">
        <w:rPr>
          <w:b/>
          <w:bCs/>
        </w:rPr>
        <w:br/>
      </w:r>
      <w:r w:rsidRPr="00EB5E13">
        <w:rPr>
          <w:b/>
          <w:bCs/>
        </w:rPr>
        <w:br/>
        <w:t>I Algemeen deel</w:t>
      </w:r>
      <w:r w:rsidRPr="00EB5E13">
        <w:rPr>
          <w:b/>
          <w:bCs/>
        </w:rPr>
        <w:br/>
      </w:r>
    </w:p>
    <w:p w:rsidRPr="00EB5E13" w:rsidR="00214726" w:rsidP="00214726" w14:paraId="4A990B88" w14:textId="77777777">
      <w:pPr>
        <w:pStyle w:val="ListParagraph"/>
        <w:numPr>
          <w:ilvl w:val="0"/>
          <w:numId w:val="7"/>
        </w:numPr>
        <w:spacing w:after="0"/>
        <w:rPr>
          <w:rFonts w:ascii="Verdana" w:hAnsi="Verdana"/>
          <w:b/>
          <w:bCs/>
          <w:sz w:val="18"/>
          <w:szCs w:val="18"/>
        </w:rPr>
      </w:pPr>
      <w:r w:rsidRPr="00EB5E13">
        <w:rPr>
          <w:rFonts w:ascii="Verdana" w:hAnsi="Verdana"/>
          <w:b/>
          <w:bCs/>
          <w:sz w:val="18"/>
          <w:szCs w:val="18"/>
        </w:rPr>
        <w:t>Inleiding</w:t>
      </w:r>
    </w:p>
    <w:p w:rsidRPr="00EB5E13" w:rsidR="00214726" w:rsidP="00214726" w14:paraId="6C5C4316" w14:textId="77777777">
      <w:pPr>
        <w:rPr>
          <w:b/>
          <w:bCs/>
        </w:rPr>
      </w:pPr>
    </w:p>
    <w:p w:rsidRPr="00EB5E13" w:rsidR="00214726" w:rsidP="00214726" w14:paraId="2A86854D" w14:textId="77777777">
      <w:r w:rsidRPr="00EB5E13">
        <w:t xml:space="preserve">Met dit besluit wordt de wijziging van de waarderingsgrondslag voor de jaarrekening van woningcorporaties nader ingevuld. </w:t>
      </w:r>
      <w:r>
        <w:t xml:space="preserve">Met </w:t>
      </w:r>
      <w:r w:rsidRPr="00EB5E13">
        <w:t xml:space="preserve">het voorstel </w:t>
      </w:r>
      <w:r>
        <w:t xml:space="preserve">van wet </w:t>
      </w:r>
      <w:bookmarkStart w:name="_Hlk220571470" w:id="4"/>
      <w:r w:rsidRPr="00EB5E13">
        <w:t xml:space="preserve">tot wijziging van de Woningwet </w:t>
      </w:r>
      <w:r w:rsidRPr="005967CB">
        <w:t>in verband met het vervangen van de actuele waarde door de beleidswaarde</w:t>
      </w:r>
      <w:r>
        <w:rPr>
          <w:rStyle w:val="FootnoteReference"/>
        </w:rPr>
        <w:footnoteReference w:id="2"/>
      </w:r>
      <w:r>
        <w:t xml:space="preserve"> </w:t>
      </w:r>
      <w:bookmarkEnd w:id="4"/>
      <w:r>
        <w:t xml:space="preserve">wordt </w:t>
      </w:r>
      <w:r w:rsidRPr="00EB5E13">
        <w:t xml:space="preserve">de waarderingsgrondslag voor de jaarrekening gewijzigd </w:t>
      </w:r>
      <w:r>
        <w:t>in de beleidswaarde</w:t>
      </w:r>
      <w:r w:rsidRPr="00EB5E13">
        <w:t>. In de situatie voorafgaand aan deze wijziging waren woningcorporaties verplicht hun vastgoed in de jaarrekening te waarderen tegen de (modelmatige) marktwaarde.</w:t>
      </w:r>
    </w:p>
    <w:p w:rsidRPr="00EB5E13" w:rsidR="00214726" w:rsidP="00214726" w14:paraId="05B49A71" w14:textId="77777777">
      <w:pPr>
        <w:rPr>
          <w:b/>
          <w:bCs/>
        </w:rPr>
      </w:pPr>
    </w:p>
    <w:p w:rsidRPr="00EB5E13" w:rsidR="00214726" w:rsidP="00214726" w14:paraId="7C958EC1" w14:textId="77777777">
      <w:pPr>
        <w:pStyle w:val="ListParagraph"/>
        <w:numPr>
          <w:ilvl w:val="0"/>
          <w:numId w:val="7"/>
        </w:numPr>
        <w:spacing w:after="0"/>
        <w:rPr>
          <w:rFonts w:ascii="Verdana" w:hAnsi="Verdana"/>
          <w:b/>
          <w:bCs/>
          <w:sz w:val="18"/>
          <w:szCs w:val="18"/>
        </w:rPr>
      </w:pPr>
      <w:r w:rsidRPr="00EB5E13">
        <w:rPr>
          <w:rFonts w:ascii="Verdana" w:hAnsi="Verdana"/>
          <w:b/>
          <w:bCs/>
          <w:sz w:val="18"/>
          <w:szCs w:val="18"/>
        </w:rPr>
        <w:t>Aanleiding</w:t>
      </w:r>
    </w:p>
    <w:p w:rsidRPr="00EB5E13" w:rsidR="00214726" w:rsidP="00214726" w14:paraId="10927AAD" w14:textId="77777777">
      <w:pPr>
        <w:rPr>
          <w:b/>
          <w:bCs/>
        </w:rPr>
      </w:pPr>
    </w:p>
    <w:p w:rsidRPr="00EB5E13" w:rsidR="00214726" w:rsidP="00214726" w14:paraId="5E78FC5D" w14:textId="77777777">
      <w:r w:rsidRPr="00EB5E13">
        <w:t xml:space="preserve">In 2022 heeft SEO in opdracht van het </w:t>
      </w:r>
      <w:r>
        <w:t>M</w:t>
      </w:r>
      <w:r w:rsidRPr="00EB5E13">
        <w:t>inisterie van B</w:t>
      </w:r>
      <w:r>
        <w:t xml:space="preserve">innenlandse Zaken en Koninkrijksrelaties </w:t>
      </w:r>
      <w:r w:rsidRPr="00EB5E13">
        <w:t>een evaluatie uitgevoerd naar het waarderingsstelsel van woningcorporaties.</w:t>
      </w:r>
      <w:r>
        <w:rPr>
          <w:rStyle w:val="FootnoteReference"/>
        </w:rPr>
        <w:footnoteReference w:id="3"/>
      </w:r>
      <w:r w:rsidRPr="00EB5E13">
        <w:t xml:space="preserve"> Uit deze evaluatie kwam naar voren dat de huidige waardering en verantwoording op basis van de marktwaarde leidt tot </w:t>
      </w:r>
      <w:r>
        <w:t xml:space="preserve">onnodig </w:t>
      </w:r>
      <w:r w:rsidRPr="00EB5E13">
        <w:t xml:space="preserve">hoge </w:t>
      </w:r>
      <w:r w:rsidR="00C77243">
        <w:t xml:space="preserve">regeldrukkosten </w:t>
      </w:r>
      <w:r w:rsidRPr="00EB5E13">
        <w:t xml:space="preserve">voor woningcorporaties. </w:t>
      </w:r>
      <w:r>
        <w:t>Een belangrijke observatie uit de evaluatie is dat d</w:t>
      </w:r>
      <w:r w:rsidRPr="00EB5E13">
        <w:t xml:space="preserve">e marktwaarde geen goed beeld </w:t>
      </w:r>
      <w:r>
        <w:t xml:space="preserve">geeft </w:t>
      </w:r>
      <w:r w:rsidRPr="00EB5E13">
        <w:t xml:space="preserve">van de werkelijke financiële positie van woningcorporaties, omdat </w:t>
      </w:r>
      <w:r>
        <w:t>de marktwaarde</w:t>
      </w:r>
      <w:r w:rsidRPr="00EB5E13">
        <w:t xml:space="preserve"> in de praktijk geen realiseerbare waarde is. </w:t>
      </w:r>
      <w:r>
        <w:t>Dit leidt voor woningcorporaties tot moeizame communicatie met stakeholders en het veroorzaakt onduidelijkheid bij</w:t>
      </w:r>
      <w:r w:rsidRPr="00EB5E13">
        <w:t xml:space="preserve"> accountants </w:t>
      </w:r>
      <w:r>
        <w:t>over</w:t>
      </w:r>
      <w:r w:rsidRPr="00EB5E13">
        <w:t xml:space="preserve"> het afgeven van een goedkeurende verklaring op de jaarrekening. Daar</w:t>
      </w:r>
      <w:r>
        <w:t>bij speelt ook dat</w:t>
      </w:r>
      <w:r w:rsidRPr="00EB5E13">
        <w:t xml:space="preserve"> de </w:t>
      </w:r>
      <w:r>
        <w:t>twee methodes in</w:t>
      </w:r>
      <w:r w:rsidRPr="00EB5E13">
        <w:t xml:space="preserve"> het </w:t>
      </w:r>
      <w:bookmarkStart w:name="_Hlk221608826" w:id="5"/>
      <w:r w:rsidRPr="00C77243" w:rsidR="00C77243">
        <w:t>Handboek modelmatig waarderen marktwaarde</w:t>
      </w:r>
      <w:bookmarkStart w:name="_Hlk221608842" w:id="6"/>
      <w:r>
        <w:rPr>
          <w:rStyle w:val="FootnoteReference"/>
        </w:rPr>
        <w:footnoteReference w:id="4"/>
      </w:r>
      <w:bookmarkEnd w:id="6"/>
      <w:r w:rsidR="00C77243">
        <w:t xml:space="preserve"> (hierna: </w:t>
      </w:r>
      <w:r w:rsidRPr="00EB5E13">
        <w:t>Handboek marktwaarde</w:t>
      </w:r>
      <w:r w:rsidR="00C77243">
        <w:t>)</w:t>
      </w:r>
      <w:bookmarkEnd w:id="5"/>
      <w:r w:rsidRPr="00EB5E13">
        <w:t xml:space="preserve"> </w:t>
      </w:r>
      <w:r>
        <w:t xml:space="preserve">- de basisversie en de </w:t>
      </w:r>
      <w:r>
        <w:t>fullversie</w:t>
      </w:r>
      <w:r>
        <w:t xml:space="preserve"> - </w:t>
      </w:r>
      <w:r w:rsidRPr="00EB5E13">
        <w:t>niet altijd tot eenduidige uitkomsten leid</w:t>
      </w:r>
      <w:r>
        <w:t>en</w:t>
      </w:r>
      <w:r w:rsidRPr="00EB5E13">
        <w:t xml:space="preserve">. </w:t>
      </w:r>
      <w:r>
        <w:t>Dit maakt het voor accountants extra lastig om bij corporaties die de basisversie gebruiken de getrouwheid van de marktwaarde vast te stellen.</w:t>
      </w:r>
    </w:p>
    <w:p w:rsidRPr="00EB5E13" w:rsidR="00214726" w:rsidP="00214726" w14:paraId="62765A7E" w14:textId="77777777"/>
    <w:p w:rsidRPr="00EB5E13" w:rsidR="00214726" w:rsidP="00B4441E" w14:paraId="717A8463" w14:textId="77777777">
      <w:r w:rsidRPr="00EB5E13">
        <w:t>Op basis van overleggen met de corporatiesector, de Autoriteit woningcorporaties (</w:t>
      </w:r>
      <w:r w:rsidRPr="00EB5E13">
        <w:t>Aw</w:t>
      </w:r>
      <w:r w:rsidRPr="00EB5E13">
        <w:t xml:space="preserve">), het Waarborgfonds Sociale Woningbouw (WSW) en accountants is besloten om de marktwaarde als waarderingsgrondslag voor de jaarrekening te vervangen door de beleidswaarde. </w:t>
      </w:r>
      <w:r w:rsidRPr="00F96A0B">
        <w:t>Hiermee</w:t>
      </w:r>
      <w:r>
        <w:t xml:space="preserve"> </w:t>
      </w:r>
      <w:r w:rsidRPr="00F96A0B">
        <w:t>verdwijnt de verplichting voor woningcorporaties om de marktwaarde van</w:t>
      </w:r>
      <w:r>
        <w:t xml:space="preserve"> </w:t>
      </w:r>
      <w:r w:rsidRPr="00F96A0B">
        <w:t>hun vastgoed in exploitatie te berekenen en hierover te rapporteren in</w:t>
      </w:r>
      <w:r>
        <w:t xml:space="preserve"> </w:t>
      </w:r>
      <w:r w:rsidRPr="00F96A0B">
        <w:t xml:space="preserve">hun jaarrekening. </w:t>
      </w:r>
      <w:r>
        <w:t xml:space="preserve">Hiermee </w:t>
      </w:r>
      <w:r w:rsidRPr="00F96A0B">
        <w:t>wordt beoogd om knelpunten rondom de accountantscontrole weg te nemen en de</w:t>
      </w:r>
      <w:r>
        <w:t xml:space="preserve"> </w:t>
      </w:r>
      <w:r w:rsidR="00C77243">
        <w:t xml:space="preserve">regeldrukkosten </w:t>
      </w:r>
      <w:r w:rsidRPr="00F96A0B">
        <w:t xml:space="preserve">voor woningcorporaties te verminderen. </w:t>
      </w:r>
      <w:r w:rsidR="00B4441E">
        <w:t xml:space="preserve">De beleidswaarde sluit aan bij de feitelijke kasstromen en houdt zo, in tegenstelling tot de marktwaarde, rekening met de maatschappelijke keuzes die toegelaten instellingen maken ten aanzien van onder meer betaalbaarheid, doorexploitatie en onderhoud. </w:t>
      </w:r>
      <w:r w:rsidRPr="00EB5E13">
        <w:t xml:space="preserve">Hiervoor </w:t>
      </w:r>
      <w:r>
        <w:t xml:space="preserve">is </w:t>
      </w:r>
      <w:r w:rsidR="00282018">
        <w:t xml:space="preserve">voorgesteld </w:t>
      </w:r>
      <w:r w:rsidRPr="00EB5E13">
        <w:t xml:space="preserve">de grondslag in de Woningwet </w:t>
      </w:r>
      <w:r w:rsidR="00282018">
        <w:t xml:space="preserve">te wijzigen. </w:t>
      </w:r>
      <w:r w:rsidRPr="00EB5E13">
        <w:t xml:space="preserve">In de </w:t>
      </w:r>
      <w:r>
        <w:t xml:space="preserve">memorie van </w:t>
      </w:r>
      <w:r w:rsidRPr="00EB5E13">
        <w:t xml:space="preserve">toelichting bij </w:t>
      </w:r>
      <w:r>
        <w:t xml:space="preserve">dat </w:t>
      </w:r>
      <w:r w:rsidRPr="00EB5E13">
        <w:t>wetsvoorstel is uitgebreider ingegaan op de conclusies van de SEO-evaluatie en hoe tot de voorgenomen wijziging is gekomen.</w:t>
      </w:r>
      <w:r>
        <w:rPr>
          <w:rStyle w:val="FootnoteReference"/>
        </w:rPr>
        <w:footnoteReference w:id="5"/>
      </w:r>
    </w:p>
    <w:p w:rsidRPr="00EB5E13" w:rsidR="00214726" w:rsidP="00214726" w14:paraId="0435CA65" w14:textId="77777777">
      <w:pPr>
        <w:rPr>
          <w:b/>
          <w:bCs/>
        </w:rPr>
      </w:pPr>
    </w:p>
    <w:p w:rsidRPr="00EB5E13" w:rsidR="00214726" w:rsidP="00214726" w14:paraId="1EA2450F" w14:textId="77777777">
      <w:r w:rsidRPr="00EB5E13">
        <w:t xml:space="preserve">De </w:t>
      </w:r>
      <w:r w:rsidR="00282018">
        <w:t xml:space="preserve">voorgenomen </w:t>
      </w:r>
      <w:r w:rsidRPr="00EB5E13">
        <w:t>wijziging volgt na een lang beleidstraject waarin samen met stakeholders diverse verbetermaatregelen zijn uitgewerkt. Eerder is een andere wijziging van de waarderingsvoorschriften voorbereid</w:t>
      </w:r>
      <w:r>
        <w:t xml:space="preserve"> en overwogen</w:t>
      </w:r>
      <w:r w:rsidRPr="00EB5E13">
        <w:t xml:space="preserve"> die uiteindelijk niet</w:t>
      </w:r>
      <w:r>
        <w:t xml:space="preserve"> verder in procedure is gebracht</w:t>
      </w:r>
      <w:r w:rsidRPr="00EB5E13">
        <w:t>.</w:t>
      </w:r>
      <w:r>
        <w:rPr>
          <w:rStyle w:val="FootnoteReference"/>
        </w:rPr>
        <w:footnoteReference w:id="6"/>
      </w:r>
      <w:r w:rsidRPr="00EB5E13">
        <w:t xml:space="preserve"> In dat voorstel zou de beleidswaarde ook de grondslag voor de </w:t>
      </w:r>
      <w:r w:rsidRPr="00EB5E13">
        <w:t xml:space="preserve">jaarrekening worden en zou de marktwaarde in de toelichting bij de jaarrekening worden opgenomen. In feite zouden de marktwaarde en de beleidswaarde hiermee van plaats wisselen in de jaarrekening. Dit voorstel is in 2024 als onderdeel van een bredere wijziging van het </w:t>
      </w:r>
      <w:r>
        <w:t xml:space="preserve">Besluit toegelaten instellingen volkshuisvesting </w:t>
      </w:r>
      <w:r w:rsidR="00282018">
        <w:t xml:space="preserve">2015 </w:t>
      </w:r>
      <w:r>
        <w:t>(</w:t>
      </w:r>
      <w:r w:rsidRPr="00EB5E13">
        <w:t>Btiv</w:t>
      </w:r>
      <w:r>
        <w:t>)</w:t>
      </w:r>
      <w:r w:rsidRPr="00EB5E13">
        <w:t xml:space="preserve"> geconsulteerd en in een voorhangprocedure aan het parlement voorgelegd. In de internetconsultatie kwam naar voren dat de plaatswissel van de marktwaarde en beleidswaarde de knelpunten rondom de accountantscontrole </w:t>
      </w:r>
      <w:r>
        <w:t xml:space="preserve">en de hoge administratieve lasten voor woningcorporaties </w:t>
      </w:r>
      <w:r w:rsidRPr="00EB5E13">
        <w:t xml:space="preserve">niet volledig zou wegnemen. </w:t>
      </w:r>
      <w:r>
        <w:t xml:space="preserve">De marktwaarde – ook als deze met een andere methode zou worden bepaald – stelt de waarde van het corporatiebezit immers anders voor dan wat een corporatie daadwerkelijk beleidsmatig beoogt te realiseren en geeft zo een onrealistisch beeld van de financiële positie. </w:t>
      </w:r>
      <w:r w:rsidRPr="00EB5E13">
        <w:t xml:space="preserve">Mede naar aanleiding van de reacties op de internetconsultatie is de plaatswissel van de marktwaarde en beleidswaarde heroverwogen en is uiteindelijk, in nauw overleg met de belanghebbenden, gekozen </w:t>
      </w:r>
      <w:r w:rsidR="005A6867">
        <w:t>om de marktwaarde helemaal niet meer voor te schrijven in de jaarrekening</w:t>
      </w:r>
      <w:r w:rsidRPr="00EB5E13">
        <w:t>.</w:t>
      </w:r>
    </w:p>
    <w:p w:rsidRPr="00EB5E13" w:rsidR="00214726" w:rsidP="00214726" w14:paraId="5240050C" w14:textId="77777777">
      <w:pPr>
        <w:rPr>
          <w:b/>
          <w:bCs/>
        </w:rPr>
      </w:pPr>
    </w:p>
    <w:p w:rsidRPr="00EB5E13" w:rsidR="00214726" w:rsidP="00214726" w14:paraId="7D0E8AD4" w14:textId="77777777">
      <w:pPr>
        <w:pStyle w:val="ListParagraph"/>
        <w:numPr>
          <w:ilvl w:val="0"/>
          <w:numId w:val="7"/>
        </w:numPr>
        <w:spacing w:after="0"/>
        <w:rPr>
          <w:rFonts w:ascii="Verdana" w:hAnsi="Verdana"/>
          <w:b/>
          <w:bCs/>
          <w:sz w:val="18"/>
          <w:szCs w:val="18"/>
        </w:rPr>
      </w:pPr>
      <w:r w:rsidRPr="00EB5E13">
        <w:rPr>
          <w:rFonts w:ascii="Verdana" w:hAnsi="Verdana"/>
          <w:b/>
          <w:bCs/>
          <w:sz w:val="18"/>
          <w:szCs w:val="18"/>
        </w:rPr>
        <w:t>Hoofdlijnen van het voorstel</w:t>
      </w:r>
    </w:p>
    <w:p w:rsidRPr="00EB5E13" w:rsidR="00214726" w:rsidP="00214726" w14:paraId="31F0CF51" w14:textId="77777777">
      <w:pPr>
        <w:rPr>
          <w:b/>
          <w:bCs/>
        </w:rPr>
      </w:pPr>
    </w:p>
    <w:p w:rsidRPr="00EB5E13" w:rsidR="00214726" w:rsidP="00214726" w14:paraId="7E4E2A44" w14:textId="77777777">
      <w:pPr>
        <w:pStyle w:val="ListParagraph"/>
        <w:numPr>
          <w:ilvl w:val="1"/>
          <w:numId w:val="7"/>
        </w:numPr>
        <w:spacing w:after="0"/>
        <w:rPr>
          <w:rFonts w:ascii="Verdana" w:hAnsi="Verdana"/>
          <w:i/>
          <w:iCs/>
          <w:sz w:val="18"/>
          <w:szCs w:val="18"/>
        </w:rPr>
      </w:pPr>
      <w:r w:rsidRPr="00EB5E13">
        <w:rPr>
          <w:rFonts w:ascii="Verdana" w:hAnsi="Verdana"/>
          <w:i/>
          <w:iCs/>
          <w:sz w:val="18"/>
          <w:szCs w:val="18"/>
        </w:rPr>
        <w:t>Beleidswaarde als grondslag voor de jaarrekening</w:t>
      </w:r>
    </w:p>
    <w:p w:rsidR="00D319A0" w:rsidP="00214726" w14:paraId="17B87CB9" w14:textId="77777777">
      <w:bookmarkStart w:name="_Hlk215134494" w:id="7"/>
      <w:r>
        <w:t xml:space="preserve">In het voorstel tot wijziging van de Woningwet in verband met het vervangen van de actuele waarde door de beleidswaarde is de waarderingsgrondslag voor de jaarrekening gewijzigd van de marktwaarde in verhuurde staat in de beleidswaarde. In de situatie voorafgaand aan deze wijziging werd de beleidswaarde enkel opgenomen in de toelichting bij de jaarrekening. </w:t>
      </w:r>
      <w:r>
        <w:t>Door het corporatiebezit in de jaarrekening te waarderen tegen de beleidswaarde wordt beoogd de herkenbaarheid en uitlegbaarheid van de jaarrekening te vergroten. De beleidswaarde houdt, in tegenstelling tot de marktwaarde, rekening met de maatschappelijke keuzes die woningcorporaties maken ten aanzien van onder meer betaalbaarheid, doorexploitatie en onderhoud.</w:t>
      </w:r>
      <w:r w:rsidR="000548B1">
        <w:t xml:space="preserve"> Het geeft daarmee inzicht in de effecten van het beleid op de waarde die woningcorporaties genereren met de exploitatie van hun vastgoed.</w:t>
      </w:r>
    </w:p>
    <w:p w:rsidR="00D319A0" w:rsidP="00214726" w14:paraId="1B958F2A" w14:textId="77777777"/>
    <w:p w:rsidR="00214726" w:rsidP="00214726" w14:paraId="53A1FC73" w14:textId="77777777">
      <w:r>
        <w:t>Dit besluit bevat</w:t>
      </w:r>
      <w:r w:rsidR="005A6867">
        <w:t xml:space="preserve"> de </w:t>
      </w:r>
      <w:r>
        <w:t xml:space="preserve">delegatiegrondslag om bij ministeriële regeling nadere voorschriften te stellen voor de berekening van de beleidswaarde. </w:t>
      </w:r>
      <w:r>
        <w:t>De methode om de beleidswaarde te bepalen wordt nader uitgewerkt in de Regeling toegelaten instellingen volkshuisvesting (</w:t>
      </w:r>
      <w:r>
        <w:t>Rtiv</w:t>
      </w:r>
      <w:r>
        <w:t xml:space="preserve">). Hiertoe wordt een Handboek beleidswaarde opgesteld, </w:t>
      </w:r>
      <w:r w:rsidR="00282018">
        <w:t>d</w:t>
      </w:r>
      <w:r>
        <w:t>at in de plaats zal komen van het Handboek</w:t>
      </w:r>
      <w:r w:rsidR="005A0C20">
        <w:t xml:space="preserve"> marktwaarde</w:t>
      </w:r>
      <w:r>
        <w:t>.</w:t>
      </w:r>
    </w:p>
    <w:p w:rsidR="00214726" w:rsidP="00214726" w14:paraId="085E987B" w14:textId="77777777"/>
    <w:bookmarkEnd w:id="7"/>
    <w:p w:rsidRPr="00DC456A" w:rsidR="00214726" w:rsidP="00214726" w14:paraId="300C4BD9" w14:textId="77777777">
      <w:pPr>
        <w:rPr>
          <w:i/>
          <w:iCs/>
        </w:rPr>
      </w:pPr>
      <w:r>
        <w:rPr>
          <w:i/>
          <w:iCs/>
        </w:rPr>
        <w:t>3.2 Herwaarderingsreserve</w:t>
      </w:r>
    </w:p>
    <w:p w:rsidRPr="00EB5E13" w:rsidR="00214726" w:rsidP="00214726" w14:paraId="62C6A144" w14:textId="77777777">
      <w:r>
        <w:t xml:space="preserve">Sinds de invoering van de marktwaardering in boekjaar 2016 dienen woningcorporaties een herwaarderingsreserve te vormen voor het positieve verschil tussen de marktwaarde van het vastgoed en de historische kostprijs. Vóór 2016 werd het corporatiebezit gewaardeerd tegen de bedrijfswaarde en werd het aanhouden van een herwaarderingsreserve voor woningcorporaties uitgesloten. De met deze wijziging voorgeschreven beleidswaarde is inhoudelijk vergelijkbaar met de destijds voorgeschreven bedrijfswaarde. In feite geeft de herwaarderingsreserve inzicht in het deel van het vermogen dat nog niet gerealiseerd is. Omdat bij woningcorporaties het gehele vermogen bestemd is voor de volkshuisvesting, en niet voor bijvoorbeeld winstuitkering, heeft een uitsplitsing van het vermogen geen functie. Daarnaast is de historische kostprijs voor woningcorporaties in de praktijk vaak lastig te bepalen, wat de informatieve waarde van de herwaarderingsreserve beperkt. </w:t>
      </w:r>
      <w:r w:rsidRPr="00EB5E13">
        <w:t>Met deze wijziging vervalt daarom ook de verplichting voor woningcorporaties om op grond van artikel 2:390 van het Burgerlijk Wetboek een herwaarderingsreserve aan te houden.</w:t>
      </w:r>
    </w:p>
    <w:p w:rsidRPr="00EB5E13" w:rsidR="00214726" w:rsidP="00214726" w14:paraId="79259AF2" w14:textId="77777777"/>
    <w:p w:rsidRPr="00DD701D" w:rsidR="00214726" w:rsidP="00214726" w14:paraId="32B62FAC" w14:textId="77777777">
      <w:pPr>
        <w:rPr>
          <w:i/>
          <w:iCs/>
        </w:rPr>
      </w:pPr>
      <w:r>
        <w:rPr>
          <w:i/>
          <w:iCs/>
        </w:rPr>
        <w:t xml:space="preserve">3.3 </w:t>
      </w:r>
      <w:r w:rsidRPr="00DD701D">
        <w:rPr>
          <w:i/>
          <w:iCs/>
        </w:rPr>
        <w:t>Vervangen begrip modelmatige marktwaarde</w:t>
      </w:r>
    </w:p>
    <w:p w:rsidRPr="00EB5E13" w:rsidR="00214726" w:rsidP="00214726" w14:paraId="124FB9C5" w14:textId="77777777">
      <w:r w:rsidRPr="00EB5E13">
        <w:t xml:space="preserve">Naast de bepalingen over de waardering in de jaarrekening wordt in enkele andere bepalingen in het </w:t>
      </w:r>
      <w:r w:rsidRPr="00EB5E13">
        <w:t>Btiv</w:t>
      </w:r>
      <w:r w:rsidRPr="00EB5E13">
        <w:t xml:space="preserve"> verwezen naar de modelmatige marktwaarde. Met het voornemen om het Handboek marktwaarde te schrappen is het nodig om ook deze bepalingen te herzien. Het gaat om bepalingen over de administratieve- en juridische scheiding, de interne lening binnen de toegelaten instelling, de overdracht van werkzaamheden </w:t>
      </w:r>
      <w:r>
        <w:t xml:space="preserve">in het kader van diensten van algemeen economisch belang (DAEB) </w:t>
      </w:r>
      <w:r w:rsidRPr="00EB5E13">
        <w:t>binnen de toegelaten instelling en het verzoek tot kwijtschelding van een sanerings- of projectsteunbijdrage. In deze paragraaf worden de betreffende bepalingen nader toegelicht en wordt aangegeven hoe deze worden gewijzigd.</w:t>
      </w:r>
    </w:p>
    <w:p w:rsidRPr="00EB5E13" w:rsidR="00214726" w:rsidP="00214726" w14:paraId="17967DB4" w14:textId="77777777"/>
    <w:p w:rsidRPr="00EB5E13" w:rsidR="00214726" w:rsidP="00214726" w14:paraId="036132A5" w14:textId="77777777">
      <w:pPr>
        <w:rPr>
          <w:u w:val="single"/>
        </w:rPr>
      </w:pPr>
      <w:r w:rsidRPr="00EB5E13">
        <w:rPr>
          <w:u w:val="single"/>
        </w:rPr>
        <w:t>Interne lening</w:t>
      </w:r>
    </w:p>
    <w:p w:rsidRPr="00EB5E13" w:rsidR="00214726" w:rsidP="00214726" w14:paraId="42E085A9" w14:textId="77777777">
      <w:r w:rsidRPr="00EB5E13">
        <w:t>Onder een aantal strikte voorwaarden (artikel 13a) is het een woningcorporatie toegestaan om een interne lening te verstrekken vanuit de DAEB-tak aan de niet-DAEB-tak. Een van de vereisten om in enig jaar een interne lening te mogen verstrekken is dat er in dat jaar sprake is van winst op de verkoop van woningen</w:t>
      </w:r>
      <w:r>
        <w:t>, waarbij die</w:t>
      </w:r>
      <w:r w:rsidRPr="00EB5E13">
        <w:t xml:space="preserve"> winst wordt bepaald op grond van de modelmatige marktwaarde van die woningen. </w:t>
      </w:r>
      <w:r>
        <w:t xml:space="preserve">In deze bepaling moet de modelmatige marktwaarde worden vervangen door een ander marktwaardebegrip om de winst bij verkoop te kunnen vaststellen. De beleidswaarde is hier geen geschikte vervanging, omdat de beleidswaarde uitgaat van voortdurende exploitatie in plaats van verkoop. </w:t>
      </w:r>
      <w:r w:rsidRPr="00EB5E13">
        <w:t xml:space="preserve">Met deze wijziging wordt het begrip modelmatige marktwaarde </w:t>
      </w:r>
      <w:r>
        <w:t xml:space="preserve">daarom </w:t>
      </w:r>
      <w:r w:rsidRPr="00EB5E13">
        <w:t>vervangen door de getaxeerde marktwaarde.</w:t>
      </w:r>
      <w:r>
        <w:t xml:space="preserve"> </w:t>
      </w:r>
    </w:p>
    <w:p w:rsidRPr="00EB5E13" w:rsidR="00214726" w:rsidP="00214726" w14:paraId="3A747432" w14:textId="77777777"/>
    <w:p w:rsidRPr="00EB5E13" w:rsidR="00214726" w:rsidP="00214726" w14:paraId="209A66CD" w14:textId="77777777">
      <w:pPr>
        <w:rPr>
          <w:u w:val="single"/>
        </w:rPr>
      </w:pPr>
      <w:r w:rsidRPr="00EB5E13">
        <w:rPr>
          <w:u w:val="single"/>
        </w:rPr>
        <w:t>Verzoek administratieve scheiding</w:t>
      </w:r>
    </w:p>
    <w:p w:rsidRPr="00EB5E13" w:rsidR="00214726" w:rsidP="00214726" w14:paraId="5E6688A2" w14:textId="77777777">
      <w:r w:rsidRPr="00EB5E13">
        <w:t xml:space="preserve">Op grond van artikel 75 moet het voorstel voor een administratieve scheiding een overzicht bevatten van het bezit dat wordt ondergebracht in de niet-DAEB-tak, onder vermelding van de modelmatige marktwaarde van dat bezit. Dit wordt door de </w:t>
      </w:r>
      <w:r w:rsidRPr="00EB5E13">
        <w:t>Aw</w:t>
      </w:r>
      <w:r w:rsidRPr="00EB5E13">
        <w:t xml:space="preserve"> gebruikt om bij een scheiding de solvabiliteit van de afzonderlijke takken te toetsen. Met deze wijziging wordt het begrip modelmatige marktwaarde vervangen door de beleidswaarde</w:t>
      </w:r>
      <w:r>
        <w:t xml:space="preserve">, omdat de </w:t>
      </w:r>
      <w:r>
        <w:t>Aw</w:t>
      </w:r>
      <w:r>
        <w:t xml:space="preserve"> de solvabiliteit bij scheiding in de praktijk al toetst op basis van de beleidswaarde</w:t>
      </w:r>
      <w:r>
        <w:rPr>
          <w:rStyle w:val="FootnoteReference"/>
        </w:rPr>
        <w:footnoteReference w:id="7"/>
      </w:r>
      <w:r>
        <w:t>.</w:t>
      </w:r>
      <w:r w:rsidRPr="00EB5E13">
        <w:t xml:space="preserve"> In principe hebben alle woningcorporaties met ingang van boekjaar 2018 al een scheiding doorgevoerd. Toch is het </w:t>
      </w:r>
      <w:r>
        <w:t xml:space="preserve">bij uitzondering </w:t>
      </w:r>
      <w:r w:rsidRPr="00EB5E13">
        <w:t>mogelijk dat er in de toekomst nog scheidingen plaatsvinden, bijvoorbeeld wanneer een woningcorporatie niet meer voldoet aan de voorwaarden voor het verlichte regime.</w:t>
      </w:r>
    </w:p>
    <w:p w:rsidRPr="00EB5E13" w:rsidR="00214726" w:rsidP="00214726" w14:paraId="1E94979B" w14:textId="77777777">
      <w:pPr>
        <w:rPr>
          <w:u w:val="single"/>
        </w:rPr>
      </w:pPr>
    </w:p>
    <w:p w:rsidRPr="00EB5E13" w:rsidR="00214726" w:rsidP="00214726" w14:paraId="4588C63D" w14:textId="77777777">
      <w:pPr>
        <w:rPr>
          <w:u w:val="single"/>
        </w:rPr>
      </w:pPr>
      <w:r w:rsidRPr="00EB5E13">
        <w:rPr>
          <w:u w:val="single"/>
        </w:rPr>
        <w:t>Overdracht DAEB-werkzaamheden binnen de toegelaten instelling</w:t>
      </w:r>
    </w:p>
    <w:p w:rsidR="00214726" w:rsidP="00214726" w14:paraId="2B29DD17" w14:textId="77777777">
      <w:r w:rsidRPr="00EB5E13">
        <w:t xml:space="preserve">Binnen een toegelaten instelling met een administratieve scheiding is het mogelijk om, onder voorwaarden, DAEB-bezit over te hevelen naar de niet-DAEB-tak. In </w:t>
      </w:r>
      <w:r>
        <w:t xml:space="preserve">de </w:t>
      </w:r>
      <w:r w:rsidRPr="00EB5E13">
        <w:t>artikel</w:t>
      </w:r>
      <w:r>
        <w:t>en</w:t>
      </w:r>
      <w:r w:rsidRPr="00EB5E13">
        <w:t xml:space="preserve"> 79 en 80 is bepaald dat een dergelijke transactie plaatsvindt tegen de modelmatige marktwaarde. Belangrijkste reden </w:t>
      </w:r>
      <w:r>
        <w:t>om bezit tegen een marktconforme prijs over te hevelen</w:t>
      </w:r>
      <w:r w:rsidRPr="00EB5E13">
        <w:t xml:space="preserve"> is om weglek van maatschappelijk vermogen uit de DAEB-tak te voorkomen</w:t>
      </w:r>
      <w:r>
        <w:t xml:space="preserve"> </w:t>
      </w:r>
      <w:bookmarkStart w:name="_Hlk220571294" w:id="8"/>
      <w:r>
        <w:t>en te voorkomen dat staatssteun oneigenlijk wordt doorgegeven</w:t>
      </w:r>
      <w:r w:rsidRPr="00EB5E13">
        <w:t xml:space="preserve">. </w:t>
      </w:r>
      <w:r>
        <w:t xml:space="preserve">Met het vervallen van het </w:t>
      </w:r>
      <w:r w:rsidRPr="005A0C20" w:rsidR="005A0C20">
        <w:t xml:space="preserve">Handboek marktwaarde </w:t>
      </w:r>
      <w:r>
        <w:t>moeten deze bepalingen worden aangepast</w:t>
      </w:r>
      <w:r w:rsidRPr="00EB5E13">
        <w:t>.</w:t>
      </w:r>
    </w:p>
    <w:p w:rsidR="00214726" w:rsidP="00214726" w14:paraId="00138769" w14:textId="77777777"/>
    <w:p w:rsidR="00214726" w:rsidP="00214726" w14:paraId="083E88A3" w14:textId="77777777">
      <w:r>
        <w:t>Artikel 79 gaat over de overdracht van woningen bij een huurderswissel van de DAEB-tak naar de niet-DAEB-tak. Dit gaat dus om de overdracht van leegstaande woningen. In de situatie voorafgaand aan deze wijziging wordt de marktwaarde bij dergelijke transacties in de praktijk ingevuld als de leegwaarde. Daarom wordt met deze wijziging het begrip modelmatige marktwaarde vervangen door de marktwaarde vrij van huur en gebruik of de WOZ-waarde.</w:t>
      </w:r>
    </w:p>
    <w:p w:rsidR="00214726" w:rsidP="00214726" w14:paraId="620C7F40" w14:textId="77777777"/>
    <w:p w:rsidRPr="00EB5E13" w:rsidR="00214726" w:rsidP="00214726" w14:paraId="147A9DED" w14:textId="77777777">
      <w:r>
        <w:t>Artikel 80 bevat de voorschriften voor de overdracht van woningen in verhuurde staat. Dit gaat in de hele sector slechts om een paar transacties per jaar en hierbij wordt de marktwaarde in verhuurde staat gehanteerd. In artikel 80 wordt het begrip modelmatige marktwaarde daarom vervangen door de getaxeerde marktwaarde.</w:t>
      </w:r>
    </w:p>
    <w:bookmarkEnd w:id="8"/>
    <w:p w:rsidRPr="00EB5E13" w:rsidR="00214726" w:rsidP="00214726" w14:paraId="3F094F09" w14:textId="77777777"/>
    <w:p w:rsidRPr="00EB5E13" w:rsidR="00214726" w:rsidP="00214726" w14:paraId="6329E01D" w14:textId="77777777">
      <w:pPr>
        <w:rPr>
          <w:u w:val="single"/>
        </w:rPr>
      </w:pPr>
      <w:r w:rsidRPr="00EB5E13">
        <w:rPr>
          <w:u w:val="single"/>
        </w:rPr>
        <w:t>Aflossen startlening bij juridische scheiding</w:t>
      </w:r>
    </w:p>
    <w:p w:rsidRPr="00EB5E13" w:rsidR="00214726" w:rsidP="00214726" w14:paraId="58879C30" w14:textId="77777777">
      <w:r w:rsidRPr="00EB5E13">
        <w:t xml:space="preserve">Na invoering van de herziene Woningwet in 2015 hebben woningcorporaties hun DAEB-activiteiten en niet-DAEB-activiteiten gescheiden door een administratieve- of juridische scheiding. Bij een juridische scheiding kon de woningcorporatie aan de op te richten woningvennootschap (de niet-DAEB-tak) een startlening verstrekken </w:t>
      </w:r>
      <w:r w:rsidRPr="00EB5E13">
        <w:t>indien</w:t>
      </w:r>
      <w:r w:rsidRPr="00EB5E13">
        <w:t xml:space="preserve"> de financiële continuïteit van die woningvennootschap onvoldoende was geborgd. Artikel 82 stelt nadere voorschriften </w:t>
      </w:r>
      <w:r>
        <w:t>aan</w:t>
      </w:r>
      <w:r w:rsidRPr="00EB5E13">
        <w:t xml:space="preserve"> de verstrekking en aflossing van deze startlening. Zo moet iedere vijf jaar ten minste </w:t>
      </w:r>
      <w:r>
        <w:t xml:space="preserve">één derde </w:t>
      </w:r>
      <w:r w:rsidRPr="00EB5E13">
        <w:t xml:space="preserve">deel van de lening worden afgelost, zodat de gehele startlening binnen vijftien jaar is afgelost. Hiermee wordt beoogd woningvennootschappen zo snel mogelijk zelfstandig, met externe financiering te laten functioneren. </w:t>
      </w:r>
    </w:p>
    <w:p w:rsidRPr="00EB5E13" w:rsidR="00214726" w:rsidP="00214726" w14:paraId="657FCD9A" w14:textId="77777777"/>
    <w:p w:rsidRPr="00EB5E13" w:rsidR="00214726" w:rsidP="00214726" w14:paraId="72FF89EC" w14:textId="77777777">
      <w:r w:rsidRPr="00EB5E13">
        <w:t xml:space="preserve">Daarnaast is bepaald dat méér moet worden afgelost </w:t>
      </w:r>
      <w:r w:rsidRPr="00EB5E13">
        <w:t>indien</w:t>
      </w:r>
      <w:r w:rsidRPr="00EB5E13">
        <w:t xml:space="preserve"> de woningvennootschap veel winst behaalt uit verkoop van bezit, waarbij het af te lossen bedrag mede wordt bepaald aan de hand van de modelmatige marktwaarde van het bezit. Dat wordt met deze wijziging vervangen door de getaxeerde marktwaarde. </w:t>
      </w:r>
      <w:r>
        <w:t xml:space="preserve">Op het moment dat voorliggende wijziging van kracht wordt is er nog een klein aantal startleningen, waarvan in alle gevallen ten minste twee derde deel is afgelost. Op basis hiervan is de verwachting dat de gevolgen van deze wijziging verwaarloosbaar zijn. </w:t>
      </w:r>
    </w:p>
    <w:p w:rsidRPr="00EB5E13" w:rsidR="00214726" w:rsidP="00214726" w14:paraId="505B2209" w14:textId="77777777"/>
    <w:p w:rsidRPr="00EB5E13" w:rsidR="00214726" w:rsidP="00214726" w14:paraId="5335A47C" w14:textId="77777777">
      <w:pPr>
        <w:rPr>
          <w:u w:val="single"/>
        </w:rPr>
      </w:pPr>
      <w:r w:rsidRPr="00EB5E13">
        <w:rPr>
          <w:u w:val="single"/>
        </w:rPr>
        <w:t>Verzoek kwijtschelding saneringsbijdrage</w:t>
      </w:r>
    </w:p>
    <w:p w:rsidRPr="00EB5E13" w:rsidR="00214726" w:rsidP="00214726" w14:paraId="4BF4147E" w14:textId="77777777">
      <w:r w:rsidRPr="00EB5E13">
        <w:t>Wanneer een woningcorporatie aanspraak maakt op collectieve saneringssteun dan wordt deze subsidie in beginsel bekostigd door een bijdrage van alle andere woningcorporaties. Een woningcorporatie kan de minister op grond van artikel 118</w:t>
      </w:r>
      <w:r w:rsidR="006E3E61">
        <w:t>,</w:t>
      </w:r>
      <w:r w:rsidRPr="00EB5E13">
        <w:t xml:space="preserve"> </w:t>
      </w:r>
      <w:r>
        <w:t>tweede lid</w:t>
      </w:r>
      <w:r w:rsidR="006E3E61">
        <w:t>,</w:t>
      </w:r>
      <w:r>
        <w:t xml:space="preserve"> </w:t>
      </w:r>
      <w:r w:rsidRPr="00EB5E13">
        <w:t xml:space="preserve">verzoeken tot kwijtschelding van deze bijdrage, </w:t>
      </w:r>
      <w:r w:rsidRPr="00EB5E13">
        <w:t>indien</w:t>
      </w:r>
      <w:r w:rsidRPr="00EB5E13">
        <w:t xml:space="preserve"> zij de </w:t>
      </w:r>
      <w:r w:rsidR="006E3E61">
        <w:t>des</w:t>
      </w:r>
      <w:r>
        <w:t>betreffende</w:t>
      </w:r>
      <w:r w:rsidRPr="00EB5E13">
        <w:t xml:space="preserve"> corporatie </w:t>
      </w:r>
      <w:r>
        <w:t xml:space="preserve">eerder steun heeft verleend door het aankopen van </w:t>
      </w:r>
      <w:r w:rsidRPr="00EB5E13">
        <w:t xml:space="preserve">woningen </w:t>
      </w:r>
      <w:r>
        <w:t>van die corporatie</w:t>
      </w:r>
      <w:r w:rsidR="006E3E61">
        <w:t xml:space="preserve">, </w:t>
      </w:r>
      <w:r w:rsidRPr="00EB5E13">
        <w:t xml:space="preserve">tegen ten minste de </w:t>
      </w:r>
      <w:r>
        <w:t xml:space="preserve">modelmatige </w:t>
      </w:r>
      <w:r w:rsidRPr="00EB5E13">
        <w:t xml:space="preserve">marktwaarde. </w:t>
      </w:r>
      <w:r>
        <w:t xml:space="preserve">Hier geldt de marktwaarde als minimum, omdat in feite geen sprake is van steun wanneer een lager dan marktconforme prijs wordt betaald. </w:t>
      </w:r>
      <w:r w:rsidRPr="00EB5E13">
        <w:t xml:space="preserve">Ook </w:t>
      </w:r>
      <w:r>
        <w:t>hier</w:t>
      </w:r>
      <w:r w:rsidRPr="00EB5E13">
        <w:t xml:space="preserve"> wordt </w:t>
      </w:r>
      <w:r>
        <w:t>de marktwaarde daarom vervangen door</w:t>
      </w:r>
      <w:r w:rsidRPr="00EB5E13">
        <w:t xml:space="preserve"> de getaxeerde marktwaarde.</w:t>
      </w:r>
    </w:p>
    <w:p w:rsidRPr="00EB5E13" w:rsidR="00214726" w:rsidP="00214726" w14:paraId="6DC311BE" w14:textId="77777777"/>
    <w:p w:rsidRPr="00EB5E13" w:rsidR="00214726" w:rsidP="00214726" w14:paraId="6F8C9C68" w14:textId="77777777">
      <w:pPr>
        <w:rPr>
          <w:i/>
          <w:iCs/>
        </w:rPr>
      </w:pPr>
      <w:r w:rsidRPr="00EB5E13">
        <w:rPr>
          <w:i/>
          <w:iCs/>
        </w:rPr>
        <w:t>3.</w:t>
      </w:r>
      <w:r>
        <w:rPr>
          <w:i/>
          <w:iCs/>
        </w:rPr>
        <w:t>4</w:t>
      </w:r>
      <w:r w:rsidRPr="00EB5E13">
        <w:rPr>
          <w:i/>
          <w:iCs/>
        </w:rPr>
        <w:t xml:space="preserve"> Overcompensatie rendementsnorm </w:t>
      </w:r>
      <w:r w:rsidRPr="00EB5E13">
        <w:rPr>
          <w:i/>
          <w:iCs/>
        </w:rPr>
        <w:t>fullregio’s</w:t>
      </w:r>
    </w:p>
    <w:p w:rsidRPr="00EB5E13" w:rsidR="00214726" w:rsidP="00214726" w14:paraId="005941B0" w14:textId="77777777">
      <w:r w:rsidRPr="00EB5E13">
        <w:t xml:space="preserve">Bij de bepaling of er sprake is van overcompensatie geldt voor woningcorporaties met veel bezit in zogenaamde </w:t>
      </w:r>
      <w:r w:rsidRPr="00EB5E13">
        <w:t>fullregio’s</w:t>
      </w:r>
      <w:r w:rsidRPr="00EB5E13">
        <w:t xml:space="preserve"> een afwijkend normrendement. Het gaat om gemeenten in aardbevingsgebieden en gebieden die voorheen werden aangeduid als krimpgebieden. Deze gebieden worden momenteel nog aangewezen in het Handboek marktwaarde, dat onderdeel is van de Regeling toegelaten instellingen volkshuisvesting (</w:t>
      </w:r>
      <w:r w:rsidRPr="00EB5E13">
        <w:t>Rtiv</w:t>
      </w:r>
      <w:r w:rsidRPr="00EB5E13">
        <w:t xml:space="preserve">). Hier wordt in artikel 61, vierde lid, van het </w:t>
      </w:r>
      <w:r w:rsidRPr="00EB5E13">
        <w:t>Btiv</w:t>
      </w:r>
      <w:r w:rsidRPr="00EB5E13">
        <w:t xml:space="preserve"> naar verwezen. Aangezien het Handboek marktwaarde komt te vervallen, zullen de </w:t>
      </w:r>
      <w:r w:rsidRPr="00EB5E13">
        <w:t>fullregio’s</w:t>
      </w:r>
      <w:r w:rsidRPr="00EB5E13">
        <w:t xml:space="preserve"> op andere wijze in de </w:t>
      </w:r>
      <w:r w:rsidRPr="00EB5E13">
        <w:t>Rtiv</w:t>
      </w:r>
      <w:r w:rsidRPr="00EB5E13">
        <w:t xml:space="preserve"> worden vastgelegd.</w:t>
      </w:r>
    </w:p>
    <w:p w:rsidRPr="00EB5E13" w:rsidR="00214726" w:rsidP="00214726" w14:paraId="7B39B2CF" w14:textId="77777777"/>
    <w:p w:rsidRPr="00EB5E13" w:rsidR="00214726" w:rsidP="00214726" w14:paraId="6F8DA00A" w14:textId="77777777">
      <w:pPr>
        <w:pStyle w:val="ListParagraph"/>
        <w:numPr>
          <w:ilvl w:val="0"/>
          <w:numId w:val="7"/>
        </w:numPr>
        <w:spacing w:after="0"/>
        <w:rPr>
          <w:rFonts w:ascii="Verdana" w:hAnsi="Verdana"/>
          <w:b/>
          <w:bCs/>
          <w:sz w:val="18"/>
          <w:szCs w:val="18"/>
        </w:rPr>
      </w:pPr>
      <w:r w:rsidRPr="00EB5E13">
        <w:rPr>
          <w:rFonts w:ascii="Verdana" w:hAnsi="Verdana"/>
          <w:b/>
          <w:bCs/>
          <w:sz w:val="18"/>
          <w:szCs w:val="18"/>
        </w:rPr>
        <w:t>Gevolgen</w:t>
      </w:r>
    </w:p>
    <w:p w:rsidRPr="00EB5E13" w:rsidR="00214726" w:rsidP="00214726" w14:paraId="27419CFD" w14:textId="77777777">
      <w:pPr>
        <w:rPr>
          <w:b/>
          <w:bCs/>
        </w:rPr>
      </w:pPr>
    </w:p>
    <w:p w:rsidRPr="000D314F" w:rsidR="00214726" w:rsidP="00214726" w14:paraId="1B306B68" w14:textId="77777777">
      <w:pPr>
        <w:rPr>
          <w:i/>
          <w:iCs/>
        </w:rPr>
      </w:pPr>
      <w:r w:rsidRPr="000D314F">
        <w:rPr>
          <w:i/>
          <w:iCs/>
        </w:rPr>
        <w:t>Regeldrukeffecten</w:t>
      </w:r>
    </w:p>
    <w:p w:rsidR="00214726" w:rsidP="00214726" w14:paraId="2B9531ED" w14:textId="77777777">
      <w:r w:rsidRPr="00EB5E13">
        <w:t xml:space="preserve">In de </w:t>
      </w:r>
      <w:r w:rsidR="00821C33">
        <w:t xml:space="preserve">memorie van </w:t>
      </w:r>
      <w:r w:rsidRPr="00EB5E13">
        <w:t xml:space="preserve">toelichting </w:t>
      </w:r>
      <w:r w:rsidR="00821C33">
        <w:t xml:space="preserve">bij het </w:t>
      </w:r>
      <w:r>
        <w:t>w</w:t>
      </w:r>
      <w:r w:rsidRPr="00EB5E13">
        <w:t xml:space="preserve">etsvoorstel </w:t>
      </w:r>
      <w:r w:rsidRPr="00A35253">
        <w:t>tot wijziging van de Woningwet in verband met het vervangen van de actuele waarde door de beleidswaarde</w:t>
      </w:r>
      <w:r>
        <w:rPr>
          <w:rStyle w:val="FootnoteReference"/>
        </w:rPr>
        <w:footnoteReference w:id="8"/>
      </w:r>
      <w:r w:rsidRPr="00A35253">
        <w:t xml:space="preserve"> </w:t>
      </w:r>
      <w:r w:rsidRPr="00EB5E13">
        <w:t xml:space="preserve">is al toegelicht wat de gevolgen zijn voor de regeldruk van woningcorporaties van het vervangen van de waarderingsgrondslag in de jaarrekening. De regeldrukeffecten van de overige wijzigingen in dit besluit zijn verwaarloosbaar. </w:t>
      </w:r>
      <w:r>
        <w:t>Het is m</w:t>
      </w:r>
      <w:r w:rsidRPr="00EB5E13">
        <w:t xml:space="preserve">ogelijk dat </w:t>
      </w:r>
      <w:r>
        <w:t>de</w:t>
      </w:r>
      <w:r w:rsidRPr="00EB5E13">
        <w:t xml:space="preserve"> overheveling van </w:t>
      </w:r>
      <w:r>
        <w:t>woningen in verhuurde staat van de DAEB-tak</w:t>
      </w:r>
      <w:r w:rsidRPr="00EB5E13">
        <w:t xml:space="preserve"> aan de niet-DAEB-tak gepaard gaa</w:t>
      </w:r>
      <w:r>
        <w:t>t</w:t>
      </w:r>
      <w:r w:rsidRPr="00EB5E13">
        <w:t xml:space="preserve"> met hogere </w:t>
      </w:r>
      <w:r w:rsidR="00C77243">
        <w:t>regeldrukkosten</w:t>
      </w:r>
      <w:r w:rsidRPr="00EB5E13">
        <w:t xml:space="preserve">, omdat daarvoor extra taxaties nodig zijn. </w:t>
      </w:r>
      <w:r>
        <w:t>Zoals beschreven in paragraaf 3.3 komt dit soort transacties maar een paar keer per jaar voor, waardoor dit op het totaal aantal overhevelingen verwaarloosbaar is</w:t>
      </w:r>
      <w:r w:rsidRPr="00EB5E13">
        <w:t xml:space="preserve">. </w:t>
      </w:r>
    </w:p>
    <w:p w:rsidR="00214726" w:rsidP="00214726" w14:paraId="15A90CF8" w14:textId="77777777"/>
    <w:p w:rsidRPr="000F10BC" w:rsidR="00214726" w:rsidP="00214726" w14:paraId="11633E98" w14:textId="77777777">
      <w:r>
        <w:t>Het Adviescollege toetsing regeldruk (ATR) heeft het dossier niet geselecteerd voor een formeel advies, omdat het geen omvangrijke gevolgen voor de regeldruk heeft.</w:t>
      </w:r>
    </w:p>
    <w:p w:rsidRPr="00EB5E13" w:rsidR="00214726" w:rsidP="00214726" w14:paraId="2764FF0C" w14:textId="77777777">
      <w:pPr>
        <w:rPr>
          <w:b/>
          <w:bCs/>
        </w:rPr>
      </w:pPr>
    </w:p>
    <w:p w:rsidR="00214726" w:rsidP="00214726" w14:paraId="6899412E" w14:textId="77777777">
      <w:pPr>
        <w:pStyle w:val="ListParagraph"/>
        <w:numPr>
          <w:ilvl w:val="0"/>
          <w:numId w:val="7"/>
        </w:numPr>
        <w:spacing w:after="0"/>
        <w:rPr>
          <w:rFonts w:ascii="Verdana" w:hAnsi="Verdana"/>
          <w:b/>
          <w:bCs/>
          <w:sz w:val="18"/>
          <w:szCs w:val="18"/>
        </w:rPr>
      </w:pPr>
      <w:r w:rsidRPr="00EB5E13">
        <w:rPr>
          <w:rFonts w:ascii="Verdana" w:hAnsi="Verdana"/>
          <w:b/>
          <w:bCs/>
          <w:sz w:val="18"/>
          <w:szCs w:val="18"/>
        </w:rPr>
        <w:t>Toezicht en handhaving</w:t>
      </w:r>
    </w:p>
    <w:p w:rsidRPr="003C5439" w:rsidR="00214726" w:rsidP="00214726" w14:paraId="5A666909" w14:textId="77777777">
      <w:pPr>
        <w:rPr>
          <w:b/>
          <w:bCs/>
        </w:rPr>
      </w:pPr>
    </w:p>
    <w:p w:rsidRPr="000C3510" w:rsidR="004D296C" w:rsidP="00214726" w14:paraId="25D86A9E" w14:textId="77777777">
      <w:r w:rsidRPr="00EB5E13">
        <w:t xml:space="preserve">Op grond van het Besluit mandaat Autoriteit woningcorporaties en aanwijzing toezichthouders Woningwet en WNT, is de </w:t>
      </w:r>
      <w:r w:rsidRPr="00EB5E13">
        <w:t>Aw</w:t>
      </w:r>
      <w:r w:rsidRPr="00EB5E13">
        <w:t xml:space="preserve"> belast met het toezicht op de naleving van de Woningwet en onderliggende regelgeving. </w:t>
      </w:r>
      <w:r w:rsidR="000C3510">
        <w:t xml:space="preserve">Onderhavig besluit breng hierin geen wijzigingen aan. </w:t>
      </w:r>
    </w:p>
    <w:p w:rsidR="000C3510" w:rsidP="00214726" w14:paraId="7A7EFBE6" w14:textId="77777777"/>
    <w:p w:rsidRPr="00EB5E13" w:rsidR="00214726" w:rsidP="00214726" w14:paraId="749291D9" w14:textId="77777777">
      <w:r w:rsidRPr="00EB5E13">
        <w:t xml:space="preserve">De voorliggende wijziging heeft gevolgen voor de jaarrekeningcontrole door accountants. Accountants staan positief tegenover het vervangen van de marktwaarde door de beleidswaarde als waarderingsgrondslag voor de balans. Dat blijkt onder meer </w:t>
      </w:r>
      <w:r>
        <w:t xml:space="preserve">uit de reactie van </w:t>
      </w:r>
      <w:r w:rsidRPr="00EB5E13">
        <w:t xml:space="preserve">de Nederlandse Beroepsorganisatie van Accountants </w:t>
      </w:r>
      <w:r>
        <w:t xml:space="preserve">op de consultatie van het wetsvoorstel </w:t>
      </w:r>
      <w:r w:rsidRPr="003B2CA3">
        <w:t>tot wijziging van de Woningwet in verband met het vervangen van de actuele waarde door de beleidswaarde</w:t>
      </w:r>
      <w:r w:rsidRPr="00EB5E13">
        <w:t>.</w:t>
      </w:r>
    </w:p>
    <w:p w:rsidRPr="00EB5E13" w:rsidR="00214726" w:rsidP="00214726" w14:paraId="35F2363B" w14:textId="77777777">
      <w:pPr>
        <w:pStyle w:val="ListParagraph"/>
        <w:spacing w:after="0"/>
        <w:ind w:left="360"/>
        <w:rPr>
          <w:rFonts w:ascii="Verdana" w:hAnsi="Verdana"/>
          <w:b/>
          <w:bCs/>
          <w:sz w:val="18"/>
          <w:szCs w:val="18"/>
        </w:rPr>
      </w:pPr>
    </w:p>
    <w:p w:rsidRPr="00EB5E13" w:rsidR="00214726" w:rsidP="00214726" w14:paraId="28174DC7" w14:textId="77777777">
      <w:pPr>
        <w:pStyle w:val="ListParagraph"/>
        <w:numPr>
          <w:ilvl w:val="0"/>
          <w:numId w:val="7"/>
        </w:numPr>
        <w:spacing w:after="0"/>
        <w:rPr>
          <w:rFonts w:ascii="Verdana" w:hAnsi="Verdana"/>
          <w:b/>
          <w:bCs/>
          <w:sz w:val="18"/>
          <w:szCs w:val="18"/>
        </w:rPr>
      </w:pPr>
      <w:r w:rsidRPr="00EB5E13">
        <w:rPr>
          <w:rFonts w:ascii="Verdana" w:hAnsi="Verdana"/>
          <w:b/>
          <w:bCs/>
          <w:sz w:val="18"/>
          <w:szCs w:val="18"/>
        </w:rPr>
        <w:t>Consultatie en advies</w:t>
      </w:r>
    </w:p>
    <w:p w:rsidR="00214726" w:rsidP="00214726" w14:paraId="210F84B1" w14:textId="77777777">
      <w:pPr>
        <w:pStyle w:val="ListParagraph"/>
        <w:spacing w:after="0"/>
        <w:ind w:left="360"/>
        <w:rPr>
          <w:rFonts w:ascii="Verdana" w:hAnsi="Verdana"/>
          <w:i/>
          <w:iCs/>
          <w:sz w:val="18"/>
          <w:szCs w:val="18"/>
        </w:rPr>
      </w:pPr>
    </w:p>
    <w:p w:rsidRPr="00297810" w:rsidR="00214726" w:rsidP="00214726" w14:paraId="6B623305" w14:textId="77777777">
      <w:pPr>
        <w:rPr>
          <w:i/>
          <w:iCs/>
        </w:rPr>
      </w:pPr>
      <w:r>
        <w:rPr>
          <w:i/>
          <w:iCs/>
        </w:rPr>
        <w:t xml:space="preserve">6.1 </w:t>
      </w:r>
      <w:r w:rsidRPr="00297810">
        <w:rPr>
          <w:i/>
          <w:iCs/>
        </w:rPr>
        <w:t>Autoriteit woningcorporaties</w:t>
      </w:r>
    </w:p>
    <w:p w:rsidRPr="00360422" w:rsidR="00214726" w:rsidP="00214726" w14:paraId="314C33EA" w14:textId="77777777">
      <w:r w:rsidRPr="00360422">
        <w:t xml:space="preserve">De </w:t>
      </w:r>
      <w:r w:rsidRPr="00360422">
        <w:t>Aw</w:t>
      </w:r>
      <w:r w:rsidRPr="00360422">
        <w:t xml:space="preserve"> heeft op verzoek van de regering een Handhaafbaarheid, Uitvoerbaarheid en Fraudebestendigheid</w:t>
      </w:r>
      <w:r>
        <w:t>s</w:t>
      </w:r>
      <w:r w:rsidRPr="00360422">
        <w:t xml:space="preserve">toets (HUF-toets) bij dit besluit uitgevoerd. De </w:t>
      </w:r>
      <w:r w:rsidRPr="00360422">
        <w:t>Aw</w:t>
      </w:r>
      <w:r w:rsidRPr="00360422">
        <w:t xml:space="preserve"> verwacht na de voorgestelde wijziging geen problemen om haar taken uit te voeren. Er zijn geen gevolgen voor de handhaafbaarheid, uitvoerbaarheid en fraudebestendigheid.</w:t>
      </w:r>
    </w:p>
    <w:p w:rsidRPr="00360422" w:rsidR="00214726" w:rsidP="00214726" w14:paraId="53705D77" w14:textId="77777777"/>
    <w:p w:rsidRPr="00360422" w:rsidR="00214726" w:rsidP="00214726" w14:paraId="18BE86AF" w14:textId="77777777">
      <w:r w:rsidRPr="00360422">
        <w:t xml:space="preserve">De </w:t>
      </w:r>
      <w:r w:rsidRPr="00360422">
        <w:t>Aw</w:t>
      </w:r>
      <w:r w:rsidRPr="00360422">
        <w:t xml:space="preserve"> ondersteunt het voorstel om een aangepaste verwerking van de stelselwijziging in de jaarrekening toe te staan. De voorstellen voor vervanging van het begrip modelmatige marktwaarde op een aantal plekken in het </w:t>
      </w:r>
      <w:r w:rsidRPr="00360422">
        <w:t>Btiv</w:t>
      </w:r>
      <w:r w:rsidRPr="00360422">
        <w:t xml:space="preserve"> wordt eveneens ondersteund door de </w:t>
      </w:r>
      <w:r w:rsidRPr="00360422">
        <w:t>Aw</w:t>
      </w:r>
      <w:r w:rsidRPr="00360422">
        <w:t xml:space="preserve">. Wel vraagt de </w:t>
      </w:r>
      <w:r w:rsidRPr="00360422">
        <w:t>Aw</w:t>
      </w:r>
      <w:r w:rsidRPr="00360422">
        <w:t xml:space="preserve"> zich af of in de toekomst mogelijk de centraal berekende marktwaarde kan worden gebruikt waar nu de getaxeerde marktwaarde wordt voorgesteld. Dit sluit aan bij enkele reacties op de internetconsultatie waarin wordt opgemerkt dat fysieke taxaties bij overdracht van bezit binnen de toegelaten instelling extra administratieve lasten met zich meebrengen. Dit is geadresseerd door bij overdracht van leegstaande woningen de leegwaarde of WOZ-waarde te hanteren. Dit is nader toegelicht in paragraaf 6.2 van deze toelichting.</w:t>
      </w:r>
    </w:p>
    <w:p w:rsidRPr="00297810" w:rsidR="00214726" w:rsidP="00214726" w14:paraId="6041A2FE" w14:textId="77777777"/>
    <w:p w:rsidRPr="00297810" w:rsidR="00214726" w:rsidP="00214726" w14:paraId="5116C5AF" w14:textId="77777777">
      <w:pPr>
        <w:rPr>
          <w:i/>
          <w:iCs/>
        </w:rPr>
      </w:pPr>
      <w:r>
        <w:rPr>
          <w:i/>
          <w:iCs/>
        </w:rPr>
        <w:t>6.2 Openbare internetconsultatie</w:t>
      </w:r>
    </w:p>
    <w:p w:rsidR="00214726" w:rsidP="00214726" w14:paraId="71AABB7D" w14:textId="77777777">
      <w:r w:rsidRPr="00EB5E13">
        <w:t xml:space="preserve">Een concept van dit besluit is gedurende zes weken in internetconsultatie gegeven. </w:t>
      </w:r>
      <w:r>
        <w:t xml:space="preserve">Er zijn zeven reacties ingediend waarin wordt ingegaan op diverse onderdelen van dit besluit. </w:t>
      </w:r>
      <w:r w:rsidRPr="002E310B">
        <w:t>Naar aanleiding van de consultatiereacties is de toelichting bij dit besluit op enkele punten aangevuld.</w:t>
      </w:r>
      <w:r>
        <w:t xml:space="preserve"> Een aantal reacties ging over de verwerking van de stelselwijziging in de jaarrekening. Naar aanleiding van het advies van de Afdeling </w:t>
      </w:r>
      <w:r w:rsidR="00282018">
        <w:t>a</w:t>
      </w:r>
      <w:r>
        <w:t>dvisering van de Raad van State bij het voorstel tot wijziging van de Woningwet is de beleidswaarde als grondslag voor de jaarrekening in de wet opgenomen in plaats van in dit besluit. Als gevolg daarvan zijn ook de bepalingen over de verwerking van de stelselwijziging overgeheveld naar de wet. De consultatiereacties over dit onderwerp zijn daarom verwerkt in de memorie van toelichting bij dat wetsvoorstel.</w:t>
      </w:r>
    </w:p>
    <w:p w:rsidR="00214726" w:rsidP="00214726" w14:paraId="3DE7A059" w14:textId="77777777"/>
    <w:p w:rsidR="00214726" w:rsidP="00214726" w14:paraId="79FF4C92" w14:textId="77777777">
      <w:r>
        <w:t>In deze paragraaf worden de overige ingediende reacties nader toegelicht. Voor de leesbaarheid zijn de reacties per onderwerp gestructureerd.</w:t>
      </w:r>
    </w:p>
    <w:p w:rsidRPr="00AC3E15" w:rsidR="00214726" w:rsidP="00214726" w14:paraId="52297FDD" w14:textId="77777777"/>
    <w:p w:rsidRPr="00AC3E15" w:rsidR="00214726" w:rsidP="00214726" w14:paraId="1D1B20D2" w14:textId="77777777">
      <w:pPr>
        <w:rPr>
          <w:u w:val="single"/>
        </w:rPr>
      </w:pPr>
      <w:r>
        <w:rPr>
          <w:u w:val="single"/>
        </w:rPr>
        <w:t>Overdracht DAEB-werkzaamheden binnen de toegelaten instelling</w:t>
      </w:r>
    </w:p>
    <w:p w:rsidR="00214726" w:rsidP="00214726" w14:paraId="34C6E278" w14:textId="77777777">
      <w:r>
        <w:t xml:space="preserve">In de situatie voorafgaand aan de voorgestelde wijziging geldt dat de overdracht van vastgoed van de DAEB-tak naar de niet-DAEB-tak plaatsvindt tegen de modelmatige marktwaarde op basis van het </w:t>
      </w:r>
      <w:r w:rsidRPr="00F80C23" w:rsidR="00F80C23">
        <w:t>Handboek marktwaarde</w:t>
      </w:r>
      <w:r>
        <w:t xml:space="preserve">. Omdat de modelmatige marktwaarde met deze wijziging verdwijnt </w:t>
      </w:r>
      <w:r w:rsidR="00282018">
        <w:t xml:space="preserve">was </w:t>
      </w:r>
      <w:r>
        <w:t xml:space="preserve">in de consultatieversie van dit voorstel opgenomen dat deze transacties in het vervolg tegen de getaxeerde marktwaarde plaatsvinden. In een aantal reacties wordt aangegeven dat deze wijziging hogere externe taxatiekosten tot gevolg heeft. Volgens woningcorporaties Stadgenoot en Woonstad Rotterdam gaat het bij hen om enkele tientallen transacties per jaar. Voor de sector als geheel gaat het gemiddeld om </w:t>
      </w:r>
      <w:r>
        <w:t>circa</w:t>
      </w:r>
      <w:r>
        <w:t xml:space="preserve"> duizend transactie per jaar.</w:t>
      </w:r>
    </w:p>
    <w:p w:rsidR="00214726" w:rsidP="00214726" w14:paraId="4CEAE8B0" w14:textId="77777777"/>
    <w:p w:rsidR="00214726" w:rsidP="00214726" w14:paraId="6AED92A2" w14:textId="77777777">
      <w:r>
        <w:t xml:space="preserve">Naar aanleiding van deze reacties is opnieuw naar deze bepalingen gekeken en is tot een andere afweging gekomen. Het uitgangspunt bij overgangen binnen de toegelaten instellingen blijft dat deze als reguliere verkoop- en aankooptransacties worden verwerkt. Wel is het bij dit onderwerp van belang om een onderscheid aan te brengen tussen de overdracht van een woning bij mutatie (artikel 79) en overdracht in verhuurde staat (artikel 80). In het eerste geval gaat het om de overdracht van een leegstaande woning, waarbij het niet voor de hand ligt om dit tegen de marktwaarde in verhuurde staat te laten plaatsvinden. Logischer is om bij deze transacties de marktwaarde vrij van huur en gebruik (leegwaarde) of de WOZ-waarde te hanteren. Het besluit is op dit onderdeel aangepast. </w:t>
      </w:r>
      <w:bookmarkStart w:name="_Hlk221105164" w:id="9"/>
      <w:r>
        <w:t>Dat betekent dat voor deze transacties, in tegenstelling tot wat in de consultatieversie van dit besluit werd voorgesteld, toch geen verplichting voor een fysieke taxatie geldt</w:t>
      </w:r>
      <w:bookmarkEnd w:id="9"/>
      <w:r>
        <w:t>. Hiermee is het gesignaleerde knelpunt van hoge taxatiekosten grotendeels weggenomen.</w:t>
      </w:r>
    </w:p>
    <w:p w:rsidR="00214726" w:rsidP="00214726" w14:paraId="371F43DE" w14:textId="77777777"/>
    <w:p w:rsidR="00214726" w:rsidP="00214726" w14:paraId="457B6E98" w14:textId="77777777">
      <w:r>
        <w:t xml:space="preserve">Bij de overdracht van woningen in verhuurde staat geldt dat de marktwaarde in verhuurde staat wel een passende waarde is. Voor de overdracht van woningen in verhuurde staat van DAEB naar niet-DAEB is goedkeuring van de </w:t>
      </w:r>
      <w:r>
        <w:t>Aw</w:t>
      </w:r>
      <w:r>
        <w:t xml:space="preserve"> nodig. De </w:t>
      </w:r>
      <w:r>
        <w:t>Aw</w:t>
      </w:r>
      <w:r>
        <w:t xml:space="preserve"> ontvangt hiervoor jaarlijks slechts enkele aanvragen</w:t>
      </w:r>
      <w:r w:rsidR="00282018">
        <w:t xml:space="preserve">. Het </w:t>
      </w:r>
      <w:r>
        <w:t>gaat om een fractie van het totale aantal overgangen van DAEB naar niet-DAEB. Gelet op de kleine aantallen blijven de extra taxatiekosten als gevolg van deze wijziging tot een minimum beperkt. Dit besluit is aangepast om in artikel 80 te specificeren dat een overdracht in verhuurde staat tegen de getaxeerde marktwaarde in verhuurde staat plaatsvindt.</w:t>
      </w:r>
    </w:p>
    <w:p w:rsidR="00214726" w:rsidP="00214726" w14:paraId="2B4E99FB" w14:textId="77777777"/>
    <w:p w:rsidR="00214726" w:rsidP="00214726" w14:paraId="01760715" w14:textId="77777777">
      <w:r w:rsidRPr="00141FB3">
        <w:t xml:space="preserve">Stadgenoot werpt in haar reactie de vraag op of de wijziging van </w:t>
      </w:r>
      <w:r w:rsidR="00282018">
        <w:t xml:space="preserve">de </w:t>
      </w:r>
      <w:r w:rsidRPr="00141FB3">
        <w:t>artikel</w:t>
      </w:r>
      <w:r w:rsidR="00282018">
        <w:t xml:space="preserve">en </w:t>
      </w:r>
      <w:r w:rsidRPr="00141FB3">
        <w:t>79 en 80 ook gevolgen heeft voor omgekeerde transacties: een verkoop van de niet-DAEB-tak aan de DAEB-tak.</w:t>
      </w:r>
      <w:r>
        <w:t xml:space="preserve"> Voor deze transacties gelden geen specifieke wettelijke bepalingen. Wel geldt dat de niet-DAEB-tak bij dergelijke transacties niet mag worden bevoordeeld om het doorgeven van staatssteun te voorkomen. Er is sprake van bevoordeling wanneer de niet-DAEB-tak een woning voor meer dan de marktwaarde aan de DAEB-tak verkoopt. Het is de niet-DAEB-tak bij dergelijke transacties wel toegestaan de DAEB-tak te steunen met een ‘dividenduitkering’. In die zin geldt de marktwaarde de facto als een maximale verkoopprijs, niet als een minimum. Net als bij transacties van DAEB naar niet-DAEB wordt de marktwaarde bij overdracht van een leegstaande woning van niet-DAEB naar DAEB door de </w:t>
      </w:r>
      <w:r>
        <w:t>Aw</w:t>
      </w:r>
      <w:r>
        <w:t xml:space="preserve"> ingevuld als de leegwaarde en bij een verhuurde woning als de marktwaarde in verhuurde staat. De voorliggende wijziging van het </w:t>
      </w:r>
      <w:r>
        <w:t>Btiv</w:t>
      </w:r>
      <w:r>
        <w:t xml:space="preserve"> verandert hier niks aan.</w:t>
      </w:r>
    </w:p>
    <w:p w:rsidR="00214726" w:rsidP="00214726" w14:paraId="27FA5C64" w14:textId="77777777"/>
    <w:p w:rsidR="00214726" w:rsidP="00214726" w14:paraId="4AB71ECD" w14:textId="77777777">
      <w:pPr>
        <w:rPr>
          <w:u w:val="single"/>
        </w:rPr>
      </w:pPr>
      <w:r>
        <w:rPr>
          <w:u w:val="single"/>
        </w:rPr>
        <w:t>Overige reacties</w:t>
      </w:r>
    </w:p>
    <w:p w:rsidRPr="00B16132" w:rsidR="00214726" w:rsidP="00214726" w14:paraId="6E2585D5" w14:textId="77777777">
      <w:r>
        <w:t xml:space="preserve">In een reactie (anoniem) wordt aangegeven dat ten tijde van de consultatie van dit besluit nog niet duidelijk is hoe de centrale marktwaardeberekening eruit gaat zien en dat nog niet bekend is hoe de beleidswaarde van niet-woningen en </w:t>
      </w:r>
      <w:r>
        <w:t>flexwoningen</w:t>
      </w:r>
      <w:r>
        <w:t xml:space="preserve"> berekend gaat worden. Het WSW is bezig met de nadere uitwerking van de centrale waarderingsmethodiek en heeft hierbij ook aandacht voor informatievoorziening richting de corporatiesector. De </w:t>
      </w:r>
      <w:r>
        <w:t>Aw</w:t>
      </w:r>
      <w:r>
        <w:t xml:space="preserve"> werkt de methodiek voor de beleidswaarde uit in een handboek beleidswaarde, inclusief de methode voor niet-woningen en </w:t>
      </w:r>
      <w:r>
        <w:t>flexwoningen</w:t>
      </w:r>
      <w:r>
        <w:t xml:space="preserve">. Bij </w:t>
      </w:r>
      <w:r>
        <w:t>het opstellen van het handboek beleidswaarde krijgen alle relevante betrokkenen (o</w:t>
      </w:r>
      <w:r w:rsidR="00282018">
        <w:t xml:space="preserve">nder andere </w:t>
      </w:r>
      <w:r>
        <w:t xml:space="preserve">corporaties, accountants, softwareleveranciers) de gelegenheid om input te leveren. Dit handboek wordt opgenomen als bijlage bij de </w:t>
      </w:r>
      <w:r>
        <w:t>Rtiv</w:t>
      </w:r>
      <w:r>
        <w:t>. Beide uitwerkingen liggen op schema om gereed te zijn voor de jaarrekening over 2026.</w:t>
      </w:r>
    </w:p>
    <w:p w:rsidR="00214726" w:rsidP="00214726" w14:paraId="308C3F5B" w14:textId="77777777"/>
    <w:p w:rsidRPr="00DC6FD2" w:rsidR="00214726" w:rsidP="00214726" w14:paraId="0F674D05" w14:textId="77777777">
      <w:r w:rsidRPr="00DC6FD2">
        <w:t>De</w:t>
      </w:r>
      <w:r>
        <w:t xml:space="preserve"> NBA wijst in haar reactie op de passage in paragraaf 3.3 van deze toelichting waarin staat dat woningvennootschappen hun bezit tegen marktwaarde blijven waarderen. De </w:t>
      </w:r>
      <w:r w:rsidR="00282018">
        <w:t>Koninklijke Nederlandse Beroepsorganisatie Accountants (</w:t>
      </w:r>
      <w:r>
        <w:t>NBA</w:t>
      </w:r>
      <w:r w:rsidR="00282018">
        <w:t>)</w:t>
      </w:r>
      <w:r>
        <w:t xml:space="preserve"> merkt terecht op dat woningvennootschappen hun vastgoed op grond van titel 9 van Boek 2 van het Burgerlijk Wetboek tegen marktwaarde óf historische kostprijs mogen waarderen. Deze zinsnede in de toelichting roept dan de vraag op of met voorliggende wijziging wordt beoogd de waarderingsvoorschriften voor woningvennootschappen in de Woningwet voor te schrijven. Voor woningvennootschappen blijven de voorschriften in titel 9 van Boek 2 van het Burgerlijk Wetboek onverminderd gelden. Om verwarring op dit punt te voorkomen is deze zin in de toelichting geschrapt.</w:t>
      </w:r>
    </w:p>
    <w:p w:rsidR="00214726" w:rsidP="00214726" w14:paraId="09026CD2" w14:textId="77777777"/>
    <w:p w:rsidR="00214726" w:rsidP="00214726" w14:paraId="3D156A03" w14:textId="77777777">
      <w:r>
        <w:t>De NBA geeft in haar reactie ook aan dat de beoogde inwerkingtreding van dit besluit op 1 januari 2027 in relatie tot de beoogde toepassing vanaf boekjaar 2026 verwarring geeft. In dit besluit, in het wetsvoorstel tot wijziging van de Woningwet en in alle externe communicatie hierover is duidelijk aangegeven dat beoogd is dat deze wijziging voor het eerst van toepassing is op de jaarrekening over boekjaar 2026. Inwerkingtreding van dit besluit op 1 januari 2027 is hiervoor tijdig en hiermee wordt aangesloten bij de vaste verandermomenten voor wet- en regelgeving. Overigens wordt ernaar gestreefd om de wijziging van de Woningwet en dit besluit ruim voor 1 januari 2027 in het Staatsblad te plaatsen.</w:t>
      </w:r>
    </w:p>
    <w:p w:rsidR="00214726" w:rsidP="00214726" w14:paraId="7990D7FE" w14:textId="77777777">
      <w:pPr>
        <w:rPr>
          <w:u w:val="single"/>
        </w:rPr>
      </w:pPr>
    </w:p>
    <w:p w:rsidR="00214726" w:rsidP="00214726" w14:paraId="44BB227C" w14:textId="77777777">
      <w:bookmarkStart w:name="_Hlk211433854" w:id="10"/>
      <w:r>
        <w:t xml:space="preserve">De reactie van </w:t>
      </w:r>
      <w:r>
        <w:t>Cooplink</w:t>
      </w:r>
      <w:r>
        <w:t xml:space="preserve"> ziet op de verkoop van corporatiewoningen aan wooncoöperaties, een onderwerp dat buiten het voorliggende besluit ligt. Er wordt gesteld dat de beleidswaarde een passende basis zou zijn voor de verkoop van corporatiewoningen aan wooncoöperaties. De Regeling experiment verkoopregels wooncoöperaties, waarin de voorschriften voor deze verkopen zijn geregeld, is recent verlengd tot 1 januari 2028. Hiermee kan de maximale looptijd van een experiment van vijf jaar worden benut om te bezien of een wijziging van wet- en regelgeving nuttig kan zijn. Het ligt niet voor de hand om de regeling gedurende de looptijd inhoudelijk te wijzigen. Voor de volledigheid wordt opgemerkt dat met het voorliggende besluit voor corporaties enkel de waarderingsgrondslag voor de jaarrekening wijzigt. In paragraaf 3.3 van deze toelichting wordt uitgelegd dat de marktwaarde de basis blijft voor verkopen aan de niet-DAEB-tak. Ook aan de regels </w:t>
      </w:r>
      <w:r w:rsidR="00282018">
        <w:t xml:space="preserve">over </w:t>
      </w:r>
      <w:r>
        <w:t>verkoop aan derden verandert niets.</w:t>
      </w:r>
      <w:bookmarkEnd w:id="10"/>
    </w:p>
    <w:p w:rsidRPr="00EB5E13" w:rsidR="00214726" w:rsidP="00214726" w14:paraId="5A26C896" w14:textId="77777777"/>
    <w:p w:rsidR="00214726" w:rsidP="00214726" w14:paraId="1CE9FEA8" w14:textId="77777777">
      <w:pPr>
        <w:pStyle w:val="ListParagraph"/>
        <w:numPr>
          <w:ilvl w:val="0"/>
          <w:numId w:val="7"/>
        </w:numPr>
        <w:spacing w:after="0"/>
        <w:rPr>
          <w:rFonts w:ascii="Verdana" w:hAnsi="Verdana"/>
          <w:b/>
          <w:bCs/>
          <w:sz w:val="18"/>
          <w:szCs w:val="18"/>
        </w:rPr>
      </w:pPr>
      <w:r>
        <w:rPr>
          <w:rFonts w:ascii="Verdana" w:hAnsi="Verdana"/>
          <w:b/>
          <w:bCs/>
          <w:sz w:val="18"/>
          <w:szCs w:val="18"/>
        </w:rPr>
        <w:t>Voorhang</w:t>
      </w:r>
    </w:p>
    <w:p w:rsidRPr="003C5439" w:rsidR="00214726" w:rsidP="00214726" w14:paraId="57DB368A" w14:textId="77777777">
      <w:pPr>
        <w:rPr>
          <w:b/>
          <w:bCs/>
        </w:rPr>
      </w:pPr>
    </w:p>
    <w:p w:rsidRPr="00503313" w:rsidR="00214726" w:rsidP="00214726" w14:paraId="0FC83F3A" w14:textId="77777777">
      <w:r w:rsidRPr="00503313">
        <w:t xml:space="preserve">Op grond van artikel </w:t>
      </w:r>
      <w:r>
        <w:t xml:space="preserve">61s van de Woningwet </w:t>
      </w:r>
      <w:r w:rsidRPr="00503313">
        <w:t xml:space="preserve">zal dit besluit worden voorgehangen bij beide </w:t>
      </w:r>
      <w:r w:rsidR="00282018">
        <w:t>K</w:t>
      </w:r>
      <w:r w:rsidRPr="00503313">
        <w:t xml:space="preserve">amers der Staten-Generaal gedurende vier weken alvorens advies van de </w:t>
      </w:r>
      <w:r w:rsidR="00282018">
        <w:t xml:space="preserve">Afdeling advisering van de </w:t>
      </w:r>
      <w:r w:rsidRPr="00503313">
        <w:t xml:space="preserve">Raad van State wordt gevraagd. </w:t>
      </w:r>
    </w:p>
    <w:p w:rsidR="00214726" w:rsidP="00214726" w14:paraId="102E478D" w14:textId="77777777"/>
    <w:p w:rsidR="00214726" w:rsidP="00214726" w14:paraId="5A7B9788" w14:textId="77777777">
      <w:r w:rsidRPr="00503313">
        <w:rPr>
          <w:highlight w:val="yellow"/>
        </w:rPr>
        <w:t>PM uitkomsten van de voorhang.</w:t>
      </w:r>
    </w:p>
    <w:p w:rsidRPr="00512273" w:rsidR="00214726" w:rsidP="00214726" w14:paraId="527115CB" w14:textId="77777777"/>
    <w:p w:rsidR="00214726" w:rsidP="00214726" w14:paraId="575E0155" w14:textId="77777777">
      <w:pPr>
        <w:pStyle w:val="ListParagraph"/>
        <w:numPr>
          <w:ilvl w:val="0"/>
          <w:numId w:val="7"/>
        </w:numPr>
        <w:spacing w:after="0"/>
        <w:rPr>
          <w:rFonts w:ascii="Verdana" w:hAnsi="Verdana"/>
          <w:b/>
          <w:bCs/>
          <w:sz w:val="18"/>
          <w:szCs w:val="18"/>
        </w:rPr>
      </w:pPr>
      <w:r w:rsidRPr="00512273">
        <w:rPr>
          <w:rFonts w:ascii="Verdana" w:hAnsi="Verdana"/>
          <w:b/>
          <w:bCs/>
          <w:sz w:val="18"/>
          <w:szCs w:val="18"/>
        </w:rPr>
        <w:t xml:space="preserve">Inwerkingtreding </w:t>
      </w:r>
    </w:p>
    <w:p w:rsidRPr="003C5439" w:rsidR="00214726" w:rsidP="00214726" w14:paraId="4C660BFF" w14:textId="77777777">
      <w:pPr>
        <w:rPr>
          <w:b/>
          <w:bCs/>
        </w:rPr>
      </w:pPr>
    </w:p>
    <w:p w:rsidRPr="00EB5E13" w:rsidR="00214726" w:rsidP="00214726" w14:paraId="01E7019E" w14:textId="77777777">
      <w:r w:rsidRPr="00EB5E13">
        <w:t xml:space="preserve">Dit besluit treedt in werking op een bij koninklijk besluit te bepalen tijdstip. Hierbij zal rekening worden gehouden met de vaste verandermomenten en de minimale invoeringstermijnen. </w:t>
      </w:r>
      <w:r w:rsidR="00031B40">
        <w:t xml:space="preserve">Inwerkingtreding is voorzien op hetzelfde moment als </w:t>
      </w:r>
      <w:r w:rsidRPr="00EB5E13">
        <w:t xml:space="preserve">het wetsvoorstel </w:t>
      </w:r>
      <w:bookmarkStart w:name="_Hlk220571755" w:id="11"/>
      <w:r w:rsidRPr="00A35253">
        <w:t>tot wijziging van de Woningwet in verband met het vervangen van de actuele waarde door de beleidswaarde</w:t>
      </w:r>
      <w:r w:rsidR="004D296C">
        <w:t>.</w:t>
      </w:r>
      <w:r>
        <w:t xml:space="preserve"> </w:t>
      </w:r>
      <w:bookmarkEnd w:id="11"/>
      <w:r w:rsidRPr="00EB5E13">
        <w:t xml:space="preserve">De regering streeft naar inwerkingtreding op 1 </w:t>
      </w:r>
      <w:r w:rsidRPr="00EB5E13">
        <w:t xml:space="preserve">januari 2027, waarmee de regels uit dit besluit voor het eerst </w:t>
      </w:r>
      <w:r>
        <w:t>van toepassing zijn</w:t>
      </w:r>
      <w:r w:rsidRPr="00EB5E13">
        <w:t xml:space="preserve"> </w:t>
      </w:r>
      <w:r>
        <w:t xml:space="preserve">op de jaarrekening </w:t>
      </w:r>
      <w:r w:rsidRPr="00EB5E13">
        <w:t xml:space="preserve">voor </w:t>
      </w:r>
      <w:r>
        <w:t>het boekjaar</w:t>
      </w:r>
      <w:r w:rsidRPr="00EB5E13">
        <w:t xml:space="preserve"> 2026. </w:t>
      </w:r>
    </w:p>
    <w:p w:rsidRPr="00EB5E13" w:rsidR="00214726" w:rsidP="00214726" w14:paraId="1635C4EC" w14:textId="77777777"/>
    <w:p w:rsidR="00214726" w:rsidP="00214726" w14:paraId="27D03FE5" w14:textId="77777777">
      <w:pPr>
        <w:rPr>
          <w:b/>
          <w:bCs/>
        </w:rPr>
      </w:pPr>
      <w:r w:rsidRPr="00EB5E13">
        <w:rPr>
          <w:b/>
          <w:bCs/>
        </w:rPr>
        <w:t>II Artikelsgewijs deel</w:t>
      </w:r>
    </w:p>
    <w:p w:rsidRPr="00EB5E13" w:rsidR="00214726" w:rsidP="00214726" w14:paraId="7B2FFA79" w14:textId="77777777">
      <w:pPr>
        <w:rPr>
          <w:b/>
          <w:bCs/>
        </w:rPr>
      </w:pPr>
    </w:p>
    <w:p w:rsidR="00214726" w:rsidP="00214726" w14:paraId="7AA8DC54" w14:textId="77777777">
      <w:pPr>
        <w:spacing w:line="276" w:lineRule="auto"/>
        <w:rPr>
          <w:i/>
          <w:iCs/>
        </w:rPr>
      </w:pPr>
      <w:r>
        <w:rPr>
          <w:i/>
          <w:iCs/>
        </w:rPr>
        <w:t>Artikel I</w:t>
      </w:r>
    </w:p>
    <w:p w:rsidR="00214726" w:rsidP="00214726" w14:paraId="3B1983C4" w14:textId="77777777">
      <w:pPr>
        <w:spacing w:line="276" w:lineRule="auto"/>
        <w:rPr>
          <w:i/>
          <w:iCs/>
        </w:rPr>
      </w:pPr>
    </w:p>
    <w:p w:rsidRPr="00AD778D" w:rsidR="00214726" w:rsidP="00214726" w14:paraId="5CE0DCC7" w14:textId="77777777">
      <w:pPr>
        <w:spacing w:line="276" w:lineRule="auto"/>
        <w:rPr>
          <w:i/>
          <w:iCs/>
        </w:rPr>
      </w:pPr>
      <w:r>
        <w:rPr>
          <w:i/>
          <w:iCs/>
        </w:rPr>
        <w:t>Onderdelen B en J</w:t>
      </w:r>
    </w:p>
    <w:p w:rsidR="00214726" w:rsidP="00214726" w14:paraId="3982B1AF" w14:textId="77777777">
      <w:pPr>
        <w:spacing w:line="276" w:lineRule="auto"/>
      </w:pPr>
      <w:r>
        <w:t xml:space="preserve">Met deze onderdelen vervallen </w:t>
      </w:r>
      <w:r w:rsidR="00726DFC">
        <w:t xml:space="preserve">de </w:t>
      </w:r>
      <w:r>
        <w:t>artikel</w:t>
      </w:r>
      <w:r w:rsidR="00726DFC">
        <w:t>en</w:t>
      </w:r>
      <w:r>
        <w:t xml:space="preserve"> 13, vierde lid, en 98, tweede lid, van het </w:t>
      </w:r>
      <w:r>
        <w:t>Btiv</w:t>
      </w:r>
      <w:r>
        <w:t>. Hierin wa</w:t>
      </w:r>
      <w:r w:rsidR="00282018">
        <w:t xml:space="preserve">s </w:t>
      </w:r>
      <w:r>
        <w:t>een tweetal percentages genoemd die invulling gaven aan respectievelijk artikel 21c, tweede lid, en artikel 53, vierde lid, onderdeel d, van de Woningwet. Deze wijziging</w:t>
      </w:r>
      <w:r w:rsidR="00096CA8">
        <w:t>en</w:t>
      </w:r>
      <w:r>
        <w:t xml:space="preserve"> </w:t>
      </w:r>
      <w:r w:rsidR="00096CA8">
        <w:t xml:space="preserve">zijn </w:t>
      </w:r>
      <w:r>
        <w:t xml:space="preserve">een gevolg van </w:t>
      </w:r>
      <w:r w:rsidRPr="00AD778D">
        <w:t xml:space="preserve">het wetsvoorstel </w:t>
      </w:r>
      <w:r w:rsidRPr="00DD701D">
        <w:t>tot wijziging van de Woningwet in verband met het vervangen van de actuele waarde door de beleidswaarde</w:t>
      </w:r>
      <w:r w:rsidR="00096CA8">
        <w:t>, waarmee</w:t>
      </w:r>
      <w:r>
        <w:t xml:space="preserve"> de grondslagen op grond waarvan deze percentages in het </w:t>
      </w:r>
      <w:r>
        <w:t>Btiv</w:t>
      </w:r>
      <w:r>
        <w:t xml:space="preserve"> </w:t>
      </w:r>
      <w:r w:rsidR="00096CA8">
        <w:t xml:space="preserve">waren </w:t>
      </w:r>
      <w:r>
        <w:t xml:space="preserve">vastgesteld, </w:t>
      </w:r>
      <w:r w:rsidR="00726DFC">
        <w:t xml:space="preserve">zullen </w:t>
      </w:r>
      <w:r>
        <w:t>komen te vervallen.</w:t>
      </w:r>
    </w:p>
    <w:p w:rsidRPr="00AD778D" w:rsidR="00214726" w:rsidP="00214726" w14:paraId="65E755EC" w14:textId="77777777">
      <w:pPr>
        <w:spacing w:line="276" w:lineRule="auto"/>
      </w:pPr>
    </w:p>
    <w:p w:rsidRPr="00EB5E13" w:rsidR="00214726" w:rsidP="00214726" w14:paraId="76D82648" w14:textId="77777777">
      <w:pPr>
        <w:spacing w:line="276" w:lineRule="auto"/>
        <w:rPr>
          <w:i/>
          <w:iCs/>
        </w:rPr>
      </w:pPr>
      <w:r w:rsidRPr="00EB5E13">
        <w:rPr>
          <w:i/>
          <w:iCs/>
        </w:rPr>
        <w:t>Onderdeel D</w:t>
      </w:r>
    </w:p>
    <w:p w:rsidR="00214726" w:rsidP="00282018" w14:paraId="5D419968" w14:textId="77777777">
      <w:pPr>
        <w:spacing w:line="276" w:lineRule="auto"/>
      </w:pPr>
      <w:r w:rsidRPr="00EB5E13">
        <w:t xml:space="preserve">De wijziging van artikel 30 </w:t>
      </w:r>
      <w:r w:rsidRPr="00EB5E13">
        <w:t>Btiv</w:t>
      </w:r>
      <w:r w:rsidRPr="00EB5E13">
        <w:t xml:space="preserve"> strekt ertoe dat artikel 390 van Boek 2 van het Burgerlijk Wetboek niet langer van toepassing is op de jaarrekening die op grond van artikel 35 van de Woningwet door het bestuur van een toegelaten instelling jaarlijks wordt opgesteld. In artikel 390 van Boek 2 van het Burgerlijk Wetboek is de herwaarderingsreserve geregeld. Met de wisseling van de marktwaarde en de beleidswaarde in de jaarrekening is de noodzaak hiervoor komen te vervallen.</w:t>
      </w:r>
    </w:p>
    <w:p w:rsidR="00282018" w:rsidP="00282018" w14:paraId="38A7115C" w14:textId="77777777">
      <w:pPr>
        <w:spacing w:line="276" w:lineRule="auto"/>
      </w:pPr>
    </w:p>
    <w:p w:rsidRPr="00282018" w:rsidR="00282018" w:rsidP="00282018" w14:paraId="7C51C372" w14:textId="77777777">
      <w:pPr>
        <w:spacing w:line="276" w:lineRule="auto"/>
      </w:pPr>
    </w:p>
    <w:p w:rsidRPr="00EB5E13" w:rsidR="00214726" w:rsidP="00214726" w14:paraId="67C3E220" w14:textId="77777777">
      <w:r w:rsidRPr="00EB5E13">
        <w:t>De Minister van Volkshuisvesting en Ruimtelijke Ordening,</w:t>
      </w:r>
    </w:p>
    <w:p w:rsidRPr="00EB5E13" w:rsidR="00214726" w:rsidP="00214726" w14:paraId="60C6CD40" w14:textId="77777777"/>
    <w:p w:rsidRPr="00EB5E13" w:rsidR="00214726" w:rsidP="00214726" w14:paraId="45BCF21B" w14:textId="77777777"/>
    <w:p w:rsidRPr="00EB5E13" w:rsidR="00214726" w:rsidP="00214726" w14:paraId="7CA0D830" w14:textId="77777777"/>
    <w:p w:rsidR="0086413C" w:rsidP="00214726" w14:paraId="4192963C" w14:textId="77777777"/>
    <w:p w:rsidR="0086413C" w:rsidP="00214726" w14:paraId="2F9A4BBF" w14:textId="77777777"/>
    <w:p w:rsidRPr="00214726" w:rsidR="00F90368" w:rsidP="00214726" w14:paraId="4D58B0F5" w14:textId="77777777">
      <w:r w:rsidRPr="0086413C">
        <w:t>Elanor</w:t>
      </w:r>
      <w:r w:rsidRPr="0086413C">
        <w:t xml:space="preserve"> </w:t>
      </w:r>
      <w:r w:rsidRPr="0086413C">
        <w:t>Boekholt-O'Sullivan</w:t>
      </w:r>
    </w:p>
    <w:sectPr>
      <w:headerReference w:type="even" r:id="rId7"/>
      <w:headerReference w:type="default" r:id="rId8"/>
      <w:footerReference w:type="even" r:id="rId9"/>
      <w:footerReference w:type="default" r:id="rId10"/>
      <w:headerReference w:type="first" r:id="rId11"/>
      <w:footerReference w:type="first" r:id="rId12"/>
      <w:pgSz w:w="11905" w:h="16837"/>
      <w:pgMar w:top="2095" w:right="1757" w:bottom="1360" w:left="2040"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85B" w14:paraId="517405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85E" w14:paraId="44F4A8A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85E" w14:paraId="215A474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0241" w14:paraId="1B7CD961" w14:textId="77777777">
      <w:pPr>
        <w:spacing w:line="240" w:lineRule="auto"/>
      </w:pPr>
      <w:r>
        <w:separator/>
      </w:r>
    </w:p>
  </w:footnote>
  <w:footnote w:type="continuationSeparator" w:id="1">
    <w:p w:rsidR="002D0241" w14:paraId="285E5494" w14:textId="77777777">
      <w:pPr>
        <w:spacing w:line="240" w:lineRule="auto"/>
      </w:pPr>
      <w:r>
        <w:continuationSeparator/>
      </w:r>
    </w:p>
  </w:footnote>
  <w:footnote w:id="2">
    <w:p w:rsidR="00282018" w:rsidRPr="00282018" w14:paraId="7CB18BE0" w14:textId="77777777">
      <w:pPr>
        <w:pStyle w:val="FootnoteText"/>
        <w:rPr>
          <w:rFonts w:ascii="Verdana" w:hAnsi="Verdana"/>
        </w:rPr>
      </w:pPr>
      <w:r w:rsidRPr="00282018">
        <w:rPr>
          <w:rStyle w:val="FootnoteReference"/>
          <w:rFonts w:ascii="Verdana" w:hAnsi="Verdana"/>
          <w:sz w:val="16"/>
          <w:szCs w:val="16"/>
        </w:rPr>
        <w:footnoteRef/>
      </w:r>
      <w:r w:rsidRPr="00282018">
        <w:rPr>
          <w:rFonts w:ascii="Verdana" w:hAnsi="Verdana"/>
          <w:sz w:val="16"/>
          <w:szCs w:val="16"/>
        </w:rPr>
        <w:t xml:space="preserve"> Het bij koninklijke boodschap van 20 januari 2026 ingediende voorstel van wet tot wijziging van de Woningwet in verband met het vervangen van de actuele waarde door de beleidswaarde (Kamerstukken 36886).</w:t>
      </w:r>
    </w:p>
  </w:footnote>
  <w:footnote w:id="3">
    <w:p w:rsidR="00214726" w:rsidRPr="00821C33" w:rsidP="00214726" w14:paraId="42500736" w14:textId="77777777">
      <w:pPr>
        <w:pStyle w:val="FootnoteText"/>
        <w:rPr>
          <w:rFonts w:ascii="Verdana" w:hAnsi="Verdana"/>
          <w:sz w:val="16"/>
          <w:szCs w:val="16"/>
        </w:rPr>
      </w:pPr>
      <w:r w:rsidRPr="00821C33">
        <w:rPr>
          <w:rStyle w:val="FootnoteReference"/>
          <w:rFonts w:ascii="Verdana" w:hAnsi="Verdana"/>
          <w:sz w:val="16"/>
          <w:szCs w:val="16"/>
        </w:rPr>
        <w:footnoteRef/>
      </w:r>
      <w:r w:rsidRPr="00821C33">
        <w:rPr>
          <w:rFonts w:ascii="Verdana" w:hAnsi="Verdana"/>
          <w:sz w:val="16"/>
          <w:szCs w:val="16"/>
        </w:rPr>
        <w:t xml:space="preserve"> Bijlage bij Kamerstukken II 2022/23, 29 453, nr. 563. </w:t>
      </w:r>
    </w:p>
  </w:footnote>
  <w:footnote w:id="4">
    <w:p w:rsidR="00C77243" w:rsidRPr="00821C33" w14:paraId="13317FC2" w14:textId="77777777">
      <w:pPr>
        <w:pStyle w:val="FootnoteText"/>
        <w:rPr>
          <w:rFonts w:ascii="Verdana" w:hAnsi="Verdana"/>
          <w:sz w:val="16"/>
          <w:szCs w:val="16"/>
        </w:rPr>
      </w:pPr>
      <w:r w:rsidRPr="00821C33">
        <w:rPr>
          <w:rStyle w:val="FootnoteReference"/>
          <w:rFonts w:ascii="Verdana" w:hAnsi="Verdana"/>
          <w:sz w:val="16"/>
          <w:szCs w:val="16"/>
        </w:rPr>
        <w:footnoteRef/>
      </w:r>
      <w:r w:rsidRPr="00821C33">
        <w:rPr>
          <w:rFonts w:ascii="Verdana" w:hAnsi="Verdana"/>
          <w:sz w:val="16"/>
          <w:szCs w:val="16"/>
        </w:rPr>
        <w:t xml:space="preserve"> Bijlage 2 bij de Regeling toegelaten instellingen volkshuisvesting 2015. </w:t>
      </w:r>
    </w:p>
  </w:footnote>
  <w:footnote w:id="5">
    <w:p w:rsidR="00214726" w:rsidRPr="00821C33" w:rsidP="00214726" w14:paraId="6CFEE07C" w14:textId="77777777">
      <w:pPr>
        <w:pStyle w:val="FootnoteText"/>
        <w:rPr>
          <w:rFonts w:ascii="Verdana" w:hAnsi="Verdana"/>
          <w:sz w:val="16"/>
          <w:szCs w:val="16"/>
        </w:rPr>
      </w:pPr>
      <w:r w:rsidRPr="00821C33">
        <w:rPr>
          <w:rStyle w:val="FootnoteReference"/>
          <w:rFonts w:ascii="Verdana" w:hAnsi="Verdana"/>
          <w:sz w:val="16"/>
          <w:szCs w:val="16"/>
        </w:rPr>
        <w:footnoteRef/>
      </w:r>
      <w:r w:rsidRPr="00821C33">
        <w:rPr>
          <w:rFonts w:ascii="Verdana" w:hAnsi="Verdana"/>
          <w:sz w:val="16"/>
          <w:szCs w:val="16"/>
        </w:rPr>
        <w:t xml:space="preserve"> Kamerstukken II 2025/26, 36 886, nr. 3, p. 3-4. </w:t>
      </w:r>
    </w:p>
  </w:footnote>
  <w:footnote w:id="6">
    <w:p w:rsidR="00214726" w:rsidRPr="00821C33" w:rsidP="00214726" w14:paraId="08F6D8EE" w14:textId="77777777">
      <w:pPr>
        <w:pStyle w:val="FootnoteText"/>
        <w:rPr>
          <w:rFonts w:ascii="Verdana" w:hAnsi="Verdana"/>
          <w:sz w:val="16"/>
          <w:szCs w:val="16"/>
        </w:rPr>
      </w:pPr>
      <w:r w:rsidRPr="00821C33">
        <w:rPr>
          <w:rStyle w:val="FootnoteReference"/>
          <w:rFonts w:ascii="Verdana" w:hAnsi="Verdana"/>
          <w:sz w:val="16"/>
          <w:szCs w:val="16"/>
        </w:rPr>
        <w:footnoteRef/>
      </w:r>
      <w:r w:rsidRPr="00821C33">
        <w:rPr>
          <w:rFonts w:ascii="Verdana" w:hAnsi="Verdana"/>
          <w:sz w:val="16"/>
          <w:szCs w:val="16"/>
        </w:rPr>
        <w:t xml:space="preserve"> Kamerstukken II, 2023/24, 32 847, nr. 1200</w:t>
      </w:r>
      <w:r w:rsidR="00282018">
        <w:rPr>
          <w:rFonts w:ascii="Verdana" w:hAnsi="Verdana"/>
          <w:sz w:val="16"/>
          <w:szCs w:val="16"/>
        </w:rPr>
        <w:t>.</w:t>
      </w:r>
    </w:p>
  </w:footnote>
  <w:footnote w:id="7">
    <w:p w:rsidR="00214726" w:rsidRPr="00821C33" w:rsidP="00214726" w14:paraId="00ECDAE3" w14:textId="77777777">
      <w:pPr>
        <w:pStyle w:val="FootnoteText"/>
        <w:rPr>
          <w:rFonts w:ascii="Verdana" w:hAnsi="Verdana"/>
          <w:sz w:val="16"/>
          <w:szCs w:val="16"/>
        </w:rPr>
      </w:pPr>
      <w:r w:rsidRPr="00821C33">
        <w:rPr>
          <w:rStyle w:val="FootnoteReference"/>
          <w:rFonts w:ascii="Verdana" w:hAnsi="Verdana"/>
          <w:sz w:val="16"/>
          <w:szCs w:val="16"/>
        </w:rPr>
        <w:footnoteRef/>
      </w:r>
      <w:r w:rsidRPr="00821C33">
        <w:rPr>
          <w:rFonts w:ascii="Verdana" w:hAnsi="Verdana"/>
          <w:sz w:val="16"/>
          <w:szCs w:val="16"/>
        </w:rPr>
        <w:t xml:space="preserve"> </w:t>
      </w:r>
      <w:r w:rsidRPr="00821C33" w:rsidR="006E3E61">
        <w:rPr>
          <w:rFonts w:ascii="Verdana" w:hAnsi="Verdana"/>
          <w:sz w:val="16"/>
          <w:szCs w:val="16"/>
        </w:rPr>
        <w:t>Beleidsregel Autoriteit woningcorporaties naar aanleiding van de wijziging van de Woningwet</w:t>
      </w:r>
      <w:r w:rsidRPr="00821C33">
        <w:rPr>
          <w:rFonts w:ascii="Verdana" w:hAnsi="Verdana"/>
          <w:sz w:val="16"/>
          <w:szCs w:val="16"/>
        </w:rPr>
        <w:t>.</w:t>
      </w:r>
    </w:p>
  </w:footnote>
  <w:footnote w:id="8">
    <w:p w:rsidR="00821C33" w:rsidRPr="00821C33" w14:paraId="1995E154" w14:textId="77777777">
      <w:pPr>
        <w:pStyle w:val="FootnoteText"/>
        <w:rPr>
          <w:rFonts w:ascii="Verdana" w:hAnsi="Verdana"/>
          <w:sz w:val="16"/>
          <w:szCs w:val="16"/>
        </w:rPr>
      </w:pPr>
      <w:r w:rsidRPr="00821C33">
        <w:rPr>
          <w:rStyle w:val="FootnoteReference"/>
          <w:rFonts w:ascii="Verdana" w:hAnsi="Verdana"/>
          <w:sz w:val="16"/>
          <w:szCs w:val="16"/>
        </w:rPr>
        <w:footnoteRef/>
      </w:r>
      <w:r w:rsidRPr="00821C33">
        <w:rPr>
          <w:rFonts w:ascii="Verdana" w:hAnsi="Verdana"/>
          <w:sz w:val="16"/>
          <w:szCs w:val="16"/>
        </w:rPr>
        <w:t xml:space="preserve"> Het bij koninklijke boodschap van 20 januari 2026 ingediende voorstel van wet tot wijziging van de Woningwet in verband met het vervangen van de actuele waarde door de beleidswaarde (Kamerstukken 36886).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85B" w14:paraId="5BADB4D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93001" o:spid="_x0000_s2049" type="#_x0000_t136" style="width:495.35pt;height:76.2pt;margin-top:0;margin-left:0;mso-position-horizontal:center;mso-position-horizontal-relative:margin;mso-position-vertical:center;mso-position-vertical-relative:margin;position:absolute;rotation:315;z-index:-251655168" o:allowincell="f" fillcolor="silver" stroked="f">
          <v:fill opacity="0.5"/>
          <v:textpath style="font-family:Verdana;font-size:1pt" string="VOORHA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85E" w14:paraId="349B25B4"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93002" o:spid="_x0000_s2050" type="#_x0000_t136" style="width:495.35pt;height:76.2pt;margin-top:0;margin-left:0;mso-position-horizontal:center;mso-position-horizontal-relative:margin;mso-position-vertical:center;mso-position-vertical-relative:margin;position:absolute;rotation:315;z-index:-251654144" o:allowincell="f" fillcolor="silver" stroked="f">
          <v:fill opacity="0.5"/>
          <v:textpath style="font-family:Verdana;font-size:1pt" string="VOORHA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85E" w14:paraId="596FDD30" w14:textId="77777777">
    <w:pPr>
      <w:spacing w:after="4971" w:line="14" w:lineRule="exac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93000" o:spid="_x0000_s2051" type="#_x0000_t136" style="width:495.35pt;height:76.2pt;margin-top:0;margin-left:0;mso-position-horizontal:center;mso-position-horizontal-relative:margin;mso-position-vertical:center;mso-position-vertical-relative:margin;position:absolute;rotation:315;z-index:-251656192" o:allowincell="f" fillcolor="silver" stroked="f">
          <v:fill opacity="0.5"/>
          <v:textpath style="font-family:Verdana;font-size:1pt" string="VOORHANG"/>
          <w10:wrap anchorx="margin" anchory="margin"/>
        </v:shape>
      </w:pict>
    </w:r>
    <w:r w:rsidR="009C385B">
      <w:rPr>
        <w:noProof/>
      </w:rPr>
      <mc:AlternateContent>
        <mc:Choice Requires="wps">
          <w:drawing>
            <wp:anchor distT="0" distB="0" distL="0" distR="0" simplePos="0" relativeHeight="251658240" behindDoc="0" locked="1" layoutInCell="1" allowOverlap="1">
              <wp:simplePos x="0" y="0"/>
              <wp:positionH relativeFrom="page">
                <wp:posOffset>762635</wp:posOffset>
              </wp:positionH>
              <wp:positionV relativeFrom="page">
                <wp:posOffset>0</wp:posOffset>
              </wp:positionV>
              <wp:extent cx="6598284" cy="2545080"/>
              <wp:effectExtent l="0" t="0" r="0" b="0"/>
              <wp:wrapNone/>
              <wp:docPr id="1" name="098654b7-5325-4b38-8dc7-92eb590f215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8284" cy="2545080"/>
                      </a:xfrm>
                      <a:prstGeom prst="rect">
                        <a:avLst/>
                      </a:prstGeom>
                      <a:noFill/>
                    </wps:spPr>
                    <wps:txbx>
                      <w:txbxContent>
                        <w:p w:rsidR="0027185E" w14:textId="77777777">
                          <w:pPr>
                            <w:spacing w:line="240" w:lineRule="auto"/>
                          </w:pPr>
                          <w:r>
                            <w:rPr>
                              <w:noProof/>
                            </w:rPr>
                            <w:drawing>
                              <wp:inline distT="0" distB="0" distL="0" distR="0">
                                <wp:extent cx="6598284" cy="2548040"/>
                                <wp:effectExtent l="0" t="0" r="0" b="0"/>
                                <wp:docPr id="241652132" name="Wij_Willem_Alexander" descr="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241652132" name="Wij_Willem_Alexander"/>
                                        <pic:cNvPicPr/>
                                      </pic:nvPicPr>
                                      <pic:blipFill>
                                        <a:blip xmlns:r="http://schemas.openxmlformats.org/officeDocument/2006/relationships" r:embed="rId1"/>
                                        <a:stretch>
                                          <a:fillRect/>
                                        </a:stretch>
                                      </pic:blipFill>
                                      <pic:spPr bwMode="auto">
                                        <a:xfrm>
                                          <a:off x="0" y="0"/>
                                          <a:ext cx="6598284" cy="254804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98654b7-5325-4b38-8dc7-92eb590f2159" o:spid="_x0000_s2052" type="#_x0000_t202" style="width:519.55pt;height:200.4pt;margin-top:0;margin-left:60.0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27185E" w14:paraId="506DA22C" w14:textId="77777777">
                    <w:pPr>
                      <w:spacing w:line="240" w:lineRule="auto"/>
                    </w:pPr>
                    <w:drawing>
                      <wp:inline distT="0" distB="0" distL="0" distR="0">
                        <wp:extent cx="6598284" cy="2548040"/>
                        <wp:effectExtent l="0" t="0" r="0" b="0"/>
                        <wp:docPr id="2" name="Wij_Willem_Alexander" descr="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xmlns:r="http://schemas.openxmlformats.org/officeDocument/2006/relationships" r:embed="rId1"/>
                                <a:stretch>
                                  <a:fillRect/>
                                </a:stretch>
                              </pic:blipFill>
                              <pic:spPr bwMode="auto">
                                <a:xfrm>
                                  <a:off x="0" y="0"/>
                                  <a:ext cx="6598284" cy="2548040"/>
                                </a:xfrm>
                                <a:prstGeom prst="rect">
                                  <a:avLst/>
                                </a:prstGeom>
                              </pic:spPr>
                            </pic:pic>
                          </a:graphicData>
                        </a:graphic>
                      </wp:inline>
                    </w:drawing>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962A60E"/>
    <w:multiLevelType w:val="multilevel"/>
    <w:tmpl w:val="17FDA01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345519D"/>
    <w:multiLevelType w:val="multilevel"/>
    <w:tmpl w:val="CBA395B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62C7F48"/>
    <w:multiLevelType w:val="hybridMultilevel"/>
    <w:tmpl w:val="3B7EA3E4"/>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A7127E"/>
    <w:multiLevelType w:val="multilevel"/>
    <w:tmpl w:val="980213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3A465FAD"/>
    <w:multiLevelType w:val="multilevel"/>
    <w:tmpl w:val="C1ED9C3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5E63C794"/>
    <w:multiLevelType w:val="multilevel"/>
    <w:tmpl w:val="64DBF7F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7EA68289"/>
    <w:multiLevelType w:val="multilevel"/>
    <w:tmpl w:val="569560F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263222540">
    <w:abstractNumId w:val="0"/>
  </w:num>
  <w:num w:numId="2" w16cid:durableId="720984895">
    <w:abstractNumId w:val="5"/>
  </w:num>
  <w:num w:numId="3" w16cid:durableId="430665433">
    <w:abstractNumId w:val="4"/>
  </w:num>
  <w:num w:numId="4" w16cid:durableId="916749918">
    <w:abstractNumId w:val="6"/>
  </w:num>
  <w:num w:numId="5" w16cid:durableId="1048994143">
    <w:abstractNumId w:val="1"/>
  </w:num>
  <w:num w:numId="6" w16cid:durableId="2076274426">
    <w:abstractNumId w:val="2"/>
  </w:num>
  <w:num w:numId="7" w16cid:durableId="735474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85E"/>
    <w:rsid w:val="0000431A"/>
    <w:rsid w:val="00016071"/>
    <w:rsid w:val="00024526"/>
    <w:rsid w:val="00025DEA"/>
    <w:rsid w:val="0003012D"/>
    <w:rsid w:val="00031B40"/>
    <w:rsid w:val="000325D7"/>
    <w:rsid w:val="00034E57"/>
    <w:rsid w:val="000548B1"/>
    <w:rsid w:val="00055B0F"/>
    <w:rsid w:val="000762B5"/>
    <w:rsid w:val="000863DA"/>
    <w:rsid w:val="0009212C"/>
    <w:rsid w:val="00096CA8"/>
    <w:rsid w:val="000C3510"/>
    <w:rsid w:val="000D1385"/>
    <w:rsid w:val="000D314F"/>
    <w:rsid w:val="000D6901"/>
    <w:rsid w:val="000D6D91"/>
    <w:rsid w:val="000E1694"/>
    <w:rsid w:val="000E4BA9"/>
    <w:rsid w:val="000F10BC"/>
    <w:rsid w:val="000F75CD"/>
    <w:rsid w:val="00100CDC"/>
    <w:rsid w:val="00122BFE"/>
    <w:rsid w:val="00130EC3"/>
    <w:rsid w:val="001408B5"/>
    <w:rsid w:val="00141FB3"/>
    <w:rsid w:val="0015224C"/>
    <w:rsid w:val="001770B0"/>
    <w:rsid w:val="001A2746"/>
    <w:rsid w:val="001B156A"/>
    <w:rsid w:val="001B33A9"/>
    <w:rsid w:val="001B3787"/>
    <w:rsid w:val="001C7ADA"/>
    <w:rsid w:val="001D0366"/>
    <w:rsid w:val="001D1088"/>
    <w:rsid w:val="00214170"/>
    <w:rsid w:val="00214726"/>
    <w:rsid w:val="00221542"/>
    <w:rsid w:val="00257FFB"/>
    <w:rsid w:val="0027185E"/>
    <w:rsid w:val="00274B61"/>
    <w:rsid w:val="00282018"/>
    <w:rsid w:val="00297810"/>
    <w:rsid w:val="002A300F"/>
    <w:rsid w:val="002A6906"/>
    <w:rsid w:val="002B75FF"/>
    <w:rsid w:val="002C43D6"/>
    <w:rsid w:val="002D0241"/>
    <w:rsid w:val="002D03DE"/>
    <w:rsid w:val="002E1919"/>
    <w:rsid w:val="002E310B"/>
    <w:rsid w:val="002F6585"/>
    <w:rsid w:val="00354BC6"/>
    <w:rsid w:val="00360422"/>
    <w:rsid w:val="00361D5C"/>
    <w:rsid w:val="003705A2"/>
    <w:rsid w:val="00394A20"/>
    <w:rsid w:val="00396BF8"/>
    <w:rsid w:val="00397600"/>
    <w:rsid w:val="003A7241"/>
    <w:rsid w:val="003B2CA3"/>
    <w:rsid w:val="003C5439"/>
    <w:rsid w:val="003D3F48"/>
    <w:rsid w:val="003F6B29"/>
    <w:rsid w:val="0040202A"/>
    <w:rsid w:val="0043479D"/>
    <w:rsid w:val="0044574E"/>
    <w:rsid w:val="00447993"/>
    <w:rsid w:val="00453611"/>
    <w:rsid w:val="004609AD"/>
    <w:rsid w:val="00485624"/>
    <w:rsid w:val="004937D5"/>
    <w:rsid w:val="00497829"/>
    <w:rsid w:val="004C24EC"/>
    <w:rsid w:val="004D296C"/>
    <w:rsid w:val="004D2C90"/>
    <w:rsid w:val="004F12ED"/>
    <w:rsid w:val="00503313"/>
    <w:rsid w:val="00512273"/>
    <w:rsid w:val="00514BDB"/>
    <w:rsid w:val="0055157D"/>
    <w:rsid w:val="00570BB1"/>
    <w:rsid w:val="00573643"/>
    <w:rsid w:val="00583DDD"/>
    <w:rsid w:val="005967CB"/>
    <w:rsid w:val="00596FEF"/>
    <w:rsid w:val="005A0C20"/>
    <w:rsid w:val="005A369D"/>
    <w:rsid w:val="005A529F"/>
    <w:rsid w:val="005A6867"/>
    <w:rsid w:val="005A7C3C"/>
    <w:rsid w:val="005B23EA"/>
    <w:rsid w:val="005C69FD"/>
    <w:rsid w:val="005C7A81"/>
    <w:rsid w:val="006046E4"/>
    <w:rsid w:val="00620E4A"/>
    <w:rsid w:val="0062597B"/>
    <w:rsid w:val="00654CF0"/>
    <w:rsid w:val="006855A2"/>
    <w:rsid w:val="006B3E8F"/>
    <w:rsid w:val="006D61E7"/>
    <w:rsid w:val="006E24CE"/>
    <w:rsid w:val="006E3E61"/>
    <w:rsid w:val="006E4F68"/>
    <w:rsid w:val="006F164F"/>
    <w:rsid w:val="006F18F8"/>
    <w:rsid w:val="006F7504"/>
    <w:rsid w:val="0070014E"/>
    <w:rsid w:val="0070583F"/>
    <w:rsid w:val="007262D5"/>
    <w:rsid w:val="00726DFC"/>
    <w:rsid w:val="00733141"/>
    <w:rsid w:val="007444F1"/>
    <w:rsid w:val="00774900"/>
    <w:rsid w:val="00795478"/>
    <w:rsid w:val="007C3198"/>
    <w:rsid w:val="007D1D71"/>
    <w:rsid w:val="007D6A85"/>
    <w:rsid w:val="007F5DE0"/>
    <w:rsid w:val="00806F1A"/>
    <w:rsid w:val="008162D4"/>
    <w:rsid w:val="00821C33"/>
    <w:rsid w:val="00861B76"/>
    <w:rsid w:val="0086413C"/>
    <w:rsid w:val="008901D1"/>
    <w:rsid w:val="00893329"/>
    <w:rsid w:val="008B76F7"/>
    <w:rsid w:val="008C5198"/>
    <w:rsid w:val="008D305E"/>
    <w:rsid w:val="008F46FA"/>
    <w:rsid w:val="00905CE0"/>
    <w:rsid w:val="00942C7F"/>
    <w:rsid w:val="009456A3"/>
    <w:rsid w:val="00961CDF"/>
    <w:rsid w:val="0096377F"/>
    <w:rsid w:val="00982850"/>
    <w:rsid w:val="009C385B"/>
    <w:rsid w:val="00A35253"/>
    <w:rsid w:val="00A40ABC"/>
    <w:rsid w:val="00A46058"/>
    <w:rsid w:val="00A57839"/>
    <w:rsid w:val="00A929C0"/>
    <w:rsid w:val="00AA3A8A"/>
    <w:rsid w:val="00AA3BCA"/>
    <w:rsid w:val="00AC3E15"/>
    <w:rsid w:val="00AD778D"/>
    <w:rsid w:val="00B15777"/>
    <w:rsid w:val="00B16132"/>
    <w:rsid w:val="00B41CE5"/>
    <w:rsid w:val="00B4441E"/>
    <w:rsid w:val="00B5418F"/>
    <w:rsid w:val="00B6002F"/>
    <w:rsid w:val="00B72D63"/>
    <w:rsid w:val="00B755AA"/>
    <w:rsid w:val="00B84C1E"/>
    <w:rsid w:val="00BB10C9"/>
    <w:rsid w:val="00BC26A2"/>
    <w:rsid w:val="00BC38B2"/>
    <w:rsid w:val="00BD531D"/>
    <w:rsid w:val="00C017A7"/>
    <w:rsid w:val="00C04F11"/>
    <w:rsid w:val="00C26F5D"/>
    <w:rsid w:val="00C306C9"/>
    <w:rsid w:val="00C35F2D"/>
    <w:rsid w:val="00C5655E"/>
    <w:rsid w:val="00C65E15"/>
    <w:rsid w:val="00C76604"/>
    <w:rsid w:val="00C77243"/>
    <w:rsid w:val="00C92100"/>
    <w:rsid w:val="00CA5060"/>
    <w:rsid w:val="00CB32BB"/>
    <w:rsid w:val="00CB3EED"/>
    <w:rsid w:val="00CD17BB"/>
    <w:rsid w:val="00CD1DE4"/>
    <w:rsid w:val="00CE634C"/>
    <w:rsid w:val="00CE6DA7"/>
    <w:rsid w:val="00D26235"/>
    <w:rsid w:val="00D27BF9"/>
    <w:rsid w:val="00D319A0"/>
    <w:rsid w:val="00D42F5B"/>
    <w:rsid w:val="00D559D7"/>
    <w:rsid w:val="00D93026"/>
    <w:rsid w:val="00DA1BED"/>
    <w:rsid w:val="00DC2395"/>
    <w:rsid w:val="00DC456A"/>
    <w:rsid w:val="00DC6FD2"/>
    <w:rsid w:val="00DD09AD"/>
    <w:rsid w:val="00DD4962"/>
    <w:rsid w:val="00DD701D"/>
    <w:rsid w:val="00DD7EE6"/>
    <w:rsid w:val="00E2504D"/>
    <w:rsid w:val="00E33A2A"/>
    <w:rsid w:val="00E5337E"/>
    <w:rsid w:val="00E84212"/>
    <w:rsid w:val="00E91438"/>
    <w:rsid w:val="00E94E59"/>
    <w:rsid w:val="00E96E13"/>
    <w:rsid w:val="00EA296F"/>
    <w:rsid w:val="00EA4231"/>
    <w:rsid w:val="00EB5E13"/>
    <w:rsid w:val="00EB69C1"/>
    <w:rsid w:val="00EE0C87"/>
    <w:rsid w:val="00F13155"/>
    <w:rsid w:val="00F33FD0"/>
    <w:rsid w:val="00F36DB7"/>
    <w:rsid w:val="00F42D90"/>
    <w:rsid w:val="00F67B84"/>
    <w:rsid w:val="00F80C23"/>
    <w:rsid w:val="00F80C83"/>
    <w:rsid w:val="00F90368"/>
    <w:rsid w:val="00F91F98"/>
    <w:rsid w:val="00F96A0B"/>
    <w:rsid w:val="00FB5143"/>
    <w:rsid w:val="00FC568C"/>
    <w:rsid w:val="00FD155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505A5B5"/>
  <w15:docId w15:val="{FBB342CD-4F3E-4D51-A572-04B3CFC2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C385B"/>
    <w:pPr>
      <w:tabs>
        <w:tab w:val="center" w:pos="4536"/>
        <w:tab w:val="right" w:pos="9072"/>
      </w:tabs>
      <w:spacing w:line="240" w:lineRule="auto"/>
    </w:pPr>
  </w:style>
  <w:style w:type="character" w:customStyle="1" w:styleId="KoptekstChar">
    <w:name w:val="Koptekst Char"/>
    <w:basedOn w:val="DefaultParagraphFont"/>
    <w:link w:val="Header"/>
    <w:uiPriority w:val="99"/>
    <w:rsid w:val="009C385B"/>
    <w:rPr>
      <w:rFonts w:ascii="Verdana" w:hAnsi="Verdana"/>
      <w:color w:val="000000"/>
      <w:sz w:val="18"/>
      <w:szCs w:val="18"/>
    </w:rPr>
  </w:style>
  <w:style w:type="paragraph" w:styleId="Footer">
    <w:name w:val="footer"/>
    <w:basedOn w:val="Normal"/>
    <w:link w:val="VoettekstChar"/>
    <w:uiPriority w:val="99"/>
    <w:unhideWhenUsed/>
    <w:rsid w:val="009C385B"/>
    <w:pPr>
      <w:tabs>
        <w:tab w:val="center" w:pos="4536"/>
        <w:tab w:val="right" w:pos="9072"/>
      </w:tabs>
      <w:spacing w:line="240" w:lineRule="auto"/>
    </w:pPr>
  </w:style>
  <w:style w:type="character" w:customStyle="1" w:styleId="VoettekstChar">
    <w:name w:val="Voettekst Char"/>
    <w:basedOn w:val="DefaultParagraphFont"/>
    <w:link w:val="Footer"/>
    <w:uiPriority w:val="99"/>
    <w:rsid w:val="009C385B"/>
    <w:rPr>
      <w:rFonts w:ascii="Verdana" w:hAnsi="Verdana"/>
      <w:color w:val="000000"/>
      <w:sz w:val="18"/>
      <w:szCs w:val="18"/>
    </w:rPr>
  </w:style>
  <w:style w:type="paragraph" w:styleId="Revision">
    <w:name w:val="Revision"/>
    <w:hidden/>
    <w:uiPriority w:val="99"/>
    <w:semiHidden/>
    <w:rsid w:val="000D690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705A2"/>
    <w:rPr>
      <w:sz w:val="16"/>
      <w:szCs w:val="16"/>
    </w:rPr>
  </w:style>
  <w:style w:type="paragraph" w:styleId="CommentText">
    <w:name w:val="annotation text"/>
    <w:basedOn w:val="Normal"/>
    <w:link w:val="TekstopmerkingChar"/>
    <w:uiPriority w:val="99"/>
    <w:unhideWhenUsed/>
    <w:rsid w:val="003705A2"/>
    <w:pPr>
      <w:spacing w:line="240" w:lineRule="auto"/>
    </w:pPr>
    <w:rPr>
      <w:sz w:val="20"/>
      <w:szCs w:val="20"/>
    </w:rPr>
  </w:style>
  <w:style w:type="character" w:customStyle="1" w:styleId="TekstopmerkingChar">
    <w:name w:val="Tekst opmerking Char"/>
    <w:basedOn w:val="DefaultParagraphFont"/>
    <w:link w:val="CommentText"/>
    <w:uiPriority w:val="99"/>
    <w:rsid w:val="003705A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705A2"/>
    <w:rPr>
      <w:b/>
      <w:bCs/>
    </w:rPr>
  </w:style>
  <w:style w:type="character" w:customStyle="1" w:styleId="OnderwerpvanopmerkingChar">
    <w:name w:val="Onderwerp van opmerking Char"/>
    <w:basedOn w:val="TekstopmerkingChar"/>
    <w:link w:val="CommentSubject"/>
    <w:uiPriority w:val="99"/>
    <w:semiHidden/>
    <w:rsid w:val="003705A2"/>
    <w:rPr>
      <w:rFonts w:ascii="Verdana" w:hAnsi="Verdana"/>
      <w:b/>
      <w:bCs/>
      <w:color w:val="000000"/>
    </w:rPr>
  </w:style>
  <w:style w:type="character" w:styleId="UnresolvedMention">
    <w:name w:val="Unresolved Mention"/>
    <w:basedOn w:val="DefaultParagraphFont"/>
    <w:uiPriority w:val="99"/>
    <w:semiHidden/>
    <w:unhideWhenUsed/>
    <w:rsid w:val="00573643"/>
    <w:rPr>
      <w:color w:val="605E5C"/>
      <w:shd w:val="clear" w:color="auto" w:fill="E1DFDD"/>
    </w:rPr>
  </w:style>
  <w:style w:type="paragraph" w:styleId="ListParagraph">
    <w:name w:val="List Paragraph"/>
    <w:basedOn w:val="Normal"/>
    <w:uiPriority w:val="34"/>
    <w:qFormat/>
    <w:rsid w:val="00CA5060"/>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0863D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0863DA"/>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863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4520</ap:Words>
  <ap:Characters>24864</ap:Characters>
  <ap:DocSecurity>0</ap:DocSecurity>
  <ap:Lines>207</ap:Lines>
  <ap:Paragraphs>58</ap:Paragraphs>
  <ap:ScaleCrop>false</ap:ScaleCrop>
  <ap:HeadingPairs>
    <vt:vector baseType="variant" size="2">
      <vt:variant>
        <vt:lpstr>Titel</vt:lpstr>
      </vt:variant>
      <vt:variant>
        <vt:i4>1</vt:i4>
      </vt:variant>
    </vt:vector>
  </ap:HeadingPairs>
  <ap:TitlesOfParts>
    <vt:vector baseType="lpstr" size="1">
      <vt:lpstr>AMvB - wijzigingen van het Besluit toegelaten instellingen volkshuisvesting 2015</vt:lpstr>
    </vt:vector>
  </ap:TitlesOfParts>
  <ap:LinksUpToDate>false</ap:LinksUpToDate>
  <ap:CharactersWithSpaces>29326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2026-04-07T06:45:00.0000000Z</dcterms:created>
  <dcterms:modified xsi:type="dcterms:W3CDTF">2026-04-07T06:45:00.0000000Z</dcterms:modified>
  <dc:creator/>
  <lastModifiedBy/>
  <dc:description>------------------------</dc:description>
  <dc:subject/>
  <keywords/>
  <version/>
  <category/>
</coreProperties>
</file>