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39B9763" w14:textId="77777777">
        <w:tc>
          <w:tcPr>
            <w:tcW w:w="6733" w:type="dxa"/>
            <w:gridSpan w:val="2"/>
            <w:tcBorders>
              <w:top w:val="nil"/>
              <w:left w:val="nil"/>
              <w:bottom w:val="nil"/>
              <w:right w:val="nil"/>
            </w:tcBorders>
            <w:vAlign w:val="center"/>
          </w:tcPr>
          <w:p w:rsidR="00997775" w:rsidP="00710A7A" w:rsidRDefault="00997775" w14:paraId="5FCB7EC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CCB703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B96E0F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0B8269" w14:textId="77777777">
            <w:r w:rsidRPr="008B0CC5">
              <w:t xml:space="preserve">Vergaderjaar </w:t>
            </w:r>
            <w:r w:rsidR="00AC6B87">
              <w:t>202</w:t>
            </w:r>
            <w:r w:rsidR="00684DFF">
              <w:t>5</w:t>
            </w:r>
            <w:r w:rsidR="00AC6B87">
              <w:t>-202</w:t>
            </w:r>
            <w:r w:rsidR="00684DFF">
              <w:t>6</w:t>
            </w:r>
          </w:p>
        </w:tc>
      </w:tr>
      <w:tr w:rsidR="00997775" w14:paraId="483ECAEA" w14:textId="77777777">
        <w:trPr>
          <w:cantSplit/>
        </w:trPr>
        <w:tc>
          <w:tcPr>
            <w:tcW w:w="10985" w:type="dxa"/>
            <w:gridSpan w:val="3"/>
            <w:tcBorders>
              <w:top w:val="nil"/>
              <w:left w:val="nil"/>
              <w:bottom w:val="nil"/>
              <w:right w:val="nil"/>
            </w:tcBorders>
          </w:tcPr>
          <w:p w:rsidR="00997775" w:rsidRDefault="00997775" w14:paraId="56424ADC" w14:textId="77777777"/>
        </w:tc>
      </w:tr>
      <w:tr w:rsidR="00997775" w14:paraId="62417831" w14:textId="77777777">
        <w:trPr>
          <w:cantSplit/>
        </w:trPr>
        <w:tc>
          <w:tcPr>
            <w:tcW w:w="10985" w:type="dxa"/>
            <w:gridSpan w:val="3"/>
            <w:tcBorders>
              <w:top w:val="nil"/>
              <w:left w:val="nil"/>
              <w:bottom w:val="single" w:color="auto" w:sz="4" w:space="0"/>
              <w:right w:val="nil"/>
            </w:tcBorders>
          </w:tcPr>
          <w:p w:rsidR="00997775" w:rsidRDefault="00997775" w14:paraId="2BFB498D" w14:textId="77777777"/>
        </w:tc>
      </w:tr>
      <w:tr w:rsidR="00997775" w14:paraId="606456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ACE511" w14:textId="77777777"/>
        </w:tc>
        <w:tc>
          <w:tcPr>
            <w:tcW w:w="7654" w:type="dxa"/>
            <w:gridSpan w:val="2"/>
          </w:tcPr>
          <w:p w:rsidR="00997775" w:rsidRDefault="00997775" w14:paraId="77DC7AEA" w14:textId="77777777"/>
        </w:tc>
      </w:tr>
      <w:tr w:rsidR="00997775" w14:paraId="375923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53DCA" w14:paraId="045BF618" w14:textId="00652DAB">
            <w:pPr>
              <w:rPr>
                <w:b/>
              </w:rPr>
            </w:pPr>
            <w:r>
              <w:rPr>
                <w:b/>
              </w:rPr>
              <w:t>31 409</w:t>
            </w:r>
          </w:p>
        </w:tc>
        <w:tc>
          <w:tcPr>
            <w:tcW w:w="7654" w:type="dxa"/>
            <w:gridSpan w:val="2"/>
          </w:tcPr>
          <w:p w:rsidRPr="00953DCA" w:rsidR="00997775" w:rsidP="00A07C71" w:rsidRDefault="00953DCA" w14:paraId="56FCB283" w14:textId="3B49174C">
            <w:pPr>
              <w:rPr>
                <w:b/>
                <w:bCs/>
              </w:rPr>
            </w:pPr>
            <w:r w:rsidRPr="00953DCA">
              <w:rPr>
                <w:b/>
                <w:bCs/>
              </w:rPr>
              <w:t>Zee- en binnenvaart</w:t>
            </w:r>
          </w:p>
        </w:tc>
      </w:tr>
      <w:tr w:rsidR="00997775" w14:paraId="3C12C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B301FE" w14:textId="77777777"/>
        </w:tc>
        <w:tc>
          <w:tcPr>
            <w:tcW w:w="7654" w:type="dxa"/>
            <w:gridSpan w:val="2"/>
          </w:tcPr>
          <w:p w:rsidR="00997775" w:rsidRDefault="00997775" w14:paraId="7B606515" w14:textId="77777777"/>
        </w:tc>
      </w:tr>
      <w:tr w:rsidR="00997775" w14:paraId="0D8E4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981FDB" w14:textId="77777777"/>
        </w:tc>
        <w:tc>
          <w:tcPr>
            <w:tcW w:w="7654" w:type="dxa"/>
            <w:gridSpan w:val="2"/>
          </w:tcPr>
          <w:p w:rsidR="00997775" w:rsidRDefault="00997775" w14:paraId="050AE20A" w14:textId="77777777"/>
        </w:tc>
      </w:tr>
      <w:tr w:rsidR="00997775" w14:paraId="6E412A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22C901" w14:textId="46E8538F">
            <w:pPr>
              <w:rPr>
                <w:b/>
              </w:rPr>
            </w:pPr>
            <w:r>
              <w:rPr>
                <w:b/>
              </w:rPr>
              <w:t xml:space="preserve">Nr. </w:t>
            </w:r>
            <w:r w:rsidR="00953DCA">
              <w:rPr>
                <w:b/>
              </w:rPr>
              <w:t>500</w:t>
            </w:r>
          </w:p>
        </w:tc>
        <w:tc>
          <w:tcPr>
            <w:tcW w:w="7654" w:type="dxa"/>
            <w:gridSpan w:val="2"/>
          </w:tcPr>
          <w:p w:rsidR="00997775" w:rsidRDefault="00997775" w14:paraId="1F85E223" w14:textId="3116736F">
            <w:pPr>
              <w:rPr>
                <w:b/>
              </w:rPr>
            </w:pPr>
            <w:r>
              <w:rPr>
                <w:b/>
              </w:rPr>
              <w:t xml:space="preserve">MOTIE VAN </w:t>
            </w:r>
            <w:r w:rsidR="00953DCA">
              <w:rPr>
                <w:b/>
              </w:rPr>
              <w:t>HET LID BOELSMA-HOEKSTRA C.S.</w:t>
            </w:r>
          </w:p>
        </w:tc>
      </w:tr>
      <w:tr w:rsidR="00997775" w14:paraId="4B4FA1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F871DF" w14:textId="77777777"/>
        </w:tc>
        <w:tc>
          <w:tcPr>
            <w:tcW w:w="7654" w:type="dxa"/>
            <w:gridSpan w:val="2"/>
          </w:tcPr>
          <w:p w:rsidR="00997775" w:rsidP="00280D6A" w:rsidRDefault="00997775" w14:paraId="5A3556CB" w14:textId="5DD07ECD">
            <w:r>
              <w:t>Voorgesteld</w:t>
            </w:r>
            <w:r w:rsidR="00280D6A">
              <w:t xml:space="preserve"> </w:t>
            </w:r>
            <w:r w:rsidR="00953DCA">
              <w:t>8 april 2026</w:t>
            </w:r>
          </w:p>
        </w:tc>
      </w:tr>
      <w:tr w:rsidR="00997775" w14:paraId="07825E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ED0FD2" w14:textId="77777777"/>
        </w:tc>
        <w:tc>
          <w:tcPr>
            <w:tcW w:w="7654" w:type="dxa"/>
            <w:gridSpan w:val="2"/>
          </w:tcPr>
          <w:p w:rsidR="00997775" w:rsidRDefault="00997775" w14:paraId="4984D23E" w14:textId="77777777"/>
        </w:tc>
      </w:tr>
      <w:tr w:rsidR="00997775" w14:paraId="659CBF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5E13A7" w14:textId="77777777"/>
        </w:tc>
        <w:tc>
          <w:tcPr>
            <w:tcW w:w="7654" w:type="dxa"/>
            <w:gridSpan w:val="2"/>
          </w:tcPr>
          <w:p w:rsidR="00997775" w:rsidRDefault="00997775" w14:paraId="4724B0BB" w14:textId="77777777">
            <w:r>
              <w:t>De Kamer,</w:t>
            </w:r>
          </w:p>
        </w:tc>
      </w:tr>
      <w:tr w:rsidR="00997775" w14:paraId="03E0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606D2F" w14:textId="77777777"/>
        </w:tc>
        <w:tc>
          <w:tcPr>
            <w:tcW w:w="7654" w:type="dxa"/>
            <w:gridSpan w:val="2"/>
          </w:tcPr>
          <w:p w:rsidR="00997775" w:rsidRDefault="00997775" w14:paraId="13497380" w14:textId="77777777"/>
        </w:tc>
      </w:tr>
      <w:tr w:rsidR="00997775" w14:paraId="79E850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D8ACCC" w14:textId="77777777"/>
        </w:tc>
        <w:tc>
          <w:tcPr>
            <w:tcW w:w="7654" w:type="dxa"/>
            <w:gridSpan w:val="2"/>
          </w:tcPr>
          <w:p w:rsidR="00997775" w:rsidRDefault="00997775" w14:paraId="1669F4FD" w14:textId="77777777">
            <w:r>
              <w:t>gehoord de beraadslaging,</w:t>
            </w:r>
          </w:p>
        </w:tc>
      </w:tr>
      <w:tr w:rsidR="00997775" w14:paraId="4A52B3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630AA4" w14:textId="77777777"/>
        </w:tc>
        <w:tc>
          <w:tcPr>
            <w:tcW w:w="7654" w:type="dxa"/>
            <w:gridSpan w:val="2"/>
          </w:tcPr>
          <w:p w:rsidR="00997775" w:rsidRDefault="00997775" w14:paraId="529C1EB4" w14:textId="77777777"/>
        </w:tc>
      </w:tr>
      <w:tr w:rsidR="00997775" w14:paraId="4EFC91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B00894" w14:textId="77777777"/>
        </w:tc>
        <w:tc>
          <w:tcPr>
            <w:tcW w:w="7654" w:type="dxa"/>
            <w:gridSpan w:val="2"/>
          </w:tcPr>
          <w:p w:rsidR="00953DCA" w:rsidP="00953DCA" w:rsidRDefault="00953DCA" w14:paraId="4426343F" w14:textId="77777777">
            <w:r>
              <w:t>constaterende dat de Europese Commissie onlangs de Europese havenstrategie heeft gepresenteerd, in navolging van het rapporteursverslag-Berendsen, waarin werd geconstateerd dat onze havens de poort zijn tot Europa, maar we de sleutels uit handen hebben gegeven;</w:t>
            </w:r>
          </w:p>
          <w:p w:rsidR="00953DCA" w:rsidP="00953DCA" w:rsidRDefault="00953DCA" w14:paraId="3F70972A" w14:textId="77777777"/>
          <w:p w:rsidR="00953DCA" w:rsidP="00953DCA" w:rsidRDefault="00953DCA" w14:paraId="08AF3938" w14:textId="77777777">
            <w:r>
              <w:t>overwegende het belang dat de Kamer hecht aan deze Europese havenstrategie en het tegengaan van buitenlandse inmenging in onze havens, getuige de in 2022 aangenomen motie-Van der Molen/</w:t>
            </w:r>
            <w:proofErr w:type="spellStart"/>
            <w:r>
              <w:t>Koerhuis</w:t>
            </w:r>
            <w:proofErr w:type="spellEnd"/>
            <w:r>
              <w:t xml:space="preserve"> over dit onderwerp;</w:t>
            </w:r>
          </w:p>
          <w:p w:rsidR="00953DCA" w:rsidP="00953DCA" w:rsidRDefault="00953DCA" w14:paraId="5E84865A" w14:textId="77777777"/>
          <w:p w:rsidR="00953DCA" w:rsidP="00953DCA" w:rsidRDefault="00953DCA" w14:paraId="4532D523" w14:textId="77777777">
            <w:r>
              <w:t xml:space="preserve">overwegende dat de regering zich recent, in het geval van </w:t>
            </w:r>
            <w:proofErr w:type="spellStart"/>
            <w:r>
              <w:t>Nexperia</w:t>
            </w:r>
            <w:proofErr w:type="spellEnd"/>
            <w:r>
              <w:t>, genoodzaakt zag om een noodwet in te zetten vanwege risico's voor de nationale veiligheid, strategische autonomie en het ontstaan van ongewenste afhankelijkheden;</w:t>
            </w:r>
          </w:p>
          <w:p w:rsidR="00953DCA" w:rsidP="00953DCA" w:rsidRDefault="00953DCA" w14:paraId="6307723A" w14:textId="77777777"/>
          <w:p w:rsidR="00953DCA" w:rsidP="00953DCA" w:rsidRDefault="00953DCA" w14:paraId="4A27779B" w14:textId="77777777">
            <w:r>
              <w:t>overwegende dat een belangrijk deel van terminals en overslagcapaciteit in Nederlandse havens in buitenlandse handen is;</w:t>
            </w:r>
          </w:p>
          <w:p w:rsidR="00953DCA" w:rsidP="00953DCA" w:rsidRDefault="00953DCA" w14:paraId="724AC2C5" w14:textId="77777777"/>
          <w:p w:rsidR="00953DCA" w:rsidP="00953DCA" w:rsidRDefault="00953DCA" w14:paraId="6724519E" w14:textId="77777777">
            <w:r>
              <w:t xml:space="preserve">verzoekt de regering de weerbaarheid en economische veiligheid aan te pakken door kritieke entiteiten aan te wijzen onder de Wet weerbaarheid kritieke entiteiten, de Cyberbeveiligingswet, de Wet veiligheidstoets investeringen, fusies en overnames (Wet </w:t>
            </w:r>
            <w:proofErr w:type="spellStart"/>
            <w:r>
              <w:t>vifo</w:t>
            </w:r>
            <w:proofErr w:type="spellEnd"/>
            <w:r>
              <w:t>), de risico's van de toeleveranciersketen aan te pakken met de Aanbestedingswet op defensie- en veiligheidsgebied, en de Kamer daar na de zomer van 2026 over te informeren;</w:t>
            </w:r>
          </w:p>
          <w:p w:rsidR="00953DCA" w:rsidP="00953DCA" w:rsidRDefault="00953DCA" w14:paraId="75721872" w14:textId="77777777"/>
          <w:p w:rsidR="00953DCA" w:rsidP="00953DCA" w:rsidRDefault="00953DCA" w14:paraId="775C1235" w14:textId="77777777">
            <w:r>
              <w:t>verzoekt de regering de wenselijkheid van een maximumpercentage voor het aantal terminals in Nederlandse havens dat in buitenlandse handen mag zijn te onderzoeken en hier indien daartoe aanleiding bestaat nadien actief op te sturen;</w:t>
            </w:r>
          </w:p>
          <w:p w:rsidR="00953DCA" w:rsidP="00953DCA" w:rsidRDefault="00953DCA" w14:paraId="3A85C5E0" w14:textId="77777777"/>
          <w:p w:rsidR="00953DCA" w:rsidP="00953DCA" w:rsidRDefault="00953DCA" w14:paraId="2233661B" w14:textId="77777777">
            <w:r>
              <w:lastRenderedPageBreak/>
              <w:t>verzoekt de regering om in samenwerking met havenbedrijven en andere partners de (wettelijke) mogelijkheden voor een noodknopprocedure te onderzoeken om schadelijke buitenlandse inmenging tegen te gaan, met daarin duidelijke grenzen voor wanneer de risico's op spionage, sabotage of economische afhankelijkheid door buitenlandse inmenging te groot zijn,</w:t>
            </w:r>
          </w:p>
          <w:p w:rsidR="00953DCA" w:rsidP="00953DCA" w:rsidRDefault="00953DCA" w14:paraId="0D7AF09B" w14:textId="77777777"/>
          <w:p w:rsidR="00953DCA" w:rsidP="00953DCA" w:rsidRDefault="00953DCA" w14:paraId="28E0CE2F" w14:textId="77777777">
            <w:r>
              <w:t>en gaat over tot de orde van de dag.</w:t>
            </w:r>
          </w:p>
          <w:p w:rsidR="00953DCA" w:rsidP="00953DCA" w:rsidRDefault="00953DCA" w14:paraId="375B5FD4" w14:textId="77777777"/>
          <w:p w:rsidR="00953DCA" w:rsidP="00953DCA" w:rsidRDefault="00953DCA" w14:paraId="3E437F59" w14:textId="77777777">
            <w:proofErr w:type="spellStart"/>
            <w:r>
              <w:t>Boelsma</w:t>
            </w:r>
            <w:proofErr w:type="spellEnd"/>
            <w:r>
              <w:t>-Hoekstra</w:t>
            </w:r>
          </w:p>
          <w:p w:rsidR="00953DCA" w:rsidP="00953DCA" w:rsidRDefault="00953DCA" w14:paraId="4628D960" w14:textId="77777777">
            <w:r>
              <w:t>Stoffer</w:t>
            </w:r>
          </w:p>
          <w:p w:rsidR="00953DCA" w:rsidP="00953DCA" w:rsidRDefault="00953DCA" w14:paraId="23BB0C37" w14:textId="77777777">
            <w:r>
              <w:t>Goudzwaard</w:t>
            </w:r>
          </w:p>
          <w:p w:rsidR="00953DCA" w:rsidP="00953DCA" w:rsidRDefault="00953DCA" w14:paraId="00DDD446" w14:textId="77777777">
            <w:proofErr w:type="spellStart"/>
            <w:r>
              <w:t>Grinwis</w:t>
            </w:r>
            <w:proofErr w:type="spellEnd"/>
          </w:p>
          <w:p w:rsidR="00953DCA" w:rsidP="00953DCA" w:rsidRDefault="00953DCA" w14:paraId="6897116B" w14:textId="77777777">
            <w:r>
              <w:t>Vellinga-Beemsterboer</w:t>
            </w:r>
          </w:p>
          <w:p w:rsidR="00997775" w:rsidP="00953DCA" w:rsidRDefault="00953DCA" w14:paraId="39460A0E" w14:textId="0684121D">
            <w:proofErr w:type="spellStart"/>
            <w:r>
              <w:t>Kröger</w:t>
            </w:r>
            <w:proofErr w:type="spellEnd"/>
          </w:p>
        </w:tc>
      </w:tr>
    </w:tbl>
    <w:p w:rsidR="00997775" w:rsidRDefault="00997775" w14:paraId="4A601FF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3856F" w14:textId="77777777" w:rsidR="00953DCA" w:rsidRDefault="00953DCA">
      <w:pPr>
        <w:spacing w:line="20" w:lineRule="exact"/>
      </w:pPr>
    </w:p>
  </w:endnote>
  <w:endnote w:type="continuationSeparator" w:id="0">
    <w:p w14:paraId="623944F2" w14:textId="77777777" w:rsidR="00953DCA" w:rsidRDefault="00953DCA">
      <w:pPr>
        <w:pStyle w:val="Amendement"/>
      </w:pPr>
      <w:r>
        <w:rPr>
          <w:b w:val="0"/>
        </w:rPr>
        <w:t xml:space="preserve"> </w:t>
      </w:r>
    </w:p>
  </w:endnote>
  <w:endnote w:type="continuationNotice" w:id="1">
    <w:p w14:paraId="6C0EA187" w14:textId="77777777" w:rsidR="00953DCA" w:rsidRDefault="00953D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D427E" w14:textId="77777777" w:rsidR="00953DCA" w:rsidRDefault="00953DCA">
      <w:pPr>
        <w:pStyle w:val="Amendement"/>
      </w:pPr>
      <w:r>
        <w:rPr>
          <w:b w:val="0"/>
        </w:rPr>
        <w:separator/>
      </w:r>
    </w:p>
  </w:footnote>
  <w:footnote w:type="continuationSeparator" w:id="0">
    <w:p w14:paraId="4D7954FB" w14:textId="77777777" w:rsidR="00953DCA" w:rsidRDefault="00953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CA"/>
    <w:rsid w:val="00133FCE"/>
    <w:rsid w:val="001E482C"/>
    <w:rsid w:val="001E4877"/>
    <w:rsid w:val="0021105A"/>
    <w:rsid w:val="00280D6A"/>
    <w:rsid w:val="002B78E9"/>
    <w:rsid w:val="002C5406"/>
    <w:rsid w:val="00330D60"/>
    <w:rsid w:val="00345A5C"/>
    <w:rsid w:val="003F71A1"/>
    <w:rsid w:val="00476415"/>
    <w:rsid w:val="004C586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53DCA"/>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13FD7"/>
  <w15:docId w15:val="{A6F4B813-CC21-4398-BBF1-587FD14C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337</ap:Words>
  <ap:Characters>1855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2188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2026-04-13T06:40:00.0000000Z</dcterms:created>
  <dcterms:modified xsi:type="dcterms:W3CDTF">2026-04-13T06:45:00.0000000Z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