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2026Z07348</w:t>
        <w:br/>
      </w:r>
      <w:proofErr w:type="spellEnd"/>
    </w:p>
    <w:p>
      <w:pPr>
        <w:pStyle w:val="Normal"/>
        <w:rPr>
          <w:b w:val="1"/>
          <w:bCs w:val="1"/>
        </w:rPr>
      </w:pPr>
      <w:r w:rsidR="250AE766">
        <w:rPr>
          <w:b w:val="0"/>
          <w:bCs w:val="0"/>
        </w:rPr>
        <w:t>(ingezonden 8 april 2026)</w:t>
        <w:br/>
      </w:r>
    </w:p>
    <w:p>
      <w:r>
        <w:t xml:space="preserve">Vragen van het lid Bikker (ChristenUnie) aan de minister van Justitie en Veiligheid over het bericht dat de Nederlandse politie een verdachte heeft gearresteerd in verband met explosies in Duitsland</w:t>
      </w:r>
      <w:r>
        <w:br/>
      </w:r>
    </w:p>
    <w:p>
      <w:r>
        <w:t xml:space="preserve"> </w:t>
      </w:r>
      <w:r>
        <w:br/>
      </w:r>
    </w:p>
    <w:p>
      <w:pPr>
        <w:pStyle w:val="ListParagraph"/>
        <w:numPr>
          <w:ilvl w:val="0"/>
          <w:numId w:val="100503340"/>
        </w:numPr>
        <w:ind w:left="360"/>
      </w:pPr>
      <w:r>
        <w:t xml:space="preserve">Heeft u kennisgenomen van het bericht ‘Dutch police arrest suspect linked to 2025 explosions in Germany[1]’? Heeft u tevens kennisgenomen van het rapport ‘Between victimhood and offending’ van de European insititute for crime prevention and control (HEUNI)[2]?</w:t>
      </w:r>
      <w:r>
        <w:br/>
      </w:r>
    </w:p>
    <w:p>
      <w:pPr>
        <w:pStyle w:val="ListParagraph"/>
        <w:numPr>
          <w:ilvl w:val="0"/>
          <w:numId w:val="100503340"/>
        </w:numPr>
        <w:ind w:left="360"/>
      </w:pPr>
      <w:r>
        <w:t xml:space="preserve">Bent u, met Europol, van mening dat het fenomeen geweld op bestelling een groeiend probleem is waarbij ook in Nederland kwetsbare jongeren worden geronseld? Deelt u de analyse van Europol dat hierbij ook sprake kan zijn van criminele uitbuiting? Hoeveel (minderjarige) Nederlandse plegers die over de grenzen heen actief zijn geweest, zijn er binnen deze taskforce inmiddels in beeld? Hoeveel zijn dat er in de afgelopen vier jaar, buiten deze taskforce om, in beeld geweest? Hoeveel van deze (minderjarige) plegers zijn tevens slachtoffer van criminele uitbuiting?</w:t>
      </w:r>
      <w:r>
        <w:br/>
      </w:r>
    </w:p>
    <w:p>
      <w:pPr>
        <w:pStyle w:val="ListParagraph"/>
        <w:numPr>
          <w:ilvl w:val="0"/>
          <w:numId w:val="100503340"/>
        </w:numPr>
        <w:ind w:left="360"/>
      </w:pPr>
      <w:r>
        <w:t xml:space="preserve">In hoeverre hebben de Nederlandse opsporingsdiensten voldoende zicht op criminele netwerken die kwetsbare jongeren ronselen en over landsgrenzen heen opereren? In hoeverre is er, naast de Europol-taskforce GRIMM, sprake van samenwerking tussen opsporingsdiensten in verschillende Europese landen om dit probleem het hoofd te bieden? Heeft u binnen het programma Preventie met Gezag, de ondermijningsaanpak en het programma Samen tegen Mensenhandel voldoende middelen om het fenomeen geweld op bestelling het hoofd te bieden? Zijn er aanvullende maatregelen nodig? Zo ja, welke?</w:t>
      </w:r>
      <w:r>
        <w:br/>
      </w:r>
    </w:p>
    <w:p>
      <w:pPr>
        <w:pStyle w:val="ListParagraph"/>
        <w:numPr>
          <w:ilvl w:val="0"/>
          <w:numId w:val="100503340"/>
        </w:numPr>
        <w:ind w:left="360"/>
      </w:pPr>
      <w:r>
        <w:t xml:space="preserve">Met welke online techbedrijven werkt Europol samen om zicht te krijgen op online ronselpraktijken en hoe zien deze programma’s eruit? Welke mogelijkheden ziet u om dergelijke techprogramma’s ook hier in Nederland uit te rollen? Ziet u hier mogelijkheden om mede ter uitvoering van de motie-Ceder (Kamerstuk 36800-VII, nr. 81) hier nader vorm aan te geven? Zo ja, welke?</w:t>
      </w:r>
      <w:r>
        <w:br/>
      </w:r>
    </w:p>
    <w:p>
      <w:pPr>
        <w:pStyle w:val="ListParagraph"/>
        <w:numPr>
          <w:ilvl w:val="0"/>
          <w:numId w:val="100503340"/>
        </w:numPr>
        <w:ind w:left="360"/>
      </w:pPr>
      <w:r>
        <w:t xml:space="preserve">Op welke wijze wordt er binnen de genoemde taskforce van Europol aandacht besteed aan de aanpak van criminele uitbuiting en de bescherming van slachtoffers, waaronder de toepassing van het non-punishmentbeginsel? Welke beschermingsmaatregelen worden binnen deze taskforce geboden? Is er daarnaast sprake van samenwerking met hulpinstanties over de grenzen heen, en zo ja, hoe ziet deze samenwerking eruit?</w:t>
      </w:r>
      <w:r>
        <w:br/>
      </w:r>
    </w:p>
    <w:p>
      <w:pPr>
        <w:pStyle w:val="ListParagraph"/>
        <w:numPr>
          <w:ilvl w:val="0"/>
          <w:numId w:val="100503340"/>
        </w:numPr>
        <w:ind w:left="360"/>
      </w:pPr>
      <w:r>
        <w:t xml:space="preserve">Kunt u aangeven op welke wijze het amendement aangaande de wettelijke verankering van het non-punishmentbeginsel[4], in lijn met een aanbeveling van GRETA[5], naar verwachting zal bijdragen aan het verminderen van de angst van slachtoffers om samen te werken met de politie? Op welke wijze gaat u, bijvoorbeeld binnen het programma Samen tegen Mensenhandel dat middels het regeerakkoord wordt voortgezet, er zorg voor dragen dat dit in de praktijk adequaat wordt toegepast? Ziet u op basis van het genoemde rapport best practises uit Scandinavië die we in Nederland zouden kunnen toepassen?</w:t>
      </w:r>
      <w:r>
        <w:br/>
      </w:r>
    </w:p>
    <w:p>
      <w:pPr>
        <w:pStyle w:val="ListParagraph"/>
        <w:numPr>
          <w:ilvl w:val="0"/>
          <w:numId w:val="100503340"/>
        </w:numPr>
        <w:ind w:left="360"/>
      </w:pPr>
      <w:r>
        <w:t xml:space="preserve">Op welke wijze past Nederland de lessen uit de uitspraak van het EHRM inzake V.C.L/A.N.[6] waarin het Verenigd Koninkrijk werd veroordeeld voor het schenden van artikel 4 en 6 van het Handvest omdat een slachtoffer van criminele uitbuiting werd veroordeeld voor een drugsdelict terwijl signalen van uitbuiting onvoldoende werden opgevolgd? Komt het in Nederland bijvoorbeeld voor dat een slachtoffer van criminele uitbuiting eerst wordt veroordeeld voor een delict terwijl in een separate strafzaak duidelijk wordt dat er sprake is van slachtofferschap mensenhandel?</w:t>
      </w:r>
      <w:r>
        <w:br/>
      </w:r>
    </w:p>
    <w:p>
      <w:pPr>
        <w:pStyle w:val="ListParagraph"/>
        <w:numPr>
          <w:ilvl w:val="0"/>
          <w:numId w:val="100503340"/>
        </w:numPr>
        <w:ind w:left="360"/>
      </w:pPr>
      <w:r>
        <w:t xml:space="preserve">Bent u van mening dat jongeren die vastzitten in de criminaliteit, waaronder van geweld op bestelling, over adequate mogelijkheden beschikken om hulp te krijgen? Welke hulpmiddelen zijn er voor deze jongeren beschikbaar? Ziet u op basis van het genoemde rapport van Heuni[7] best practises uit Scandinavië die in Nederland kunnen worden toegepast?</w:t>
      </w:r>
      <w:r>
        <w:br/>
      </w:r>
    </w:p>
    <w:p>
      <w:r>
        <w:t xml:space="preserve"> </w:t>
      </w:r>
      <w:r>
        <w:br/>
      </w:r>
    </w:p>
    <w:p>
      <w:r>
        <w:t xml:space="preserve"> </w:t>
      </w:r>
      <w:r>
        <w:br/>
      </w:r>
    </w:p>
    <w:p>
      <w:r>
        <w:t xml:space="preserve">[1] Europol, 4 maart 2026, Dutch Police arrest suspect linked to 2025 explosions in Germany (https://www.europol.europa.eu/media-press/newsroom/news/dutch-police-arrest-suspect-linked-to-2025-explosions-in-germany)</w:t>
      </w:r>
      <w:r>
        <w:br/>
      </w:r>
    </w:p>
    <w:p>
      <w:r>
        <w:t xml:space="preserve">[2] https://heuni.fi/-/112-nordic-youth-criminal-exploitation-and-trafficking#39906a5a</w:t>
      </w:r>
      <w:r>
        <w:br/>
      </w:r>
    </w:p>
    <w:p>
      <w:r>
        <w:t xml:space="preserve">[4] Kamerstuk 36547, nr. 14.</w:t>
      </w:r>
      <w:r>
        <w:br/>
      </w:r>
    </w:p>
    <w:p>
      <w:r>
        <w:t xml:space="preserve">[5] Kamerstuk 28638, nr. 260.</w:t>
      </w:r>
      <w:r>
        <w:br/>
      </w:r>
    </w:p>
    <w:p>
      <w:r>
        <w:t xml:space="preserve">[6] https://hudoc.echr.coe.int/fre#{%22itemid%22:[%22001-207927%22]} ; Zie ook ‘how should the non-punishment principle be applied’, pp. 83-86, Heuni-rapport</w:t>
      </w:r>
      <w:r>
        <w:br/>
      </w:r>
    </w:p>
    <w:p>
      <w:r>
        <w:t xml:space="preserve">[7] Zie: ‘what support do young people involved in gang crimes receive’. Pp. 68-71, Heuni-rapport.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