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097360" w14:paraId="22595CC6" w14:textId="77777777">
      <w:r>
        <w:t>Geachte Voorzitter,</w:t>
      </w:r>
      <w:r>
        <w:br/>
      </w:r>
    </w:p>
    <w:p w:rsidR="007F3645" w:rsidP="00CE78E9" w:rsidRDefault="00097360" w14:paraId="5948E6E7" w14:textId="1689116A">
      <w:pPr>
        <w:rPr>
          <w:szCs w:val="18"/>
        </w:rPr>
      </w:pPr>
      <w:r>
        <w:t xml:space="preserve">Hierbij zend ik u de antwoorden op de vragen van het lid </w:t>
      </w:r>
      <w:r w:rsidRPr="00A060C4" w:rsidR="00A060C4">
        <w:t>Jumelet (CDA) over de impact van de EU Methane Emissions Regulation op de leveringszekerheid van aardgas</w:t>
      </w:r>
      <w:r>
        <w:t xml:space="preserve"> (</w:t>
      </w:r>
      <w:r w:rsidRPr="00A060C4" w:rsidR="00A060C4">
        <w:t>2026Z04880</w:t>
      </w:r>
      <w:r>
        <w:t xml:space="preserve">, ingezonden </w:t>
      </w:r>
      <w:r w:rsidRPr="00A060C4" w:rsidR="00A060C4">
        <w:t>11 maart</w:t>
      </w:r>
      <w:r w:rsidR="00A060C4">
        <w:t xml:space="preserve"> 2026</w:t>
      </w:r>
      <w:r>
        <w:t xml:space="preserve">). </w:t>
      </w:r>
    </w:p>
    <w:p w:rsidR="002A189C" w:rsidP="00CE78E9" w:rsidRDefault="002A189C" w14:paraId="25CE69E9" w14:textId="77777777">
      <w:pPr>
        <w:rPr>
          <w:szCs w:val="18"/>
        </w:rPr>
      </w:pPr>
    </w:p>
    <w:p w:rsidR="002A189C" w:rsidP="002A189C" w:rsidRDefault="002A189C" w14:paraId="3AD61925" w14:textId="77777777">
      <w:pPr>
        <w:spacing w:after="200" w:line="276" w:lineRule="auto"/>
        <w:rPr>
          <w:szCs w:val="18"/>
        </w:rPr>
      </w:pPr>
    </w:p>
    <w:p w:rsidRPr="002A189C" w:rsidR="00A060C4" w:rsidP="002A189C" w:rsidRDefault="00A060C4" w14:paraId="4716E0CD" w14:textId="77777777">
      <w:pPr>
        <w:spacing w:after="200" w:line="276" w:lineRule="auto"/>
        <w:rPr>
          <w:szCs w:val="18"/>
        </w:rPr>
      </w:pPr>
    </w:p>
    <w:p w:rsidRPr="002A189C" w:rsidR="00EF6D37" w:rsidP="00747885" w:rsidRDefault="002A189C" w14:paraId="302DF707" w14:textId="66B90C04">
      <w:pPr>
        <w:spacing w:after="200" w:line="276" w:lineRule="auto"/>
        <w:rPr>
          <w:szCs w:val="18"/>
        </w:rPr>
      </w:pPr>
      <w:r w:rsidRPr="002A189C">
        <w:rPr>
          <w:szCs w:val="18"/>
        </w:rPr>
        <w:t>Stientje van Veldhoven-van der Meer</w:t>
      </w:r>
      <w:r w:rsidR="000403D6">
        <w:rPr>
          <w:szCs w:val="18"/>
        </w:rPr>
        <w:br/>
      </w:r>
      <w:r w:rsidRPr="002A189C">
        <w:rPr>
          <w:szCs w:val="18"/>
        </w:rPr>
        <w:t xml:space="preserve">Minister </w:t>
      </w:r>
      <w:bookmarkStart w:name="OLE_LINK36" w:id="0"/>
      <w:r w:rsidRPr="002A189C">
        <w:rPr>
          <w:szCs w:val="18"/>
        </w:rPr>
        <w:t>van Klimaat en Groene Groei</w:t>
      </w:r>
      <w:bookmarkEnd w:id="0"/>
    </w:p>
    <w:p w:rsidR="00EF6D37" w:rsidP="00747885" w:rsidRDefault="00EF6D37" w14:paraId="6E6A8EF2" w14:textId="77777777">
      <w:pPr>
        <w:spacing w:after="200" w:line="276" w:lineRule="auto"/>
        <w:rPr>
          <w:b/>
        </w:rPr>
      </w:pPr>
    </w:p>
    <w:p w:rsidR="00225675" w:rsidRDefault="00097360" w14:paraId="08FADE17" w14:textId="77777777">
      <w:pPr>
        <w:spacing w:after="200" w:line="276" w:lineRule="auto"/>
        <w:rPr>
          <w:b/>
        </w:rPr>
      </w:pPr>
      <w:r>
        <w:rPr>
          <w:b/>
        </w:rPr>
        <w:br w:type="page"/>
      </w:r>
    </w:p>
    <w:p w:rsidR="00C53CFC" w:rsidP="00747885" w:rsidRDefault="002A189C" w14:paraId="7A16AA09" w14:textId="77777777">
      <w:pPr>
        <w:spacing w:after="200" w:line="276" w:lineRule="auto"/>
        <w:rPr>
          <w:rStyle w:val="Zwaar"/>
          <w:b w:val="0"/>
          <w:bCs w:val="0"/>
        </w:rPr>
      </w:pPr>
      <w:r w:rsidRPr="002A189C">
        <w:rPr>
          <w:b/>
        </w:rPr>
        <w:lastRenderedPageBreak/>
        <w:t>2026Z04880</w:t>
      </w:r>
      <w:r w:rsidR="00747885">
        <w:rPr>
          <w:b/>
        </w:rPr>
        <w:br/>
      </w:r>
    </w:p>
    <w:p w:rsidR="005F0D54" w:rsidP="00747885" w:rsidRDefault="00097360" w14:paraId="1B26DBB8" w14:textId="4D2AB2B5">
      <w:pPr>
        <w:spacing w:after="200" w:line="276" w:lineRule="auto"/>
      </w:pPr>
      <w:r w:rsidRPr="006B7A36">
        <w:rPr>
          <w:rStyle w:val="Zwaar"/>
          <w:b w:val="0"/>
          <w:bCs w:val="0"/>
        </w:rPr>
        <w:t>1</w:t>
      </w:r>
      <w:r w:rsidR="00747885">
        <w:rPr>
          <w:rStyle w:val="Zwaar"/>
          <w:bCs w:val="0"/>
        </w:rPr>
        <w:br/>
      </w:r>
      <w:r w:rsidRPr="00A060C4" w:rsidR="00A060C4">
        <w:t>Bent u bekend met het rapport 'EU Methane Emissions Regulation – Analysis of Market Impacts'?</w:t>
      </w:r>
    </w:p>
    <w:p w:rsidRPr="006B7A36" w:rsidR="005F0D54" w:rsidP="005F0D54" w:rsidRDefault="00097360" w14:paraId="3CC7E0A2" w14:textId="77777777">
      <w:pPr>
        <w:rPr>
          <w:b/>
          <w:bCs/>
        </w:rPr>
      </w:pPr>
      <w:r w:rsidRPr="006B7A36">
        <w:rPr>
          <w:rStyle w:val="Zwaar"/>
          <w:b w:val="0"/>
          <w:bCs w:val="0"/>
        </w:rPr>
        <w:t>Antwoord</w:t>
      </w:r>
    </w:p>
    <w:p w:rsidR="005F0D54" w:rsidP="005F0D54" w:rsidRDefault="00A060C4" w14:paraId="5B0188EE" w14:textId="0CFB6591">
      <w:r>
        <w:t>Ja.</w:t>
      </w:r>
    </w:p>
    <w:p w:rsidR="00A060C4" w:rsidP="005F0D54" w:rsidRDefault="00A060C4" w14:paraId="137D212A" w14:textId="77777777"/>
    <w:p w:rsidR="005F0D54" w:rsidP="005F0D54" w:rsidRDefault="00097360" w14:paraId="4155C4D2" w14:textId="77777777">
      <w:r>
        <w:t>2</w:t>
      </w:r>
    </w:p>
    <w:p w:rsidR="005F0D54" w:rsidP="005F0D54" w:rsidRDefault="00A060C4" w14:paraId="671220CA" w14:textId="4127B143">
      <w:r w:rsidRPr="00A060C4">
        <w:t>Hoe beoordeelt u, mede in het licht van de huidige instabiele geopolitieke situatie en het belang van leveringszekerheid, de bevindingen uit het rapport dat door de importvereisten volgend uit de Europese Methane Regulation vanaf 2027 mogelijk tot 43% van de huidige gasimport van de EU (circa 114 bcm) en 87% van de ruwe olie niet meer aan de regelgeving voldoet en daarmee niet geïmporteerd kan worden?</w:t>
      </w:r>
    </w:p>
    <w:p w:rsidR="00A060C4" w:rsidP="005F0D54" w:rsidRDefault="00A060C4" w14:paraId="69F2A2E5" w14:textId="77777777"/>
    <w:p w:rsidR="005F0D54" w:rsidP="005F0D54" w:rsidRDefault="00097360" w14:paraId="3D80D494" w14:textId="77777777">
      <w:r>
        <w:t>Antwoord</w:t>
      </w:r>
    </w:p>
    <w:p w:rsidR="005142A6" w:rsidP="005142A6" w:rsidRDefault="005142A6" w14:paraId="59A520D1" w14:textId="7893D52C">
      <w:r w:rsidRPr="00A060C4">
        <w:t>Ik neem deze zorgen serieus en ik ben hierover in gesprek met</w:t>
      </w:r>
      <w:r>
        <w:t xml:space="preserve"> de Europese Commissie, andere lidstaten, marktpartijen en toezichthouders. </w:t>
      </w:r>
      <w:r w:rsidRPr="00A060C4">
        <w:t>Uiteraard onderschrijf ik daarbij het belang van voorzieningszekerheid</w:t>
      </w:r>
      <w:r>
        <w:t xml:space="preserve"> en is het van het grootste belang dat Nederland genoeg gas en olie heeft om in de behoefte van onze huishoudens en bedrijven te voorzien, ook aangezien tijdens de transitie deze nog geruime tijd essentieel zijn</w:t>
      </w:r>
      <w:r w:rsidRPr="00A060C4">
        <w:t>.</w:t>
      </w:r>
      <w:r>
        <w:t xml:space="preserve"> </w:t>
      </w:r>
    </w:p>
    <w:p w:rsidR="00A060C4" w:rsidP="005F0D54" w:rsidRDefault="00A060C4" w14:paraId="079B1C67" w14:textId="6F36DA59"/>
    <w:p w:rsidR="005F0D54" w:rsidP="005F0D54" w:rsidRDefault="00097360" w14:paraId="3A02A878" w14:textId="4863AE40">
      <w:r>
        <w:t>3</w:t>
      </w:r>
    </w:p>
    <w:p w:rsidR="005F0D54" w:rsidP="005F0D54" w:rsidRDefault="00A060C4" w14:paraId="60101F65" w14:textId="49392678">
      <w:r w:rsidRPr="00A060C4">
        <w:t>Hoe beoordeelt u het risico dat deze regelgeving daardoor zal leiden tot een aanbodtekort aan aardgas in Europa, aangezien het rapport concludeert dat de hoeveelheid gas die aan de EU-eisen voldoet mogelijk lager is dan de Europese vraag vanaf 2027?</w:t>
      </w:r>
    </w:p>
    <w:p w:rsidR="00A060C4" w:rsidP="005F0D54" w:rsidRDefault="00A060C4" w14:paraId="63201C87" w14:textId="77777777"/>
    <w:p w:rsidR="005F0D54" w:rsidP="005F0D54" w:rsidRDefault="00097360" w14:paraId="6591551C" w14:textId="77777777">
      <w:r>
        <w:t>Antwoord</w:t>
      </w:r>
    </w:p>
    <w:p w:rsidRPr="00A060C4" w:rsidR="005142A6" w:rsidP="005142A6" w:rsidRDefault="005142A6" w14:paraId="65F36E0D" w14:textId="34D2D132">
      <w:bookmarkStart w:name="OLE_LINK80" w:id="1"/>
      <w:r w:rsidRPr="00A060C4">
        <w:t xml:space="preserve">De </w:t>
      </w:r>
      <w:r w:rsidR="00E26CD9">
        <w:t>methaan</w:t>
      </w:r>
      <w:r w:rsidRPr="00A060C4">
        <w:t xml:space="preserve">verordening bevat geen importbeperking, maar het valt niet uit te sluiten dat de gestelde rapportage- en onderzoeksverplichtingen een beperkend effect kunnen hebben. Dit risico wordt op Europees niveau aangekaart, </w:t>
      </w:r>
      <w:r>
        <w:t>aangezien</w:t>
      </w:r>
      <w:r w:rsidRPr="00A060C4">
        <w:t xml:space="preserve"> de eisen </w:t>
      </w:r>
      <w:r>
        <w:t xml:space="preserve">die </w:t>
      </w:r>
      <w:r w:rsidRPr="00A060C4">
        <w:t>volgen uit de verordening en een eventuele oplossing dus ook op dat niveau gezocht moet worden.</w:t>
      </w:r>
    </w:p>
    <w:p w:rsidRPr="00A060C4" w:rsidR="005142A6" w:rsidP="005142A6" w:rsidRDefault="005142A6" w14:paraId="46D1DF56" w14:textId="77777777"/>
    <w:p w:rsidRPr="00A060C4" w:rsidR="005142A6" w:rsidP="005142A6" w:rsidRDefault="005142A6" w14:paraId="7C71AE52" w14:textId="77777777">
      <w:r w:rsidRPr="00A060C4">
        <w:t xml:space="preserve">Overigens kent de verordening een clausule die het risico op een aanbodtekort </w:t>
      </w:r>
      <w:r>
        <w:t xml:space="preserve">reeds </w:t>
      </w:r>
      <w:r w:rsidRPr="00A060C4">
        <w:t>zou kunnen mitigeren. De verordening bepaalt namelijk dat bevoegde instanties bepaalde sancties alleen kunnen opleggen bij overtreding van bepaalde artikelen, waaronder deze importverplichtingen, als die de energievoorzieningszekerheid niet in gevaar brengen.</w:t>
      </w:r>
      <w:r w:rsidRPr="00A060C4">
        <w:rPr>
          <w:vertAlign w:val="superscript"/>
        </w:rPr>
        <w:footnoteReference w:id="1"/>
      </w:r>
    </w:p>
    <w:bookmarkEnd w:id="1"/>
    <w:p w:rsidR="005F0D54" w:rsidP="005F0D54" w:rsidRDefault="005F0D54" w14:paraId="137AF0D6" w14:textId="3866FA48"/>
    <w:p w:rsidR="00A060C4" w:rsidP="00A060C4" w:rsidRDefault="00A060C4" w14:paraId="79AFBED0" w14:textId="4BA0859F">
      <w:pPr>
        <w:spacing w:after="200" w:line="276" w:lineRule="auto"/>
      </w:pPr>
      <w:r>
        <w:rPr>
          <w:rStyle w:val="Zwaar"/>
          <w:b w:val="0"/>
          <w:bCs w:val="0"/>
        </w:rPr>
        <w:lastRenderedPageBreak/>
        <w:t>4</w:t>
      </w:r>
      <w:r>
        <w:rPr>
          <w:rStyle w:val="Zwaar"/>
          <w:bCs w:val="0"/>
        </w:rPr>
        <w:br/>
      </w:r>
      <w:r w:rsidRPr="004B63D2" w:rsidR="004B63D2">
        <w:t>Deelt u de zorg uit het rapport dat een door regelgeving veroorzaakt aanbodtekort kan leiden tot sterk stijgende gasprijzen en mogelijke vraagvernietiging, met gevolgen voor huishoudens, elektriciteitsproductie en energie-intensieve industrieën?</w:t>
      </w:r>
    </w:p>
    <w:p w:rsidRPr="006B7A36" w:rsidR="00A060C4" w:rsidP="00A060C4" w:rsidRDefault="00A060C4" w14:paraId="66382480" w14:textId="77777777">
      <w:pPr>
        <w:rPr>
          <w:b/>
          <w:bCs/>
        </w:rPr>
      </w:pPr>
      <w:r w:rsidRPr="006B7A36">
        <w:rPr>
          <w:rStyle w:val="Zwaar"/>
          <w:b w:val="0"/>
          <w:bCs w:val="0"/>
        </w:rPr>
        <w:t>Antwoord</w:t>
      </w:r>
    </w:p>
    <w:p w:rsidR="005142A6" w:rsidP="005142A6" w:rsidRDefault="005142A6" w14:paraId="48BF83B6" w14:textId="77777777">
      <w:bookmarkStart w:name="OLE_LINK81" w:id="2"/>
      <w:r>
        <w:t>De</w:t>
      </w:r>
      <w:r w:rsidRPr="00A060C4">
        <w:t xml:space="preserve"> verordening</w:t>
      </w:r>
      <w:r>
        <w:t xml:space="preserve"> kent</w:t>
      </w:r>
      <w:r w:rsidRPr="00A060C4">
        <w:t xml:space="preserve"> een clausule die het risico op een aanbodtekort kan mitigeren, zoals ik ook bij het antwoord op vraag 3 heb aangegeven. </w:t>
      </w:r>
    </w:p>
    <w:p w:rsidRPr="00A060C4" w:rsidR="005142A6" w:rsidP="005142A6" w:rsidRDefault="005142A6" w14:paraId="762CC0EB" w14:textId="7A6E28CE">
      <w:r w:rsidRPr="00A060C4">
        <w:t xml:space="preserve">De verordening </w:t>
      </w:r>
      <w:r>
        <w:t xml:space="preserve">erkent verder </w:t>
      </w:r>
      <w:r w:rsidRPr="00A060C4">
        <w:t>dat de naleving van de verplichtingen uit deze verordening waarschijnlijk investeringen vereis</w:t>
      </w:r>
      <w:r>
        <w:t>t</w:t>
      </w:r>
      <w:r w:rsidRPr="00A060C4">
        <w:t xml:space="preserve">. De </w:t>
      </w:r>
      <w:r>
        <w:t xml:space="preserve">verordening bepaalt </w:t>
      </w:r>
      <w:r w:rsidR="00E26CD9">
        <w:t xml:space="preserve">echter ook </w:t>
      </w:r>
      <w:r>
        <w:t xml:space="preserve">dat de </w:t>
      </w:r>
      <w:r w:rsidRPr="00A060C4">
        <w:t xml:space="preserve">noodzakelijke kosten </w:t>
      </w:r>
      <w:r>
        <w:t xml:space="preserve">hiervoor </w:t>
      </w:r>
      <w:r w:rsidRPr="00A060C4">
        <w:t>geen disproportionele financiële last voor eindgebruikers en consumenten</w:t>
      </w:r>
      <w:r w:rsidR="00E26CD9">
        <w:t xml:space="preserve"> mogen</w:t>
      </w:r>
      <w:r w:rsidRPr="00A060C4">
        <w:t xml:space="preserve"> meebrengen.</w:t>
      </w:r>
      <w:r w:rsidRPr="00A060C4">
        <w:rPr>
          <w:vertAlign w:val="superscript"/>
        </w:rPr>
        <w:footnoteReference w:id="2"/>
      </w:r>
      <w:r w:rsidRPr="00A060C4">
        <w:t xml:space="preserve"> </w:t>
      </w:r>
    </w:p>
    <w:p w:rsidRPr="00A060C4" w:rsidR="005142A6" w:rsidP="005142A6" w:rsidRDefault="005142A6" w14:paraId="2DF1F57A" w14:textId="77777777"/>
    <w:p w:rsidRPr="00A060C4" w:rsidR="005142A6" w:rsidP="005142A6" w:rsidRDefault="005142A6" w14:paraId="366317C5" w14:textId="77777777">
      <w:r>
        <w:t>De kosten van de verordening moeten daarbij worden afgewogen tegen de baten. H</w:t>
      </w:r>
      <w:r w:rsidRPr="00A060C4">
        <w:t>et recent gepubliceerde rapport</w:t>
      </w:r>
      <w:r>
        <w:t>,</w:t>
      </w:r>
      <w:r w:rsidRPr="00A060C4">
        <w:t xml:space="preserve"> waar in vraag 1 naar wordt verwezen</w:t>
      </w:r>
      <w:r>
        <w:t>,</w:t>
      </w:r>
      <w:r w:rsidRPr="00A060C4">
        <w:t xml:space="preserve"> </w:t>
      </w:r>
      <w:r>
        <w:t xml:space="preserve">laat </w:t>
      </w:r>
      <w:r w:rsidRPr="00A060C4">
        <w:t xml:space="preserve">de potentiële klimaatwinst zien die behaald kan worden door de inzet op methaanreductie wereldwijd, zolang de vraag naar olie, aardgas en steenkolen nodig blijft in de transitie naar schone energie. Methaan is één van de krachtigste broeikasgassen. De methaanverordening is één van de maatregelen van het Fit for 55-wetgevingspakket om de Europese reductiedoelstellingen van broeikasgasemissies in de energiesector tot stand te brengen. </w:t>
      </w:r>
    </w:p>
    <w:bookmarkEnd w:id="2"/>
    <w:p w:rsidR="0025042A" w:rsidP="005F0D54" w:rsidRDefault="0025042A" w14:paraId="73A0E902" w14:textId="77777777"/>
    <w:p w:rsidR="00A060C4" w:rsidP="00A060C4" w:rsidRDefault="00A060C4" w14:paraId="58D7FE26" w14:textId="68087E13">
      <w:pPr>
        <w:spacing w:after="200" w:line="276" w:lineRule="auto"/>
      </w:pPr>
      <w:r>
        <w:rPr>
          <w:rStyle w:val="Zwaar"/>
          <w:b w:val="0"/>
          <w:bCs w:val="0"/>
        </w:rPr>
        <w:t>5</w:t>
      </w:r>
      <w:r>
        <w:rPr>
          <w:rStyle w:val="Zwaar"/>
          <w:bCs w:val="0"/>
        </w:rPr>
        <w:br/>
      </w:r>
      <w:r w:rsidRPr="00A060C4">
        <w:t>Welke mogelijkheden ziet het u om bij de verdere implementatie van de Europese Methaanverordening te voorkomen dat de leveringszekerheid van aardgas in gevaar komt, bijvoorbeeld door aanpassingen in de eisen rond monitoring, rapportage en verificatie voor importeurs? In hoeverre zijn dergelijke aanpassingen volgens u wenselijk en mogelijk?</w:t>
      </w:r>
    </w:p>
    <w:p w:rsidRPr="006B7A36" w:rsidR="00A060C4" w:rsidP="00A060C4" w:rsidRDefault="00A060C4" w14:paraId="713DDEAE" w14:textId="77777777">
      <w:pPr>
        <w:rPr>
          <w:b/>
          <w:bCs/>
        </w:rPr>
      </w:pPr>
      <w:r w:rsidRPr="006B7A36">
        <w:rPr>
          <w:rStyle w:val="Zwaar"/>
          <w:b w:val="0"/>
          <w:bCs w:val="0"/>
        </w:rPr>
        <w:t>Antwoord</w:t>
      </w:r>
    </w:p>
    <w:p w:rsidRPr="004B63D2" w:rsidR="004B63D2" w:rsidP="004B63D2" w:rsidRDefault="004B63D2" w14:paraId="6A2C54BA" w14:textId="77777777">
      <w:r w:rsidRPr="004B63D2">
        <w:t>De eisen rond monitoring, rapportage en verificatie voor importeurs volgen rechtstreeks uit de Europese verordening. Aanpassing van deze eisen is op nationaal niveau niet mogelijk. Voor het volledige antwoord op deze vraag verwijs ik verder naar het antwoord op vraag 6.</w:t>
      </w:r>
    </w:p>
    <w:p w:rsidR="00263155" w:rsidP="00810C93" w:rsidRDefault="00263155" w14:paraId="6F0B7341" w14:textId="77777777"/>
    <w:p w:rsidR="00A50CF6" w:rsidP="00810C93" w:rsidRDefault="004B63D2" w14:paraId="428C613E" w14:textId="7A8C8F67">
      <w:r>
        <w:rPr>
          <w:rStyle w:val="Zwaar"/>
          <w:b w:val="0"/>
          <w:bCs w:val="0"/>
        </w:rPr>
        <w:t>6</w:t>
      </w:r>
      <w:r>
        <w:rPr>
          <w:rStyle w:val="Zwaar"/>
          <w:bCs w:val="0"/>
        </w:rPr>
        <w:br/>
      </w:r>
      <w:r w:rsidRPr="004B63D2">
        <w:t>In hoeverre en onder welke voorwaarden bent u bereid zich in Europees verband in te zetten voor een pragmatische implementatie of gerichte aanpassing van de regelgeving, zoals in het rapport wordt voorgesteld, om verstoringen van de Europese gas- en olievoorziening te voorkomen?</w:t>
      </w:r>
    </w:p>
    <w:p w:rsidR="00D22441" w:rsidP="00810C93" w:rsidRDefault="00D22441" w14:paraId="1E7B65EF" w14:textId="77777777"/>
    <w:p w:rsidRPr="006B7A36" w:rsidR="004B63D2" w:rsidP="004B63D2" w:rsidRDefault="004B63D2" w14:paraId="31A81012" w14:textId="77777777">
      <w:pPr>
        <w:rPr>
          <w:b/>
          <w:bCs/>
        </w:rPr>
      </w:pPr>
      <w:r w:rsidRPr="006B7A36">
        <w:rPr>
          <w:rStyle w:val="Zwaar"/>
          <w:b w:val="0"/>
          <w:bCs w:val="0"/>
        </w:rPr>
        <w:t>Antwoord</w:t>
      </w:r>
    </w:p>
    <w:p w:rsidR="005142A6" w:rsidP="005142A6" w:rsidRDefault="005142A6" w14:paraId="2E827625" w14:textId="77777777">
      <w:r>
        <w:t xml:space="preserve">Ik zet mij hier reeds voor in. De eisen zijn zoals hiervoor aangegeven opgenomen in de Europese methaanverordening en daar moet ook de oplossing in worden </w:t>
      </w:r>
      <w:r>
        <w:lastRenderedPageBreak/>
        <w:t>gezocht. Uw Kamer is op 18 februari jl. door mijn voorganger over de implementatie van de verordening en de aandachtspunten hierbij geïnformeerd</w:t>
      </w:r>
      <w:r w:rsidRPr="00894458">
        <w:rPr>
          <w:vertAlign w:val="superscript"/>
        </w:rPr>
        <w:footnoteReference w:id="3"/>
      </w:r>
      <w:r w:rsidRPr="00B63E9A">
        <w:t>.</w:t>
      </w:r>
      <w:r>
        <w:t xml:space="preserve">  Deze aandachtspunten zien ook op de monitoring-, rapportage- en verificatiemaatregelen die per 1 januari 2027 ingaan. Nederland wijst in de gesprekken met de Europese Commissie voortdurend op knelpunten die worden ervaren bij de uitvoering van de verordening en zoekt daarbij samen met de Commissie ook naar praktische oplossingen. Een brede groep landen deelt deze zorgen. Het kabinet is hierover eveneens in gesprek met het bedrijfsleven en toezichthouders.</w:t>
      </w:r>
    </w:p>
    <w:p w:rsidR="005142A6" w:rsidP="005142A6" w:rsidRDefault="005142A6" w14:paraId="5DFB3C50" w14:textId="77777777"/>
    <w:p w:rsidR="005142A6" w:rsidP="005142A6" w:rsidRDefault="005142A6" w14:paraId="0A459EDC" w14:textId="77777777">
      <w:r>
        <w:t>Eventuele aanpassing van de regelgeving is niet aan een lidstaat en dus ook niet aan het kabinet. Daarover moet de Europese Commissie zich een oordeel over vormen. Gezien de huidige situatie in het Midden-Oosten zijn de knelpunten die zich voordoen bij de implementatie van de methaanverordening nog urgenter geworden. Ik breng deze knelpunten daarom opnieuw onder de aandacht van de Commissie met de vraag om een oplossing die rekening houdt met de geuite zorgen en de recente ontwikkelingen.</w:t>
      </w:r>
    </w:p>
    <w:p w:rsidR="004B63D2" w:rsidP="004B63D2" w:rsidRDefault="004B63D2" w14:paraId="44DF86CF" w14:textId="2851A375"/>
    <w:sectPr w:rsidR="004B63D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122A" w14:textId="77777777" w:rsidR="00400B08" w:rsidRDefault="00400B08">
      <w:r>
        <w:separator/>
      </w:r>
    </w:p>
    <w:p w14:paraId="20088EA8" w14:textId="77777777" w:rsidR="00400B08" w:rsidRDefault="00400B08"/>
  </w:endnote>
  <w:endnote w:type="continuationSeparator" w:id="0">
    <w:p w14:paraId="01796D5A" w14:textId="77777777" w:rsidR="00400B08" w:rsidRDefault="00400B08">
      <w:r>
        <w:continuationSeparator/>
      </w:r>
    </w:p>
    <w:p w14:paraId="2A64C371" w14:textId="77777777" w:rsidR="00400B08" w:rsidRDefault="00400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495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7884" w14:paraId="7F90F384" w14:textId="77777777" w:rsidTr="00CA6A25">
      <w:trPr>
        <w:trHeight w:hRule="exact" w:val="240"/>
      </w:trPr>
      <w:tc>
        <w:tcPr>
          <w:tcW w:w="7601" w:type="dxa"/>
        </w:tcPr>
        <w:p w14:paraId="36B5CF71" w14:textId="77777777" w:rsidR="00527BD4" w:rsidRDefault="00527BD4" w:rsidP="003F1F6B">
          <w:pPr>
            <w:pStyle w:val="Huisstijl-Rubricering"/>
          </w:pPr>
        </w:p>
      </w:tc>
      <w:tc>
        <w:tcPr>
          <w:tcW w:w="2156" w:type="dxa"/>
        </w:tcPr>
        <w:p w14:paraId="77E3F73E" w14:textId="2D2B42E8" w:rsidR="00527BD4" w:rsidRPr="00645414" w:rsidRDefault="0009736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C16F59">
            <w:t>4</w:t>
          </w:r>
          <w:r w:rsidR="00721AE1">
            <w:fldChar w:fldCharType="end"/>
          </w:r>
        </w:p>
      </w:tc>
    </w:tr>
  </w:tbl>
  <w:p w14:paraId="76DB01A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7884" w14:paraId="6896635F" w14:textId="77777777" w:rsidTr="00CA6A25">
      <w:trPr>
        <w:trHeight w:hRule="exact" w:val="240"/>
      </w:trPr>
      <w:tc>
        <w:tcPr>
          <w:tcW w:w="7601" w:type="dxa"/>
        </w:tcPr>
        <w:p w14:paraId="6A5C7DDF" w14:textId="77777777" w:rsidR="00527BD4" w:rsidRDefault="00527BD4" w:rsidP="008C356D">
          <w:pPr>
            <w:pStyle w:val="Huisstijl-Rubricering"/>
          </w:pPr>
        </w:p>
      </w:tc>
      <w:tc>
        <w:tcPr>
          <w:tcW w:w="2170" w:type="dxa"/>
        </w:tcPr>
        <w:p w14:paraId="7955B890" w14:textId="6187BC45" w:rsidR="00527BD4" w:rsidRPr="00ED539E" w:rsidRDefault="0009736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C16F59">
            <w:t>4</w:t>
          </w:r>
          <w:r w:rsidR="00405C2A">
            <w:fldChar w:fldCharType="end"/>
          </w:r>
        </w:p>
      </w:tc>
    </w:tr>
  </w:tbl>
  <w:p w14:paraId="6C6F257A" w14:textId="77777777" w:rsidR="00527BD4" w:rsidRPr="00BC3B53" w:rsidRDefault="00527BD4" w:rsidP="008C356D">
    <w:pPr>
      <w:pStyle w:val="Voettekst"/>
      <w:spacing w:line="240" w:lineRule="auto"/>
      <w:rPr>
        <w:sz w:val="2"/>
        <w:szCs w:val="2"/>
      </w:rPr>
    </w:pPr>
  </w:p>
  <w:p w14:paraId="7EFD9DB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0389" w14:textId="77777777" w:rsidR="00400B08" w:rsidRDefault="00400B08">
      <w:r>
        <w:separator/>
      </w:r>
    </w:p>
    <w:p w14:paraId="5BB89741" w14:textId="77777777" w:rsidR="00400B08" w:rsidRDefault="00400B08"/>
  </w:footnote>
  <w:footnote w:type="continuationSeparator" w:id="0">
    <w:p w14:paraId="419998A4" w14:textId="77777777" w:rsidR="00400B08" w:rsidRDefault="00400B08">
      <w:r>
        <w:continuationSeparator/>
      </w:r>
    </w:p>
    <w:p w14:paraId="3C819994" w14:textId="77777777" w:rsidR="00400B08" w:rsidRDefault="00400B08"/>
  </w:footnote>
  <w:footnote w:id="1">
    <w:p w14:paraId="303975F4" w14:textId="77777777" w:rsidR="005142A6" w:rsidRDefault="005142A6" w:rsidP="005142A6">
      <w:pPr>
        <w:pStyle w:val="Voetnoottekst"/>
      </w:pPr>
      <w:r w:rsidRPr="66336E68">
        <w:rPr>
          <w:rStyle w:val="Voetnootmarkering"/>
        </w:rPr>
        <w:footnoteRef/>
      </w:r>
      <w:r>
        <w:t xml:space="preserve"> Verordening (EU) 2024/1787, artikel 33 tweede lid.</w:t>
      </w:r>
    </w:p>
  </w:footnote>
  <w:footnote w:id="2">
    <w:p w14:paraId="1293C13A" w14:textId="77777777" w:rsidR="005142A6" w:rsidRPr="00A060C4" w:rsidRDefault="005142A6" w:rsidP="005142A6">
      <w:pPr>
        <w:pStyle w:val="Onderwerpvanopmerking"/>
        <w:rPr>
          <w:b w:val="0"/>
          <w:bCs w:val="0"/>
          <w:sz w:val="13"/>
          <w:szCs w:val="13"/>
        </w:rPr>
      </w:pPr>
      <w:r w:rsidRPr="00A060C4">
        <w:rPr>
          <w:b w:val="0"/>
          <w:bCs w:val="0"/>
          <w:vertAlign w:val="superscript"/>
        </w:rPr>
        <w:footnoteRef/>
      </w:r>
      <w:r w:rsidRPr="00A060C4">
        <w:t xml:space="preserve"> </w:t>
      </w:r>
      <w:r w:rsidRPr="00A060C4">
        <w:rPr>
          <w:rFonts w:ascii="Verdana" w:hAnsi="Verdana"/>
          <w:b w:val="0"/>
          <w:bCs w:val="0"/>
          <w:sz w:val="13"/>
          <w:szCs w:val="13"/>
          <w:lang w:eastAsia="nl-NL"/>
        </w:rPr>
        <w:t>Verordening (EU) 2024/1787, overweging (10) en artikel 3.</w:t>
      </w:r>
      <w:r w:rsidRPr="00A060C4">
        <w:rPr>
          <w:b w:val="0"/>
          <w:bCs w:val="0"/>
          <w:sz w:val="13"/>
          <w:szCs w:val="13"/>
        </w:rPr>
        <w:t xml:space="preserve"> </w:t>
      </w:r>
    </w:p>
  </w:footnote>
  <w:footnote w:id="3">
    <w:p w14:paraId="2BEC1093" w14:textId="77777777" w:rsidR="005142A6" w:rsidRDefault="005142A6" w:rsidP="005142A6">
      <w:pPr>
        <w:pStyle w:val="Voetnoottekst"/>
      </w:pPr>
      <w:r w:rsidRPr="66336E68">
        <w:rPr>
          <w:rStyle w:val="Voetnootmarkering"/>
        </w:rPr>
        <w:footnoteRef/>
      </w:r>
      <w:r>
        <w:t xml:space="preserve"> </w:t>
      </w:r>
      <w:bookmarkStart w:id="3" w:name="OLE_LINK57"/>
      <w:r>
        <w:t xml:space="preserve">Brief 'Indiening wetsvoorstel Uitvoeringswet methaanverordening' (Kamerstukken II, 2026, </w:t>
      </w:r>
      <w:r w:rsidRPr="66336E68">
        <w:rPr>
          <w:rFonts w:ascii="Calibri" w:hAnsi="Calibri" w:cs="Arial"/>
        </w:rPr>
        <w:t>36897-5).</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67884" w14:paraId="0FBF3191" w14:textId="77777777" w:rsidTr="00A50CF6">
      <w:tc>
        <w:tcPr>
          <w:tcW w:w="2156" w:type="dxa"/>
        </w:tcPr>
        <w:p w14:paraId="4123A6B4" w14:textId="77777777" w:rsidR="00527BD4" w:rsidRPr="005819CE" w:rsidRDefault="00097360" w:rsidP="00A50CF6">
          <w:pPr>
            <w:pStyle w:val="Huisstijl-Adres"/>
            <w:rPr>
              <w:b/>
            </w:rPr>
          </w:pPr>
          <w:r>
            <w:rPr>
              <w:b/>
            </w:rPr>
            <w:t>Directoraat-generaal Klimaat en Energie</w:t>
          </w:r>
          <w:r w:rsidRPr="005819CE">
            <w:rPr>
              <w:b/>
            </w:rPr>
            <w:br/>
          </w:r>
        </w:p>
      </w:tc>
    </w:tr>
    <w:tr w:rsidR="00367884" w14:paraId="28695F5D" w14:textId="77777777" w:rsidTr="00A50CF6">
      <w:trPr>
        <w:trHeight w:hRule="exact" w:val="200"/>
      </w:trPr>
      <w:tc>
        <w:tcPr>
          <w:tcW w:w="2156" w:type="dxa"/>
        </w:tcPr>
        <w:p w14:paraId="34DD49EA" w14:textId="77777777" w:rsidR="00527BD4" w:rsidRPr="005819CE" w:rsidRDefault="00527BD4" w:rsidP="00A50CF6"/>
      </w:tc>
    </w:tr>
    <w:tr w:rsidR="00367884" w14:paraId="17D2B88D" w14:textId="77777777" w:rsidTr="00502512">
      <w:trPr>
        <w:trHeight w:hRule="exact" w:val="774"/>
      </w:trPr>
      <w:tc>
        <w:tcPr>
          <w:tcW w:w="2156" w:type="dxa"/>
        </w:tcPr>
        <w:p w14:paraId="6D7C45F4" w14:textId="77777777" w:rsidR="00527BD4" w:rsidRDefault="00097360" w:rsidP="003A5290">
          <w:pPr>
            <w:pStyle w:val="Huisstijl-Kopje"/>
          </w:pPr>
          <w:r>
            <w:t>Ons kenmerk</w:t>
          </w:r>
        </w:p>
        <w:p w14:paraId="5394934E" w14:textId="20FFD654" w:rsidR="00502512" w:rsidRPr="00502512" w:rsidRDefault="00097360" w:rsidP="003A5290">
          <w:pPr>
            <w:pStyle w:val="Huisstijl-Kopje"/>
            <w:rPr>
              <w:b w:val="0"/>
            </w:rPr>
          </w:pPr>
          <w:r>
            <w:rPr>
              <w:b w:val="0"/>
            </w:rPr>
            <w:t>KGG_DGKE</w:t>
          </w:r>
          <w:r w:rsidRPr="00502512">
            <w:rPr>
              <w:b w:val="0"/>
            </w:rPr>
            <w:t xml:space="preserve"> / </w:t>
          </w:r>
          <w:sdt>
            <w:sdtPr>
              <w:rPr>
                <w:b w:val="0"/>
              </w:rPr>
              <w:alias w:val="documentId"/>
              <w:id w:val="762191242"/>
              <w:placeholder>
                <w:docPart w:val="DefaultPlaceholder_-1854013440"/>
              </w:placeholder>
            </w:sdtPr>
            <w:sdtEndPr/>
            <w:sdtContent>
              <w:r w:rsidR="00AB23D1" w:rsidRPr="00AB23D1">
                <w:rPr>
                  <w:b w:val="0"/>
                  <w:bCs/>
                </w:rPr>
                <w:t>105441662</w:t>
              </w:r>
            </w:sdtContent>
          </w:sdt>
        </w:p>
        <w:p w14:paraId="05E4064F" w14:textId="77777777" w:rsidR="00527BD4" w:rsidRPr="005819CE" w:rsidRDefault="00527BD4" w:rsidP="00361A56">
          <w:pPr>
            <w:pStyle w:val="Huisstijl-Kopje"/>
          </w:pPr>
        </w:p>
      </w:tc>
    </w:tr>
  </w:tbl>
  <w:p w14:paraId="09FEC760" w14:textId="77777777" w:rsidR="00527BD4" w:rsidRDefault="00527BD4" w:rsidP="008C356D">
    <w:pPr>
      <w:pStyle w:val="Koptekst"/>
      <w:rPr>
        <w:rFonts w:cs="Verdana-Bold"/>
        <w:b/>
        <w:bCs/>
        <w:smallCaps/>
        <w:szCs w:val="18"/>
      </w:rPr>
    </w:pPr>
  </w:p>
  <w:p w14:paraId="0E3372AA" w14:textId="77777777" w:rsidR="00527BD4" w:rsidRDefault="00527BD4" w:rsidP="008C356D"/>
  <w:p w14:paraId="66C28D7E" w14:textId="77777777" w:rsidR="00527BD4" w:rsidRPr="00740712" w:rsidRDefault="00527BD4" w:rsidP="008C356D"/>
  <w:p w14:paraId="50BAFB48" w14:textId="77777777" w:rsidR="00527BD4" w:rsidRPr="00217880" w:rsidRDefault="00527BD4" w:rsidP="008C356D">
    <w:pPr>
      <w:spacing w:line="0" w:lineRule="atLeast"/>
      <w:rPr>
        <w:sz w:val="2"/>
        <w:szCs w:val="2"/>
      </w:rPr>
    </w:pPr>
  </w:p>
  <w:p w14:paraId="3046D133" w14:textId="77777777" w:rsidR="00527BD4" w:rsidRDefault="00527BD4" w:rsidP="004F44C2">
    <w:pPr>
      <w:pStyle w:val="Koptekst"/>
      <w:rPr>
        <w:rFonts w:cs="Verdana-Bold"/>
        <w:b/>
        <w:bCs/>
        <w:smallCaps/>
        <w:szCs w:val="18"/>
      </w:rPr>
    </w:pPr>
  </w:p>
  <w:p w14:paraId="27D4556A" w14:textId="77777777" w:rsidR="00527BD4" w:rsidRDefault="00527BD4" w:rsidP="004F44C2"/>
  <w:p w14:paraId="17DD8CB7" w14:textId="77777777" w:rsidR="00527BD4" w:rsidRPr="00740712" w:rsidRDefault="00527BD4" w:rsidP="004F44C2"/>
  <w:p w14:paraId="296C0DB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67884" w14:paraId="5C863930" w14:textId="77777777" w:rsidTr="00751A6A">
      <w:trPr>
        <w:trHeight w:val="2636"/>
      </w:trPr>
      <w:tc>
        <w:tcPr>
          <w:tcW w:w="737" w:type="dxa"/>
        </w:tcPr>
        <w:p w14:paraId="6F5C66E7" w14:textId="77777777" w:rsidR="00527BD4" w:rsidRDefault="00527BD4" w:rsidP="00D0609E">
          <w:pPr>
            <w:framePr w:w="6340" w:h="2750" w:hRule="exact" w:hSpace="180" w:wrap="around" w:vAnchor="page" w:hAnchor="text" w:x="3873" w:y="-140"/>
            <w:spacing w:line="240" w:lineRule="auto"/>
          </w:pPr>
        </w:p>
      </w:tc>
      <w:tc>
        <w:tcPr>
          <w:tcW w:w="5156" w:type="dxa"/>
        </w:tcPr>
        <w:p w14:paraId="46E4ACA5" w14:textId="77777777" w:rsidR="00527BD4" w:rsidRDefault="0009736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3EF2FDC" wp14:editId="3A0BFB1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DC0122D" w14:textId="77777777" w:rsidR="00F4553F" w:rsidRDefault="00F4553F" w:rsidP="00651CEE">
          <w:pPr>
            <w:framePr w:w="6340" w:h="2750" w:hRule="exact" w:hSpace="180" w:wrap="around" w:vAnchor="page" w:hAnchor="text" w:x="3873" w:y="-140"/>
            <w:spacing w:line="240" w:lineRule="auto"/>
          </w:pPr>
        </w:p>
      </w:tc>
    </w:tr>
  </w:tbl>
  <w:p w14:paraId="244CD569" w14:textId="77777777" w:rsidR="00527BD4" w:rsidRDefault="00527BD4" w:rsidP="00D0609E">
    <w:pPr>
      <w:framePr w:w="6340" w:h="2750" w:hRule="exact" w:hSpace="180" w:wrap="around" w:vAnchor="page" w:hAnchor="text" w:x="3873" w:y="-140"/>
    </w:pPr>
  </w:p>
  <w:p w14:paraId="32A3D0F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67884" w14:paraId="47CF74C7" w14:textId="77777777" w:rsidTr="00A50CF6">
      <w:tc>
        <w:tcPr>
          <w:tcW w:w="2160" w:type="dxa"/>
        </w:tcPr>
        <w:p w14:paraId="519594C9" w14:textId="77777777" w:rsidR="00527BD4" w:rsidRPr="005819CE" w:rsidRDefault="00097360" w:rsidP="00A50CF6">
          <w:pPr>
            <w:pStyle w:val="Huisstijl-Adres"/>
            <w:rPr>
              <w:b/>
            </w:rPr>
          </w:pPr>
          <w:r>
            <w:rPr>
              <w:b/>
            </w:rPr>
            <w:t>Directoraat-generaal Klimaat en Energie</w:t>
          </w:r>
          <w:r w:rsidRPr="005819CE">
            <w:rPr>
              <w:b/>
            </w:rPr>
            <w:br/>
          </w:r>
        </w:p>
        <w:p w14:paraId="7279CE2A" w14:textId="77777777" w:rsidR="00527BD4" w:rsidRPr="00BE5ED9" w:rsidRDefault="00097360" w:rsidP="00A50CF6">
          <w:pPr>
            <w:pStyle w:val="Huisstijl-Adres"/>
          </w:pPr>
          <w:r>
            <w:rPr>
              <w:b/>
            </w:rPr>
            <w:t>Bezoekadres</w:t>
          </w:r>
          <w:r>
            <w:rPr>
              <w:b/>
            </w:rPr>
            <w:br/>
          </w:r>
          <w:r>
            <w:t>Bezuidenhoutseweg 73</w:t>
          </w:r>
          <w:r w:rsidRPr="005819CE">
            <w:br/>
          </w:r>
          <w:r>
            <w:t>2594 AC Den Haag</w:t>
          </w:r>
        </w:p>
        <w:p w14:paraId="45E717B8" w14:textId="77777777" w:rsidR="00EF495B" w:rsidRDefault="00097360" w:rsidP="0098788A">
          <w:pPr>
            <w:pStyle w:val="Huisstijl-Adres"/>
          </w:pPr>
          <w:r>
            <w:rPr>
              <w:b/>
            </w:rPr>
            <w:t>Postadres</w:t>
          </w:r>
          <w:r>
            <w:rPr>
              <w:b/>
            </w:rPr>
            <w:br/>
          </w:r>
          <w:r>
            <w:t>Postbus 20401</w:t>
          </w:r>
          <w:r w:rsidRPr="005819CE">
            <w:br/>
            <w:t>2500 E</w:t>
          </w:r>
          <w:r>
            <w:t>K</w:t>
          </w:r>
          <w:r w:rsidRPr="005819CE">
            <w:t xml:space="preserve"> Den Haag</w:t>
          </w:r>
        </w:p>
        <w:p w14:paraId="4D85CE6D" w14:textId="77777777" w:rsidR="00EF495B" w:rsidRPr="005B3814" w:rsidRDefault="00097360" w:rsidP="0098788A">
          <w:pPr>
            <w:pStyle w:val="Huisstijl-Adres"/>
          </w:pPr>
          <w:r>
            <w:rPr>
              <w:b/>
            </w:rPr>
            <w:t>Overheidsidentificatienr</w:t>
          </w:r>
          <w:r>
            <w:rPr>
              <w:b/>
            </w:rPr>
            <w:br/>
          </w:r>
          <w:r w:rsidRPr="005B3814">
            <w:t>00000001003214369000</w:t>
          </w:r>
        </w:p>
        <w:p w14:paraId="4FDC0C44" w14:textId="1C2C6676" w:rsidR="00527BD4" w:rsidRPr="000403D6" w:rsidRDefault="0009736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367884" w14:paraId="6758463C" w14:textId="77777777" w:rsidTr="00A50CF6">
      <w:trPr>
        <w:trHeight w:hRule="exact" w:val="200"/>
      </w:trPr>
      <w:tc>
        <w:tcPr>
          <w:tcW w:w="2160" w:type="dxa"/>
        </w:tcPr>
        <w:p w14:paraId="7CBFDB98" w14:textId="77777777" w:rsidR="00527BD4" w:rsidRPr="005819CE" w:rsidRDefault="00527BD4" w:rsidP="00A50CF6"/>
      </w:tc>
    </w:tr>
    <w:tr w:rsidR="00367884" w14:paraId="3EB57108" w14:textId="77777777" w:rsidTr="00A50CF6">
      <w:tc>
        <w:tcPr>
          <w:tcW w:w="2160" w:type="dxa"/>
        </w:tcPr>
        <w:p w14:paraId="408B5AEA" w14:textId="77777777" w:rsidR="000C0163" w:rsidRPr="005819CE" w:rsidRDefault="00097360" w:rsidP="000C0163">
          <w:pPr>
            <w:pStyle w:val="Huisstijl-Kopje"/>
          </w:pPr>
          <w:r>
            <w:t>Ons kenmerk</w:t>
          </w:r>
          <w:r w:rsidRPr="005819CE">
            <w:t xml:space="preserve"> </w:t>
          </w:r>
        </w:p>
        <w:p w14:paraId="3D2BAB29" w14:textId="77777777" w:rsidR="000C0163" w:rsidRPr="005819CE" w:rsidRDefault="00097360" w:rsidP="000C0163">
          <w:pPr>
            <w:pStyle w:val="Huisstijl-Gegeven"/>
          </w:pPr>
          <w:r>
            <w:t>KGG_DGKE</w:t>
          </w:r>
          <w:r w:rsidR="00926AE2">
            <w:t xml:space="preserve"> / </w:t>
          </w:r>
          <w:r>
            <w:t>105441662</w:t>
          </w:r>
        </w:p>
        <w:p w14:paraId="4F5209CD" w14:textId="77777777" w:rsidR="00527BD4" w:rsidRPr="005819CE" w:rsidRDefault="00097360" w:rsidP="00A50CF6">
          <w:pPr>
            <w:pStyle w:val="Huisstijl-Kopje"/>
          </w:pPr>
          <w:r>
            <w:t>Uw kenmerk</w:t>
          </w:r>
        </w:p>
        <w:p w14:paraId="6EAB5A55" w14:textId="73995218" w:rsidR="00527BD4" w:rsidRPr="005819CE" w:rsidRDefault="00097360" w:rsidP="000403D6">
          <w:pPr>
            <w:pStyle w:val="Huisstijl-Gegeven"/>
          </w:pPr>
          <w:r>
            <w:t>2026Z04880</w:t>
          </w:r>
        </w:p>
      </w:tc>
    </w:tr>
  </w:tbl>
  <w:p w14:paraId="51BE070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67884" w14:paraId="1CD65E2D" w14:textId="77777777" w:rsidTr="007610AA">
      <w:trPr>
        <w:trHeight w:val="400"/>
      </w:trPr>
      <w:tc>
        <w:tcPr>
          <w:tcW w:w="7520" w:type="dxa"/>
          <w:gridSpan w:val="2"/>
        </w:tcPr>
        <w:p w14:paraId="021FE665" w14:textId="77777777" w:rsidR="00527BD4" w:rsidRPr="00BC3B53" w:rsidRDefault="00097360" w:rsidP="00A50CF6">
          <w:pPr>
            <w:pStyle w:val="Huisstijl-Retouradres"/>
          </w:pPr>
          <w:r>
            <w:t>&gt; Retouradres Postbus 20401 2500 EK Den Haag</w:t>
          </w:r>
        </w:p>
      </w:tc>
    </w:tr>
    <w:tr w:rsidR="00367884" w14:paraId="5F30F162" w14:textId="77777777" w:rsidTr="007610AA">
      <w:tc>
        <w:tcPr>
          <w:tcW w:w="7520" w:type="dxa"/>
          <w:gridSpan w:val="2"/>
        </w:tcPr>
        <w:p w14:paraId="66E7A1A4" w14:textId="77777777" w:rsidR="00527BD4" w:rsidRPr="00983E8F" w:rsidRDefault="00527BD4" w:rsidP="00A50CF6">
          <w:pPr>
            <w:pStyle w:val="Huisstijl-Rubricering"/>
          </w:pPr>
        </w:p>
      </w:tc>
    </w:tr>
    <w:tr w:rsidR="00367884" w14:paraId="1338B026" w14:textId="77777777" w:rsidTr="007610AA">
      <w:trPr>
        <w:trHeight w:hRule="exact" w:val="2440"/>
      </w:trPr>
      <w:tc>
        <w:tcPr>
          <w:tcW w:w="7520" w:type="dxa"/>
          <w:gridSpan w:val="2"/>
        </w:tcPr>
        <w:p w14:paraId="73A93083" w14:textId="77777777" w:rsidR="00527BD4" w:rsidRDefault="00097360" w:rsidP="00A50CF6">
          <w:pPr>
            <w:pStyle w:val="Huisstijl-NAW"/>
          </w:pPr>
          <w:r>
            <w:t xml:space="preserve">De Voorzitter van de Tweede Kamer </w:t>
          </w:r>
        </w:p>
        <w:p w14:paraId="3CB711B8" w14:textId="77777777" w:rsidR="00D87195" w:rsidRDefault="00097360" w:rsidP="00D87195">
          <w:pPr>
            <w:pStyle w:val="Huisstijl-NAW"/>
          </w:pPr>
          <w:r>
            <w:t>der Staten-Generaal</w:t>
          </w:r>
        </w:p>
        <w:p w14:paraId="562F8AB2" w14:textId="77777777" w:rsidR="00EA0F13" w:rsidRDefault="00097360" w:rsidP="00EA0F13">
          <w:pPr>
            <w:rPr>
              <w:szCs w:val="18"/>
            </w:rPr>
          </w:pPr>
          <w:r>
            <w:rPr>
              <w:szCs w:val="18"/>
            </w:rPr>
            <w:t>Prinses Irenestraat 6</w:t>
          </w:r>
        </w:p>
        <w:p w14:paraId="78E8BA1C" w14:textId="77777777" w:rsidR="00985E56" w:rsidRDefault="00097360" w:rsidP="00EA0F13">
          <w:r>
            <w:rPr>
              <w:szCs w:val="18"/>
            </w:rPr>
            <w:t>2595 BD  DEN HAAG</w:t>
          </w:r>
        </w:p>
      </w:tc>
    </w:tr>
    <w:tr w:rsidR="00367884" w14:paraId="6BC0CDA3" w14:textId="77777777" w:rsidTr="007610AA">
      <w:trPr>
        <w:trHeight w:hRule="exact" w:val="400"/>
      </w:trPr>
      <w:tc>
        <w:tcPr>
          <w:tcW w:w="7520" w:type="dxa"/>
          <w:gridSpan w:val="2"/>
        </w:tcPr>
        <w:p w14:paraId="00CA4B8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67884" w14:paraId="5EE41476" w14:textId="77777777" w:rsidTr="007610AA">
      <w:trPr>
        <w:trHeight w:val="240"/>
      </w:trPr>
      <w:tc>
        <w:tcPr>
          <w:tcW w:w="900" w:type="dxa"/>
        </w:tcPr>
        <w:p w14:paraId="5E9DE49E" w14:textId="77777777" w:rsidR="00527BD4" w:rsidRPr="007709EF" w:rsidRDefault="00097360" w:rsidP="00A50CF6">
          <w:pPr>
            <w:rPr>
              <w:szCs w:val="18"/>
            </w:rPr>
          </w:pPr>
          <w:r>
            <w:rPr>
              <w:szCs w:val="18"/>
            </w:rPr>
            <w:t>Datum</w:t>
          </w:r>
        </w:p>
      </w:tc>
      <w:tc>
        <w:tcPr>
          <w:tcW w:w="6620" w:type="dxa"/>
        </w:tcPr>
        <w:p w14:paraId="6A587742" w14:textId="4D6BDEB0" w:rsidR="00527BD4" w:rsidRPr="007709EF" w:rsidRDefault="00C34DD6" w:rsidP="00A50CF6">
          <w:r>
            <w:t>9 april 2026</w:t>
          </w:r>
        </w:p>
      </w:tc>
    </w:tr>
    <w:tr w:rsidR="00367884" w14:paraId="6C46FAA7" w14:textId="77777777" w:rsidTr="007610AA">
      <w:trPr>
        <w:trHeight w:val="240"/>
      </w:trPr>
      <w:tc>
        <w:tcPr>
          <w:tcW w:w="900" w:type="dxa"/>
        </w:tcPr>
        <w:p w14:paraId="6EF1EBE0" w14:textId="77777777" w:rsidR="00527BD4" w:rsidRPr="007709EF" w:rsidRDefault="00097360" w:rsidP="00A50CF6">
          <w:pPr>
            <w:rPr>
              <w:szCs w:val="18"/>
            </w:rPr>
          </w:pPr>
          <w:r>
            <w:rPr>
              <w:szCs w:val="18"/>
            </w:rPr>
            <w:t>Betreft</w:t>
          </w:r>
        </w:p>
      </w:tc>
      <w:tc>
        <w:tcPr>
          <w:tcW w:w="6620" w:type="dxa"/>
        </w:tcPr>
        <w:p w14:paraId="51F2D7A0" w14:textId="69069ACB" w:rsidR="00527BD4" w:rsidRPr="007709EF" w:rsidRDefault="00097360" w:rsidP="00A50CF6">
          <w:r>
            <w:t>Beantwoording Kamervragen over de impact van de EU Methane Emissions Regulation op de leveringszekerheid van aardgas</w:t>
          </w:r>
        </w:p>
      </w:tc>
    </w:tr>
  </w:tbl>
  <w:p w14:paraId="7A0AB73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003AD0">
      <w:start w:val="1"/>
      <w:numFmt w:val="bullet"/>
      <w:pStyle w:val="Lijstopsomteken"/>
      <w:lvlText w:val="•"/>
      <w:lvlJc w:val="left"/>
      <w:pPr>
        <w:tabs>
          <w:tab w:val="num" w:pos="227"/>
        </w:tabs>
        <w:ind w:left="227" w:hanging="227"/>
      </w:pPr>
      <w:rPr>
        <w:rFonts w:ascii="Verdana" w:hAnsi="Verdana" w:hint="default"/>
        <w:sz w:val="18"/>
        <w:szCs w:val="18"/>
      </w:rPr>
    </w:lvl>
    <w:lvl w:ilvl="1" w:tplc="CA469A50" w:tentative="1">
      <w:start w:val="1"/>
      <w:numFmt w:val="bullet"/>
      <w:lvlText w:val="o"/>
      <w:lvlJc w:val="left"/>
      <w:pPr>
        <w:tabs>
          <w:tab w:val="num" w:pos="1440"/>
        </w:tabs>
        <w:ind w:left="1440" w:hanging="360"/>
      </w:pPr>
      <w:rPr>
        <w:rFonts w:ascii="Courier New" w:hAnsi="Courier New" w:cs="Courier New" w:hint="default"/>
      </w:rPr>
    </w:lvl>
    <w:lvl w:ilvl="2" w:tplc="979A69DE" w:tentative="1">
      <w:start w:val="1"/>
      <w:numFmt w:val="bullet"/>
      <w:lvlText w:val=""/>
      <w:lvlJc w:val="left"/>
      <w:pPr>
        <w:tabs>
          <w:tab w:val="num" w:pos="2160"/>
        </w:tabs>
        <w:ind w:left="2160" w:hanging="360"/>
      </w:pPr>
      <w:rPr>
        <w:rFonts w:ascii="Wingdings" w:hAnsi="Wingdings" w:hint="default"/>
      </w:rPr>
    </w:lvl>
    <w:lvl w:ilvl="3" w:tplc="D450BE62" w:tentative="1">
      <w:start w:val="1"/>
      <w:numFmt w:val="bullet"/>
      <w:lvlText w:val=""/>
      <w:lvlJc w:val="left"/>
      <w:pPr>
        <w:tabs>
          <w:tab w:val="num" w:pos="2880"/>
        </w:tabs>
        <w:ind w:left="2880" w:hanging="360"/>
      </w:pPr>
      <w:rPr>
        <w:rFonts w:ascii="Symbol" w:hAnsi="Symbol" w:hint="default"/>
      </w:rPr>
    </w:lvl>
    <w:lvl w:ilvl="4" w:tplc="2AF45860" w:tentative="1">
      <w:start w:val="1"/>
      <w:numFmt w:val="bullet"/>
      <w:lvlText w:val="o"/>
      <w:lvlJc w:val="left"/>
      <w:pPr>
        <w:tabs>
          <w:tab w:val="num" w:pos="3600"/>
        </w:tabs>
        <w:ind w:left="3600" w:hanging="360"/>
      </w:pPr>
      <w:rPr>
        <w:rFonts w:ascii="Courier New" w:hAnsi="Courier New" w:cs="Courier New" w:hint="default"/>
      </w:rPr>
    </w:lvl>
    <w:lvl w:ilvl="5" w:tplc="C3DC79DA" w:tentative="1">
      <w:start w:val="1"/>
      <w:numFmt w:val="bullet"/>
      <w:lvlText w:val=""/>
      <w:lvlJc w:val="left"/>
      <w:pPr>
        <w:tabs>
          <w:tab w:val="num" w:pos="4320"/>
        </w:tabs>
        <w:ind w:left="4320" w:hanging="360"/>
      </w:pPr>
      <w:rPr>
        <w:rFonts w:ascii="Wingdings" w:hAnsi="Wingdings" w:hint="default"/>
      </w:rPr>
    </w:lvl>
    <w:lvl w:ilvl="6" w:tplc="15C211F4" w:tentative="1">
      <w:start w:val="1"/>
      <w:numFmt w:val="bullet"/>
      <w:lvlText w:val=""/>
      <w:lvlJc w:val="left"/>
      <w:pPr>
        <w:tabs>
          <w:tab w:val="num" w:pos="5040"/>
        </w:tabs>
        <w:ind w:left="5040" w:hanging="360"/>
      </w:pPr>
      <w:rPr>
        <w:rFonts w:ascii="Symbol" w:hAnsi="Symbol" w:hint="default"/>
      </w:rPr>
    </w:lvl>
    <w:lvl w:ilvl="7" w:tplc="15DAAAB4" w:tentative="1">
      <w:start w:val="1"/>
      <w:numFmt w:val="bullet"/>
      <w:lvlText w:val="o"/>
      <w:lvlJc w:val="left"/>
      <w:pPr>
        <w:tabs>
          <w:tab w:val="num" w:pos="5760"/>
        </w:tabs>
        <w:ind w:left="5760" w:hanging="360"/>
      </w:pPr>
      <w:rPr>
        <w:rFonts w:ascii="Courier New" w:hAnsi="Courier New" w:cs="Courier New" w:hint="default"/>
      </w:rPr>
    </w:lvl>
    <w:lvl w:ilvl="8" w:tplc="2BAA8E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A70298C">
      <w:start w:val="1"/>
      <w:numFmt w:val="bullet"/>
      <w:pStyle w:val="Lijstopsomteken2"/>
      <w:lvlText w:val="–"/>
      <w:lvlJc w:val="left"/>
      <w:pPr>
        <w:tabs>
          <w:tab w:val="num" w:pos="227"/>
        </w:tabs>
        <w:ind w:left="227" w:firstLine="0"/>
      </w:pPr>
      <w:rPr>
        <w:rFonts w:ascii="Verdana" w:hAnsi="Verdana" w:hint="default"/>
      </w:rPr>
    </w:lvl>
    <w:lvl w:ilvl="1" w:tplc="53D4514E" w:tentative="1">
      <w:start w:val="1"/>
      <w:numFmt w:val="bullet"/>
      <w:lvlText w:val="o"/>
      <w:lvlJc w:val="left"/>
      <w:pPr>
        <w:tabs>
          <w:tab w:val="num" w:pos="1440"/>
        </w:tabs>
        <w:ind w:left="1440" w:hanging="360"/>
      </w:pPr>
      <w:rPr>
        <w:rFonts w:ascii="Courier New" w:hAnsi="Courier New" w:cs="Courier New" w:hint="default"/>
      </w:rPr>
    </w:lvl>
    <w:lvl w:ilvl="2" w:tplc="8E76B64A" w:tentative="1">
      <w:start w:val="1"/>
      <w:numFmt w:val="bullet"/>
      <w:lvlText w:val=""/>
      <w:lvlJc w:val="left"/>
      <w:pPr>
        <w:tabs>
          <w:tab w:val="num" w:pos="2160"/>
        </w:tabs>
        <w:ind w:left="2160" w:hanging="360"/>
      </w:pPr>
      <w:rPr>
        <w:rFonts w:ascii="Wingdings" w:hAnsi="Wingdings" w:hint="default"/>
      </w:rPr>
    </w:lvl>
    <w:lvl w:ilvl="3" w:tplc="DEB8F740" w:tentative="1">
      <w:start w:val="1"/>
      <w:numFmt w:val="bullet"/>
      <w:lvlText w:val=""/>
      <w:lvlJc w:val="left"/>
      <w:pPr>
        <w:tabs>
          <w:tab w:val="num" w:pos="2880"/>
        </w:tabs>
        <w:ind w:left="2880" w:hanging="360"/>
      </w:pPr>
      <w:rPr>
        <w:rFonts w:ascii="Symbol" w:hAnsi="Symbol" w:hint="default"/>
      </w:rPr>
    </w:lvl>
    <w:lvl w:ilvl="4" w:tplc="FD7C2A20" w:tentative="1">
      <w:start w:val="1"/>
      <w:numFmt w:val="bullet"/>
      <w:lvlText w:val="o"/>
      <w:lvlJc w:val="left"/>
      <w:pPr>
        <w:tabs>
          <w:tab w:val="num" w:pos="3600"/>
        </w:tabs>
        <w:ind w:left="3600" w:hanging="360"/>
      </w:pPr>
      <w:rPr>
        <w:rFonts w:ascii="Courier New" w:hAnsi="Courier New" w:cs="Courier New" w:hint="default"/>
      </w:rPr>
    </w:lvl>
    <w:lvl w:ilvl="5" w:tplc="72A0FE2A" w:tentative="1">
      <w:start w:val="1"/>
      <w:numFmt w:val="bullet"/>
      <w:lvlText w:val=""/>
      <w:lvlJc w:val="left"/>
      <w:pPr>
        <w:tabs>
          <w:tab w:val="num" w:pos="4320"/>
        </w:tabs>
        <w:ind w:left="4320" w:hanging="360"/>
      </w:pPr>
      <w:rPr>
        <w:rFonts w:ascii="Wingdings" w:hAnsi="Wingdings" w:hint="default"/>
      </w:rPr>
    </w:lvl>
    <w:lvl w:ilvl="6" w:tplc="4AE81D52" w:tentative="1">
      <w:start w:val="1"/>
      <w:numFmt w:val="bullet"/>
      <w:lvlText w:val=""/>
      <w:lvlJc w:val="left"/>
      <w:pPr>
        <w:tabs>
          <w:tab w:val="num" w:pos="5040"/>
        </w:tabs>
        <w:ind w:left="5040" w:hanging="360"/>
      </w:pPr>
      <w:rPr>
        <w:rFonts w:ascii="Symbol" w:hAnsi="Symbol" w:hint="default"/>
      </w:rPr>
    </w:lvl>
    <w:lvl w:ilvl="7" w:tplc="5CC0B4D0" w:tentative="1">
      <w:start w:val="1"/>
      <w:numFmt w:val="bullet"/>
      <w:lvlText w:val="o"/>
      <w:lvlJc w:val="left"/>
      <w:pPr>
        <w:tabs>
          <w:tab w:val="num" w:pos="5760"/>
        </w:tabs>
        <w:ind w:left="5760" w:hanging="360"/>
      </w:pPr>
      <w:rPr>
        <w:rFonts w:ascii="Courier New" w:hAnsi="Courier New" w:cs="Courier New" w:hint="default"/>
      </w:rPr>
    </w:lvl>
    <w:lvl w:ilvl="8" w:tplc="32D0CE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9939120">
    <w:abstractNumId w:val="10"/>
  </w:num>
  <w:num w:numId="2" w16cid:durableId="223491708">
    <w:abstractNumId w:val="7"/>
  </w:num>
  <w:num w:numId="3" w16cid:durableId="175115100">
    <w:abstractNumId w:val="6"/>
  </w:num>
  <w:num w:numId="4" w16cid:durableId="635725899">
    <w:abstractNumId w:val="5"/>
  </w:num>
  <w:num w:numId="5" w16cid:durableId="702486316">
    <w:abstractNumId w:val="4"/>
  </w:num>
  <w:num w:numId="6" w16cid:durableId="359092648">
    <w:abstractNumId w:val="8"/>
  </w:num>
  <w:num w:numId="7" w16cid:durableId="802650335">
    <w:abstractNumId w:val="3"/>
  </w:num>
  <w:num w:numId="8" w16cid:durableId="783882796">
    <w:abstractNumId w:val="2"/>
  </w:num>
  <w:num w:numId="9" w16cid:durableId="1269855646">
    <w:abstractNumId w:val="1"/>
  </w:num>
  <w:num w:numId="10" w16cid:durableId="1718361064">
    <w:abstractNumId w:val="0"/>
  </w:num>
  <w:num w:numId="11" w16cid:durableId="989670588">
    <w:abstractNumId w:val="9"/>
  </w:num>
  <w:num w:numId="12" w16cid:durableId="801577811">
    <w:abstractNumId w:val="11"/>
  </w:num>
  <w:num w:numId="13" w16cid:durableId="388380685">
    <w:abstractNumId w:val="13"/>
  </w:num>
  <w:num w:numId="14" w16cid:durableId="30258587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03D6"/>
    <w:rsid w:val="00042A5B"/>
    <w:rsid w:val="00056704"/>
    <w:rsid w:val="0006024D"/>
    <w:rsid w:val="00071F28"/>
    <w:rsid w:val="00074079"/>
    <w:rsid w:val="00092799"/>
    <w:rsid w:val="00092C5F"/>
    <w:rsid w:val="00096680"/>
    <w:rsid w:val="0009736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189C"/>
    <w:rsid w:val="002A4811"/>
    <w:rsid w:val="002A4CF3"/>
    <w:rsid w:val="002B153C"/>
    <w:rsid w:val="002B52FC"/>
    <w:rsid w:val="002C2830"/>
    <w:rsid w:val="002D001A"/>
    <w:rsid w:val="002D28E2"/>
    <w:rsid w:val="002D317B"/>
    <w:rsid w:val="002D3587"/>
    <w:rsid w:val="002D502D"/>
    <w:rsid w:val="002D66EC"/>
    <w:rsid w:val="002E0F69"/>
    <w:rsid w:val="002F056B"/>
    <w:rsid w:val="002F5147"/>
    <w:rsid w:val="002F7ABD"/>
    <w:rsid w:val="00312597"/>
    <w:rsid w:val="00327BA5"/>
    <w:rsid w:val="0033326F"/>
    <w:rsid w:val="00334154"/>
    <w:rsid w:val="00335680"/>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7884"/>
    <w:rsid w:val="00371048"/>
    <w:rsid w:val="0037396C"/>
    <w:rsid w:val="0037421D"/>
    <w:rsid w:val="00376093"/>
    <w:rsid w:val="00376D76"/>
    <w:rsid w:val="00381D23"/>
    <w:rsid w:val="003825F1"/>
    <w:rsid w:val="00383DA1"/>
    <w:rsid w:val="00385F30"/>
    <w:rsid w:val="003861F9"/>
    <w:rsid w:val="00393696"/>
    <w:rsid w:val="00393963"/>
    <w:rsid w:val="00395575"/>
    <w:rsid w:val="00395672"/>
    <w:rsid w:val="003A06C8"/>
    <w:rsid w:val="003A0D7C"/>
    <w:rsid w:val="003A5290"/>
    <w:rsid w:val="003B0155"/>
    <w:rsid w:val="003B7EE7"/>
    <w:rsid w:val="003C2CCB"/>
    <w:rsid w:val="003D39EC"/>
    <w:rsid w:val="003D5DED"/>
    <w:rsid w:val="003E14CA"/>
    <w:rsid w:val="003E3DD5"/>
    <w:rsid w:val="003F07C6"/>
    <w:rsid w:val="003F1F6B"/>
    <w:rsid w:val="003F3757"/>
    <w:rsid w:val="003F38BD"/>
    <w:rsid w:val="003F44B7"/>
    <w:rsid w:val="004008E9"/>
    <w:rsid w:val="00400B08"/>
    <w:rsid w:val="00405C2A"/>
    <w:rsid w:val="00413D48"/>
    <w:rsid w:val="00423A19"/>
    <w:rsid w:val="00441AC2"/>
    <w:rsid w:val="0044249B"/>
    <w:rsid w:val="004471D1"/>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BC4"/>
    <w:rsid w:val="004B2F0C"/>
    <w:rsid w:val="004B5465"/>
    <w:rsid w:val="004B63D2"/>
    <w:rsid w:val="004B70F0"/>
    <w:rsid w:val="004C21A8"/>
    <w:rsid w:val="004D505E"/>
    <w:rsid w:val="004D72CA"/>
    <w:rsid w:val="004E2242"/>
    <w:rsid w:val="004F42FF"/>
    <w:rsid w:val="004F44C2"/>
    <w:rsid w:val="005023CD"/>
    <w:rsid w:val="00502512"/>
    <w:rsid w:val="00503FD2"/>
    <w:rsid w:val="00505262"/>
    <w:rsid w:val="005142A6"/>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5CC1"/>
    <w:rsid w:val="0060660A"/>
    <w:rsid w:val="006077D9"/>
    <w:rsid w:val="00607F0F"/>
    <w:rsid w:val="00613B1D"/>
    <w:rsid w:val="00617A44"/>
    <w:rsid w:val="006202B6"/>
    <w:rsid w:val="00625CD0"/>
    <w:rsid w:val="0062627D"/>
    <w:rsid w:val="00627432"/>
    <w:rsid w:val="006304C9"/>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304C"/>
    <w:rsid w:val="006B775E"/>
    <w:rsid w:val="006B7A36"/>
    <w:rsid w:val="006B7BC7"/>
    <w:rsid w:val="006C2535"/>
    <w:rsid w:val="006C441E"/>
    <w:rsid w:val="006C4B90"/>
    <w:rsid w:val="006D1016"/>
    <w:rsid w:val="006D17F2"/>
    <w:rsid w:val="006D3F8F"/>
    <w:rsid w:val="006E3546"/>
    <w:rsid w:val="006E3FA9"/>
    <w:rsid w:val="006E5CCC"/>
    <w:rsid w:val="006E7D82"/>
    <w:rsid w:val="006F038F"/>
    <w:rsid w:val="006F0513"/>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234E"/>
    <w:rsid w:val="00754FBF"/>
    <w:rsid w:val="007610AA"/>
    <w:rsid w:val="007709EF"/>
    <w:rsid w:val="00782701"/>
    <w:rsid w:val="00783559"/>
    <w:rsid w:val="0079551B"/>
    <w:rsid w:val="00797AA5"/>
    <w:rsid w:val="007A26BD"/>
    <w:rsid w:val="007A4105"/>
    <w:rsid w:val="007B4503"/>
    <w:rsid w:val="007C406E"/>
    <w:rsid w:val="007C5183"/>
    <w:rsid w:val="007C7573"/>
    <w:rsid w:val="007D5674"/>
    <w:rsid w:val="007E2B20"/>
    <w:rsid w:val="007F3645"/>
    <w:rsid w:val="007F439C"/>
    <w:rsid w:val="007F5331"/>
    <w:rsid w:val="00800B4D"/>
    <w:rsid w:val="00800CCA"/>
    <w:rsid w:val="00806120"/>
    <w:rsid w:val="0080649B"/>
    <w:rsid w:val="00806F63"/>
    <w:rsid w:val="00810C93"/>
    <w:rsid w:val="00812028"/>
    <w:rsid w:val="00812DD8"/>
    <w:rsid w:val="00813082"/>
    <w:rsid w:val="00814D03"/>
    <w:rsid w:val="00820371"/>
    <w:rsid w:val="00821FC1"/>
    <w:rsid w:val="0082341A"/>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7BD5"/>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26EC"/>
    <w:rsid w:val="008E49AD"/>
    <w:rsid w:val="008E698E"/>
    <w:rsid w:val="008F2584"/>
    <w:rsid w:val="008F3246"/>
    <w:rsid w:val="008F3C1B"/>
    <w:rsid w:val="008F508C"/>
    <w:rsid w:val="00901BE9"/>
    <w:rsid w:val="0090271B"/>
    <w:rsid w:val="00910642"/>
    <w:rsid w:val="00910DDF"/>
    <w:rsid w:val="0092316D"/>
    <w:rsid w:val="00923CBD"/>
    <w:rsid w:val="00926AE2"/>
    <w:rsid w:val="00927639"/>
    <w:rsid w:val="00930B13"/>
    <w:rsid w:val="009311C8"/>
    <w:rsid w:val="00933376"/>
    <w:rsid w:val="00933A2F"/>
    <w:rsid w:val="009516B9"/>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060C4"/>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677D0"/>
    <w:rsid w:val="00A715F8"/>
    <w:rsid w:val="00A77F6F"/>
    <w:rsid w:val="00A831FD"/>
    <w:rsid w:val="00A83352"/>
    <w:rsid w:val="00A850A2"/>
    <w:rsid w:val="00A85A86"/>
    <w:rsid w:val="00A91FA3"/>
    <w:rsid w:val="00A927D3"/>
    <w:rsid w:val="00AA0C1B"/>
    <w:rsid w:val="00AA7FC9"/>
    <w:rsid w:val="00AB0EED"/>
    <w:rsid w:val="00AB237D"/>
    <w:rsid w:val="00AB23D1"/>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9480E"/>
    <w:rsid w:val="00BA1397"/>
    <w:rsid w:val="00BA29C2"/>
    <w:rsid w:val="00BA51E1"/>
    <w:rsid w:val="00BA7E0A"/>
    <w:rsid w:val="00BC2C00"/>
    <w:rsid w:val="00BC3B53"/>
    <w:rsid w:val="00BC3B96"/>
    <w:rsid w:val="00BC4AE3"/>
    <w:rsid w:val="00BC5B28"/>
    <w:rsid w:val="00BD2370"/>
    <w:rsid w:val="00BE3F88"/>
    <w:rsid w:val="00BE4756"/>
    <w:rsid w:val="00BE5ED9"/>
    <w:rsid w:val="00BE7B41"/>
    <w:rsid w:val="00C15A91"/>
    <w:rsid w:val="00C16F59"/>
    <w:rsid w:val="00C206F1"/>
    <w:rsid w:val="00C217E1"/>
    <w:rsid w:val="00C219B1"/>
    <w:rsid w:val="00C34DD6"/>
    <w:rsid w:val="00C4015B"/>
    <w:rsid w:val="00C40C60"/>
    <w:rsid w:val="00C435ED"/>
    <w:rsid w:val="00C5258E"/>
    <w:rsid w:val="00C530C9"/>
    <w:rsid w:val="00C53CFC"/>
    <w:rsid w:val="00C5639A"/>
    <w:rsid w:val="00C619A7"/>
    <w:rsid w:val="00C73D5F"/>
    <w:rsid w:val="00C82AFE"/>
    <w:rsid w:val="00C83DBC"/>
    <w:rsid w:val="00C97C80"/>
    <w:rsid w:val="00CA0A7E"/>
    <w:rsid w:val="00CA47D3"/>
    <w:rsid w:val="00CA6533"/>
    <w:rsid w:val="00CA6A25"/>
    <w:rsid w:val="00CA6A3F"/>
    <w:rsid w:val="00CA7C99"/>
    <w:rsid w:val="00CC6290"/>
    <w:rsid w:val="00CD233D"/>
    <w:rsid w:val="00CD3499"/>
    <w:rsid w:val="00CD362D"/>
    <w:rsid w:val="00CD69C7"/>
    <w:rsid w:val="00CE101D"/>
    <w:rsid w:val="00CE1814"/>
    <w:rsid w:val="00CE1A95"/>
    <w:rsid w:val="00CE1C84"/>
    <w:rsid w:val="00CE5055"/>
    <w:rsid w:val="00CE78E9"/>
    <w:rsid w:val="00CF053F"/>
    <w:rsid w:val="00CF1A17"/>
    <w:rsid w:val="00CF2D64"/>
    <w:rsid w:val="00D0375A"/>
    <w:rsid w:val="00D0609E"/>
    <w:rsid w:val="00D078E1"/>
    <w:rsid w:val="00D100E9"/>
    <w:rsid w:val="00D16E9E"/>
    <w:rsid w:val="00D17942"/>
    <w:rsid w:val="00D21E4B"/>
    <w:rsid w:val="00D22441"/>
    <w:rsid w:val="00D23522"/>
    <w:rsid w:val="00D264D6"/>
    <w:rsid w:val="00D33BF0"/>
    <w:rsid w:val="00D33DE0"/>
    <w:rsid w:val="00D36447"/>
    <w:rsid w:val="00D502BE"/>
    <w:rsid w:val="00D516BE"/>
    <w:rsid w:val="00D5423B"/>
    <w:rsid w:val="00D54E6A"/>
    <w:rsid w:val="00D54F4E"/>
    <w:rsid w:val="00D57A56"/>
    <w:rsid w:val="00D604B3"/>
    <w:rsid w:val="00D60BA4"/>
    <w:rsid w:val="00D62419"/>
    <w:rsid w:val="00D67FB4"/>
    <w:rsid w:val="00D77870"/>
    <w:rsid w:val="00D80977"/>
    <w:rsid w:val="00D80CCE"/>
    <w:rsid w:val="00D86EEA"/>
    <w:rsid w:val="00D87195"/>
    <w:rsid w:val="00D87D03"/>
    <w:rsid w:val="00D91E85"/>
    <w:rsid w:val="00D9360B"/>
    <w:rsid w:val="00D95C88"/>
    <w:rsid w:val="00D97B2E"/>
    <w:rsid w:val="00DA241E"/>
    <w:rsid w:val="00DA6D30"/>
    <w:rsid w:val="00DB36FE"/>
    <w:rsid w:val="00DB533A"/>
    <w:rsid w:val="00DB60AE"/>
    <w:rsid w:val="00DB6307"/>
    <w:rsid w:val="00DD1DCD"/>
    <w:rsid w:val="00DD338F"/>
    <w:rsid w:val="00DD52D9"/>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6418"/>
    <w:rsid w:val="00E26CD9"/>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09F6"/>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D62CC"/>
    <w:rsid w:val="00FE1CB6"/>
    <w:rsid w:val="00FE486B"/>
    <w:rsid w:val="00FE4C30"/>
    <w:rsid w:val="00FE4F08"/>
    <w:rsid w:val="00FE6B5F"/>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A060C4"/>
    <w:rPr>
      <w:vertAlign w:val="superscript"/>
    </w:rPr>
  </w:style>
  <w:style w:type="paragraph" w:styleId="Tekstopmerking">
    <w:name w:val="annotation text"/>
    <w:basedOn w:val="Standaard"/>
    <w:link w:val="TekstopmerkingChar"/>
    <w:uiPriority w:val="99"/>
    <w:unhideWhenUsed/>
    <w:rsid w:val="00A060C4"/>
    <w:pPr>
      <w:spacing w:after="160" w:line="240" w:lineRule="auto"/>
    </w:pPr>
    <w:rPr>
      <w:rFonts w:asciiTheme="minorHAnsi" w:hAnsiTheme="minorHAnsi"/>
      <w:sz w:val="20"/>
      <w:szCs w:val="20"/>
      <w:lang w:eastAsia="en-US"/>
    </w:rPr>
  </w:style>
  <w:style w:type="character" w:customStyle="1" w:styleId="TekstopmerkingChar">
    <w:name w:val="Tekst opmerking Char"/>
    <w:basedOn w:val="Standaardalinea-lettertype"/>
    <w:link w:val="Tekstopmerking"/>
    <w:uiPriority w:val="99"/>
    <w:rsid w:val="00A060C4"/>
    <w:rPr>
      <w:rFonts w:asciiTheme="minorHAnsi" w:hAnsiTheme="minorHAnsi"/>
      <w:lang w:val="nl-NL"/>
    </w:rPr>
  </w:style>
  <w:style w:type="character" w:styleId="Verwijzingopmerking">
    <w:name w:val="annotation reference"/>
    <w:basedOn w:val="Standaardalinea-lettertype"/>
    <w:uiPriority w:val="99"/>
    <w:semiHidden/>
    <w:unhideWhenUsed/>
    <w:rsid w:val="00A060C4"/>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A060C4"/>
    <w:rPr>
      <w:b/>
      <w:bCs/>
    </w:rPr>
  </w:style>
  <w:style w:type="character" w:customStyle="1" w:styleId="OnderwerpvanopmerkingChar">
    <w:name w:val="Onderwerp van opmerking Char"/>
    <w:basedOn w:val="TekstopmerkingChar"/>
    <w:link w:val="Onderwerpvanopmerking"/>
    <w:uiPriority w:val="99"/>
    <w:semiHidden/>
    <w:rsid w:val="00A060C4"/>
    <w:rPr>
      <w:rFonts w:asciiTheme="minorHAnsi" w:hAnsiTheme="minorHAnsi"/>
      <w:b/>
      <w:bCs/>
      <w:lang w:val="nl-NL"/>
    </w:rPr>
  </w:style>
  <w:style w:type="paragraph" w:styleId="Revisie">
    <w:name w:val="Revision"/>
    <w:hidden/>
    <w:uiPriority w:val="99"/>
    <w:semiHidden/>
    <w:rsid w:val="003861F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6022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31664"/>
    <w:rsid w:val="001B66E7"/>
    <w:rsid w:val="001E61EE"/>
    <w:rsid w:val="002364F4"/>
    <w:rsid w:val="00381D23"/>
    <w:rsid w:val="003E14CA"/>
    <w:rsid w:val="004471D1"/>
    <w:rsid w:val="005624F2"/>
    <w:rsid w:val="00607F0F"/>
    <w:rsid w:val="006420DE"/>
    <w:rsid w:val="006D3F8F"/>
    <w:rsid w:val="00860226"/>
    <w:rsid w:val="00877B09"/>
    <w:rsid w:val="008C7118"/>
    <w:rsid w:val="008D7F4F"/>
    <w:rsid w:val="008E26EC"/>
    <w:rsid w:val="009119E8"/>
    <w:rsid w:val="0092316D"/>
    <w:rsid w:val="00927639"/>
    <w:rsid w:val="009C2713"/>
    <w:rsid w:val="00A164D0"/>
    <w:rsid w:val="00A22FC5"/>
    <w:rsid w:val="00A677D0"/>
    <w:rsid w:val="00B00A4F"/>
    <w:rsid w:val="00BA29C2"/>
    <w:rsid w:val="00C5639A"/>
    <w:rsid w:val="00C6632B"/>
    <w:rsid w:val="00CA0A7E"/>
    <w:rsid w:val="00D16E9E"/>
    <w:rsid w:val="00D36D36"/>
    <w:rsid w:val="00D502BE"/>
    <w:rsid w:val="00DA6D30"/>
    <w:rsid w:val="00E26418"/>
    <w:rsid w:val="00ED7804"/>
    <w:rsid w:val="00F43711"/>
    <w:rsid w:val="00FD62CC"/>
    <w:rsid w:val="00FE4C30"/>
    <w:rsid w:val="00FE6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872</ap:Words>
  <ap:Characters>4801</ap:Characters>
  <ap:DocSecurity>0</ap:DocSecurity>
  <ap:Lines>40</ap:Lines>
  <ap:Paragraphs>11</ap:Paragraphs>
  <ap:ScaleCrop>false</ap:ScaleCrop>
  <ap:LinksUpToDate>false</ap:LinksUpToDate>
  <ap:CharactersWithSpaces>5662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2026-04-09T11:57:00.0000000Z</dcterms:created>
  <dcterms:modified xsi:type="dcterms:W3CDTF">2026-04-09T11:58:00.0000000Z</dcterms:modified>
  <dc:description>------------------------</dc:description>
  <dc:subject/>
  <keywords/>
  <version/>
  <category/>
</coreProperties>
</file>