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3EF7" w:rsidRDefault="00695379" w14:paraId="5D95034C" w14:textId="77777777">
      <w:pPr>
        <w:pStyle w:val="StandaardAanhef"/>
      </w:pPr>
      <w:r>
        <w:t>Geachte voorzitter,</w:t>
      </w:r>
    </w:p>
    <w:p w:rsidR="00247864" w:rsidP="00247864" w:rsidRDefault="00247864" w14:paraId="38AC72DF" w14:textId="77777777">
      <w:r>
        <w:t>Bijgevoegd vindt u de ramingstoelichting en de certificeringsnotitie van het Centraal Planbureau (CPB) over de budgettaire derving naar aanleiding van het Hoge Raad arrest over het belastingrentepercentage voor de vennootschapsbelasting (</w:t>
      </w:r>
      <w:proofErr w:type="spellStart"/>
      <w:r>
        <w:t>Vpb</w:t>
      </w:r>
      <w:proofErr w:type="spellEnd"/>
      <w:r>
        <w:t xml:space="preserve">) en enkele andere belastingen. </w:t>
      </w:r>
    </w:p>
    <w:p w:rsidR="00D060F7" w:rsidRDefault="00D060F7" w14:paraId="4ABF9CF1" w14:textId="77777777"/>
    <w:p w:rsidR="00285EF0" w:rsidP="00331FBD" w:rsidRDefault="00217079" w14:paraId="33F4B1C7" w14:textId="77777777">
      <w:r>
        <w:t xml:space="preserve">De Hoge Raad heeft op 16 januari een </w:t>
      </w:r>
      <w:r w:rsidR="00001D00">
        <w:t>arrest gewezen</w:t>
      </w:r>
      <w:r>
        <w:t xml:space="preserve"> over de belastingrente die geldt voor de </w:t>
      </w:r>
      <w:proofErr w:type="spellStart"/>
      <w:r w:rsidR="00FB67D6">
        <w:t>Vpb</w:t>
      </w:r>
      <w:proofErr w:type="spellEnd"/>
      <w:r w:rsidR="00FB67D6">
        <w:t xml:space="preserve"> </w:t>
      </w:r>
      <w:r w:rsidR="00A96480">
        <w:t xml:space="preserve">en </w:t>
      </w:r>
      <w:r w:rsidR="004D7E8B">
        <w:t>enkele andere belastingen zoals de bronbelasting en de minimumbelasting</w:t>
      </w:r>
      <w:r w:rsidR="00E17092">
        <w:t xml:space="preserve"> (</w:t>
      </w:r>
      <w:proofErr w:type="spellStart"/>
      <w:r w:rsidR="00E17092">
        <w:t>Vpb</w:t>
      </w:r>
      <w:proofErr w:type="spellEnd"/>
      <w:r w:rsidR="00E17092">
        <w:t>+)</w:t>
      </w:r>
      <w:r w:rsidR="004D7E8B">
        <w:t xml:space="preserve">. </w:t>
      </w:r>
      <w:r w:rsidR="00331FBD">
        <w:t xml:space="preserve">De zaak ging over de vraag of het hogere belastingrentepercentage wat geldt voor deze belastingen, in strijd is met algemene rechtsbeginselen. Voor andere belastingen </w:t>
      </w:r>
      <w:r w:rsidR="00D80F03">
        <w:t xml:space="preserve">zoals de inkomstenbelasting </w:t>
      </w:r>
      <w:r w:rsidR="00331FBD">
        <w:t>geldt namelijk een lager percentage.</w:t>
      </w:r>
    </w:p>
    <w:p w:rsidR="00285EF0" w:rsidP="00217079" w:rsidRDefault="00285EF0" w14:paraId="4D54EC2B" w14:textId="77777777"/>
    <w:p w:rsidR="009B2DB5" w:rsidP="009B2DB5" w:rsidRDefault="009B2DB5" w14:paraId="4DF51565" w14:textId="77777777">
      <w:r>
        <w:t xml:space="preserve">De Hoge Raad heeft geoordeeld dat dit hogere percentage voor de </w:t>
      </w:r>
      <w:proofErr w:type="spellStart"/>
      <w:r>
        <w:t>Vpb</w:t>
      </w:r>
      <w:proofErr w:type="spellEnd"/>
      <w:r>
        <w:t>+ in strijd is met het evenredigheids- en het gelijkheidsbeginsel</w:t>
      </w:r>
      <w:r w:rsidR="00036E80">
        <w:t xml:space="preserve">. </w:t>
      </w:r>
      <w:r>
        <w:t>Dit betekent dat het moet worden verlaagd naar het percentage wat geldt voor andere belastingen</w:t>
      </w:r>
    </w:p>
    <w:p w:rsidR="009B2DB5" w:rsidP="009B2DB5" w:rsidRDefault="009B2DB5" w14:paraId="4E42B37C" w14:textId="77777777"/>
    <w:p w:rsidR="009B2DB5" w:rsidP="009B2DB5" w:rsidRDefault="009B2DB5" w14:paraId="6FEC762F" w14:textId="77777777">
      <w:proofErr w:type="gramStart"/>
      <w:r>
        <w:t>Conform</w:t>
      </w:r>
      <w:proofErr w:type="gramEnd"/>
      <w:r>
        <w:t xml:space="preserve"> de begrotingsregels tellen de budgettaire gevolgen van gerechtelijke uitspraken mee voor het inkomstenkader. Dit arrest leidt daarom tot een lastenrelevante derving (zie tabel 1). Dit </w:t>
      </w:r>
      <w:r w:rsidRPr="00A35561">
        <w:t>is verwerkt in de startnota van het kabinet</w:t>
      </w:r>
      <w:r>
        <w:t xml:space="preserve"> en </w:t>
      </w:r>
      <w:r w:rsidRPr="00A35561">
        <w:t xml:space="preserve">de raming </w:t>
      </w:r>
      <w:r>
        <w:t xml:space="preserve">is </w:t>
      </w:r>
      <w:r w:rsidRPr="00A35561">
        <w:t>zoals gebruikelijk ter certificering voorgelegd aan het CPB. De raming is zonder aanpassingen gecertificeerd.</w:t>
      </w:r>
      <w:r w:rsidR="0020325F">
        <w:t xml:space="preserve"> </w:t>
      </w:r>
      <w:r w:rsidRPr="0020325F" w:rsidR="0020325F">
        <w:t>Er zijn dus geen budgettaire wijzigingen.</w:t>
      </w:r>
    </w:p>
    <w:p w:rsidR="00170A28" w:rsidRDefault="00170A28" w14:paraId="5D7ED69E" w14:textId="77777777"/>
    <w:p w:rsidRPr="00C40922" w:rsidR="000C46DB" w:rsidP="000C46DB" w:rsidRDefault="000C46DB" w14:paraId="65FC5AD1" w14:textId="77777777">
      <w:r>
        <w:rPr>
          <w:i/>
          <w:iCs/>
        </w:rPr>
        <w:t xml:space="preserve">Tabel 1: budgettaire gevolgen arrest Hoge Raad belastingrentepercentage </w:t>
      </w:r>
    </w:p>
    <w:tbl>
      <w:tblPr>
        <w:tblStyle w:val="Rastertabel4-Accent4"/>
        <w:tblW w:w="5000" w:type="pct"/>
        <w:tblLook w:val="04A0" w:firstRow="1" w:lastRow="0" w:firstColumn="1" w:lastColumn="0" w:noHBand="0" w:noVBand="1"/>
      </w:tblPr>
      <w:tblGrid>
        <w:gridCol w:w="1756"/>
        <w:gridCol w:w="728"/>
        <w:gridCol w:w="728"/>
        <w:gridCol w:w="728"/>
        <w:gridCol w:w="728"/>
        <w:gridCol w:w="728"/>
        <w:gridCol w:w="728"/>
        <w:gridCol w:w="1350"/>
      </w:tblGrid>
      <w:tr w:rsidR="000C46DB" w:rsidTr="00151355" w14:paraId="170D646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pct"/>
          </w:tcPr>
          <w:p w:rsidR="000C46DB" w:rsidP="00151355" w:rsidRDefault="000C46DB" w14:paraId="1D34E197" w14:textId="77777777"/>
        </w:tc>
        <w:tc>
          <w:tcPr>
            <w:tcW w:w="484" w:type="pct"/>
          </w:tcPr>
          <w:p w:rsidR="000C46DB" w:rsidP="00151355" w:rsidRDefault="000C46DB" w14:paraId="10BF1348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2026</w:t>
            </w:r>
          </w:p>
        </w:tc>
        <w:tc>
          <w:tcPr>
            <w:tcW w:w="484" w:type="pct"/>
          </w:tcPr>
          <w:p w:rsidR="000C46DB" w:rsidP="00151355" w:rsidRDefault="000C46DB" w14:paraId="0D537831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2027</w:t>
            </w:r>
          </w:p>
        </w:tc>
        <w:tc>
          <w:tcPr>
            <w:tcW w:w="484" w:type="pct"/>
          </w:tcPr>
          <w:p w:rsidR="000C46DB" w:rsidP="00151355" w:rsidRDefault="000C46DB" w14:paraId="5636AAC5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2028</w:t>
            </w:r>
          </w:p>
        </w:tc>
        <w:tc>
          <w:tcPr>
            <w:tcW w:w="484" w:type="pct"/>
          </w:tcPr>
          <w:p w:rsidR="000C46DB" w:rsidP="00151355" w:rsidRDefault="000C46DB" w14:paraId="0A421F8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2029</w:t>
            </w:r>
          </w:p>
        </w:tc>
        <w:tc>
          <w:tcPr>
            <w:tcW w:w="484" w:type="pct"/>
          </w:tcPr>
          <w:p w:rsidR="000C46DB" w:rsidP="00151355" w:rsidRDefault="000C46DB" w14:paraId="25C087B0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2030</w:t>
            </w:r>
          </w:p>
        </w:tc>
        <w:tc>
          <w:tcPr>
            <w:tcW w:w="484" w:type="pct"/>
          </w:tcPr>
          <w:p w:rsidR="000C46DB" w:rsidP="00151355" w:rsidRDefault="000C46DB" w14:paraId="66223843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2031</w:t>
            </w:r>
          </w:p>
        </w:tc>
        <w:tc>
          <w:tcPr>
            <w:tcW w:w="897" w:type="pct"/>
          </w:tcPr>
          <w:p w:rsidR="000C46DB" w:rsidP="00151355" w:rsidRDefault="000C46DB" w14:paraId="49D54D90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Structureel</w:t>
            </w:r>
          </w:p>
        </w:tc>
      </w:tr>
      <w:tr w:rsidR="000C46DB" w:rsidTr="00151355" w14:paraId="6F82498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pct"/>
          </w:tcPr>
          <w:p w:rsidRPr="00C45311" w:rsidR="000C46DB" w:rsidP="00151355" w:rsidRDefault="000C46DB" w14:paraId="77D0B99F" w14:textId="7777777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Arrest Hoge Raad</w:t>
            </w:r>
          </w:p>
        </w:tc>
        <w:tc>
          <w:tcPr>
            <w:tcW w:w="484" w:type="pct"/>
          </w:tcPr>
          <w:p w:rsidR="000C46DB" w:rsidP="00151355" w:rsidRDefault="000C46DB" w14:paraId="1D6E078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-264</w:t>
            </w:r>
          </w:p>
        </w:tc>
        <w:tc>
          <w:tcPr>
            <w:tcW w:w="484" w:type="pct"/>
          </w:tcPr>
          <w:p w:rsidR="000C46DB" w:rsidP="00151355" w:rsidRDefault="000C46DB" w14:paraId="21241FD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-145</w:t>
            </w:r>
          </w:p>
        </w:tc>
        <w:tc>
          <w:tcPr>
            <w:tcW w:w="484" w:type="pct"/>
          </w:tcPr>
          <w:p w:rsidR="000C46DB" w:rsidP="00151355" w:rsidRDefault="000C46DB" w14:paraId="01E715E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72C0">
              <w:t>-145</w:t>
            </w:r>
          </w:p>
        </w:tc>
        <w:tc>
          <w:tcPr>
            <w:tcW w:w="484" w:type="pct"/>
          </w:tcPr>
          <w:p w:rsidR="000C46DB" w:rsidP="00151355" w:rsidRDefault="000C46DB" w14:paraId="193F6C9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72C0">
              <w:t>-145</w:t>
            </w:r>
          </w:p>
        </w:tc>
        <w:tc>
          <w:tcPr>
            <w:tcW w:w="484" w:type="pct"/>
          </w:tcPr>
          <w:p w:rsidR="000C46DB" w:rsidP="00151355" w:rsidRDefault="000C46DB" w14:paraId="3135055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72C0">
              <w:t>-145</w:t>
            </w:r>
          </w:p>
        </w:tc>
        <w:tc>
          <w:tcPr>
            <w:tcW w:w="484" w:type="pct"/>
          </w:tcPr>
          <w:p w:rsidR="000C46DB" w:rsidP="00151355" w:rsidRDefault="000C46DB" w14:paraId="5A1AC57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72C0">
              <w:t>-145</w:t>
            </w:r>
          </w:p>
        </w:tc>
        <w:tc>
          <w:tcPr>
            <w:tcW w:w="897" w:type="pct"/>
          </w:tcPr>
          <w:p w:rsidR="000C46DB" w:rsidP="00151355" w:rsidRDefault="000C46DB" w14:paraId="5015CDB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72C0">
              <w:t>-145</w:t>
            </w:r>
          </w:p>
        </w:tc>
      </w:tr>
    </w:tbl>
    <w:p w:rsidR="00D34855" w:rsidRDefault="00D34855" w14:paraId="744CEFDA" w14:textId="77777777"/>
    <w:p w:rsidR="00B9364B" w:rsidRDefault="00B9364B" w14:paraId="469A769B" w14:textId="77777777">
      <w:pPr>
        <w:spacing w:line="240" w:lineRule="auto"/>
      </w:pPr>
      <w:r>
        <w:br w:type="page"/>
      </w:r>
    </w:p>
    <w:p w:rsidR="00FF6086" w:rsidP="00FF6086" w:rsidRDefault="00FF6086" w14:paraId="2EC4EE41" w14:textId="77777777">
      <w:r>
        <w:lastRenderedPageBreak/>
        <w:t xml:space="preserve">Bij het certificeringsproces beziet het CPB als onafhankelijke instantie de </w:t>
      </w:r>
    </w:p>
    <w:p w:rsidR="00FF6086" w:rsidP="00FF6086" w:rsidRDefault="00FF6086" w14:paraId="53F4F433" w14:textId="77777777">
      <w:proofErr w:type="gramStart"/>
      <w:r>
        <w:t>budgettaire</w:t>
      </w:r>
      <w:proofErr w:type="gramEnd"/>
      <w:r>
        <w:t xml:space="preserve"> effecten van belastingmaatregelen, inclusief de inschatting van de </w:t>
      </w:r>
    </w:p>
    <w:p w:rsidR="00FF6086" w:rsidP="00FF6086" w:rsidRDefault="00FF6086" w14:paraId="77493864" w14:textId="77777777">
      <w:proofErr w:type="gramStart"/>
      <w:r>
        <w:t>gedragseffecten</w:t>
      </w:r>
      <w:proofErr w:type="gramEnd"/>
      <w:r>
        <w:t xml:space="preserve">. De basis hiervoor ligt in empirisch onderzoek, voor zover dit </w:t>
      </w:r>
    </w:p>
    <w:p w:rsidR="00FF6086" w:rsidP="00FF6086" w:rsidRDefault="00FF6086" w14:paraId="4F055BCC" w14:textId="77777777">
      <w:proofErr w:type="gramStart"/>
      <w:r>
        <w:t>beschikbaar</w:t>
      </w:r>
      <w:proofErr w:type="gramEnd"/>
      <w:r>
        <w:t xml:space="preserve"> is. Dit houdt in dat het CPB toetst of de ramingen ‘neutraal en </w:t>
      </w:r>
    </w:p>
    <w:p w:rsidR="00FF6086" w:rsidP="00FF6086" w:rsidRDefault="00FF6086" w14:paraId="1B9F8A89" w14:textId="77777777">
      <w:proofErr w:type="gramStart"/>
      <w:r>
        <w:t>redelijk‘ zijn</w:t>
      </w:r>
      <w:proofErr w:type="gramEnd"/>
      <w:r>
        <w:t xml:space="preserve">. Ook geeft het CPB de mate van onzekerheid van een raming weer, </w:t>
      </w:r>
    </w:p>
    <w:p w:rsidR="00170A28" w:rsidP="00FF6086" w:rsidRDefault="00FF6086" w14:paraId="5292730C" w14:textId="77777777">
      <w:proofErr w:type="gramStart"/>
      <w:r>
        <w:t>wat</w:t>
      </w:r>
      <w:proofErr w:type="gramEnd"/>
      <w:r>
        <w:t xml:space="preserve"> de kwaliteit en transparantie van de ramingen bevordert.</w:t>
      </w:r>
    </w:p>
    <w:p w:rsidR="00170A28" w:rsidRDefault="00170A28" w14:paraId="575485EC" w14:textId="77777777"/>
    <w:p w:rsidR="002A3EF7" w:rsidRDefault="00695379" w14:paraId="60A2A485" w14:textId="77777777">
      <w:pPr>
        <w:pStyle w:val="StandaardSlotzin"/>
      </w:pPr>
      <w:r>
        <w:t>Hoogachtend,</w:t>
      </w:r>
    </w:p>
    <w:p w:rsidR="002A3EF7" w:rsidRDefault="002A3EF7" w14:paraId="5A8E70D6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2A3EF7" w14:paraId="3632C059" w14:textId="77777777">
        <w:tc>
          <w:tcPr>
            <w:tcW w:w="3592" w:type="dxa"/>
          </w:tcPr>
          <w:p w:rsidR="002A3EF7" w:rsidRDefault="00695379" w14:paraId="258B9883" w14:textId="77777777">
            <w:proofErr w:type="gramStart"/>
            <w:r>
              <w:t>de</w:t>
            </w:r>
            <w:proofErr w:type="gramEnd"/>
            <w:r>
              <w:t xml:space="preserve"> staatssecretaris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Eelco </w:t>
            </w:r>
            <w:proofErr w:type="spellStart"/>
            <w:r>
              <w:t>Eerenberg</w:t>
            </w:r>
            <w:proofErr w:type="spellEnd"/>
          </w:p>
        </w:tc>
        <w:tc>
          <w:tcPr>
            <w:tcW w:w="3892" w:type="dxa"/>
          </w:tcPr>
          <w:p w:rsidR="002A3EF7" w:rsidRDefault="002A3EF7" w14:paraId="77669A1A" w14:textId="77777777"/>
        </w:tc>
      </w:tr>
      <w:tr w:rsidR="002A3EF7" w14:paraId="21C1B2C9" w14:textId="77777777">
        <w:tc>
          <w:tcPr>
            <w:tcW w:w="3592" w:type="dxa"/>
          </w:tcPr>
          <w:p w:rsidR="002A3EF7" w:rsidRDefault="002A3EF7" w14:paraId="5409D532" w14:textId="77777777"/>
        </w:tc>
        <w:tc>
          <w:tcPr>
            <w:tcW w:w="3892" w:type="dxa"/>
          </w:tcPr>
          <w:p w:rsidR="002A3EF7" w:rsidRDefault="002A3EF7" w14:paraId="1844C837" w14:textId="77777777"/>
        </w:tc>
      </w:tr>
      <w:tr w:rsidR="002A3EF7" w14:paraId="1109876C" w14:textId="77777777">
        <w:tc>
          <w:tcPr>
            <w:tcW w:w="3592" w:type="dxa"/>
          </w:tcPr>
          <w:p w:rsidR="002A3EF7" w:rsidRDefault="002A3EF7" w14:paraId="1EF48377" w14:textId="77777777"/>
        </w:tc>
        <w:tc>
          <w:tcPr>
            <w:tcW w:w="3892" w:type="dxa"/>
          </w:tcPr>
          <w:p w:rsidR="002A3EF7" w:rsidRDefault="002A3EF7" w14:paraId="256439C8" w14:textId="77777777"/>
        </w:tc>
      </w:tr>
      <w:tr w:rsidR="002A3EF7" w14:paraId="3B98C8E1" w14:textId="77777777">
        <w:tc>
          <w:tcPr>
            <w:tcW w:w="3592" w:type="dxa"/>
          </w:tcPr>
          <w:p w:rsidR="002A3EF7" w:rsidRDefault="002A3EF7" w14:paraId="359D04F0" w14:textId="77777777"/>
        </w:tc>
        <w:tc>
          <w:tcPr>
            <w:tcW w:w="3892" w:type="dxa"/>
          </w:tcPr>
          <w:p w:rsidR="002A3EF7" w:rsidRDefault="002A3EF7" w14:paraId="63D348B2" w14:textId="77777777"/>
        </w:tc>
      </w:tr>
      <w:tr w:rsidR="002A3EF7" w14:paraId="31BEB392" w14:textId="77777777">
        <w:tc>
          <w:tcPr>
            <w:tcW w:w="3592" w:type="dxa"/>
          </w:tcPr>
          <w:p w:rsidR="002A3EF7" w:rsidRDefault="002A3EF7" w14:paraId="6F5F2F03" w14:textId="77777777"/>
        </w:tc>
        <w:tc>
          <w:tcPr>
            <w:tcW w:w="3892" w:type="dxa"/>
          </w:tcPr>
          <w:p w:rsidR="002A3EF7" w:rsidRDefault="002A3EF7" w14:paraId="319B66AC" w14:textId="77777777"/>
        </w:tc>
      </w:tr>
    </w:tbl>
    <w:p w:rsidR="002A3EF7" w:rsidRDefault="002A3EF7" w14:paraId="7BFBAEC5" w14:textId="77777777">
      <w:pPr>
        <w:pStyle w:val="WitregelW1bodytekst"/>
      </w:pPr>
    </w:p>
    <w:p w:rsidR="002A3EF7" w:rsidRDefault="002A3EF7" w14:paraId="016CA764" w14:textId="77777777">
      <w:pPr>
        <w:pStyle w:val="Verdana7"/>
      </w:pPr>
    </w:p>
    <w:sectPr w:rsidR="002A3EF7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EE214" w14:textId="77777777" w:rsidR="00452760" w:rsidRDefault="00452760">
      <w:pPr>
        <w:spacing w:line="240" w:lineRule="auto"/>
      </w:pPr>
      <w:r>
        <w:separator/>
      </w:r>
    </w:p>
  </w:endnote>
  <w:endnote w:type="continuationSeparator" w:id="0">
    <w:p w14:paraId="42B3AE6C" w14:textId="77777777" w:rsidR="00452760" w:rsidRDefault="00452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BCD07" w14:textId="77777777" w:rsidR="00452760" w:rsidRDefault="00452760">
      <w:pPr>
        <w:spacing w:line="240" w:lineRule="auto"/>
      </w:pPr>
      <w:r>
        <w:separator/>
      </w:r>
    </w:p>
  </w:footnote>
  <w:footnote w:type="continuationSeparator" w:id="0">
    <w:p w14:paraId="104649C4" w14:textId="77777777" w:rsidR="00452760" w:rsidRDefault="004527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302C6" w14:textId="77777777" w:rsidR="002A3EF7" w:rsidRDefault="00695379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FCC86E4" wp14:editId="445FAFF8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0C443B" w14:textId="77777777" w:rsidR="002A3EF7" w:rsidRDefault="0069537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6A24CC5" w14:textId="19F1EE73" w:rsidR="003B5EDD" w:rsidRDefault="00C069FF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C96F61">
                              <w:t>2026-0000107932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FCC86E4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90C443B" w14:textId="77777777" w:rsidR="002A3EF7" w:rsidRDefault="0069537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6A24CC5" w14:textId="19F1EE73" w:rsidR="003B5EDD" w:rsidRDefault="00C069FF">
                    <w:pPr>
                      <w:pStyle w:val="StandaardReferentiegegevens"/>
                    </w:pPr>
                    <w:fldSimple w:instr=" DOCPROPERTY  &quot;Kenmerk&quot;  \* MERGEFORMAT ">
                      <w:r w:rsidR="00C96F61">
                        <w:t>2026-0000107932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5EEA073" wp14:editId="4E8E301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637C96" w14:textId="77777777" w:rsidR="003B5EDD" w:rsidRDefault="00C96F6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EEA073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1637C96" w14:textId="77777777" w:rsidR="003B5EDD" w:rsidRDefault="00C96F6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FD709A4" wp14:editId="3799B005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F50D30" w14:textId="75B54DCA" w:rsidR="003B5EDD" w:rsidRDefault="00C96F6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D709A4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5F50D30" w14:textId="75B54DCA" w:rsidR="003B5EDD" w:rsidRDefault="00C96F6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D3EAB" w14:textId="77777777" w:rsidR="002A3EF7" w:rsidRDefault="00695379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E0288AF" wp14:editId="62426562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D45993" w14:textId="77777777" w:rsidR="002A3EF7" w:rsidRDefault="0069537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804CE2" wp14:editId="27127FED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E0288AF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41D45993" w14:textId="77777777" w:rsidR="002A3EF7" w:rsidRDefault="0069537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A804CE2" wp14:editId="27127FED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8384934" wp14:editId="125D1940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51BD4E" w14:textId="77777777" w:rsidR="00695379" w:rsidRDefault="0069537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384934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051BD4E" w14:textId="77777777" w:rsidR="00695379" w:rsidRDefault="0069537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89E590F" wp14:editId="0DCB5FC1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F235F3" w14:textId="77777777" w:rsidR="002A3EF7" w:rsidRDefault="0069537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90C66D9" w14:textId="77777777" w:rsidR="002A3EF7" w:rsidRDefault="00695379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5BD255D1" w14:textId="77777777" w:rsidR="002A3EF7" w:rsidRDefault="0069537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F331B9A" w14:textId="77777777" w:rsidR="002A3EF7" w:rsidRPr="0075592D" w:rsidRDefault="00695379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5592D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75592D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75592D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56B6B344" w14:textId="77777777" w:rsidR="002A3EF7" w:rsidRPr="0075592D" w:rsidRDefault="00695379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5592D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3A082D1E" w14:textId="77777777" w:rsidR="002A3EF7" w:rsidRPr="0075592D" w:rsidRDefault="002A3EF7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66B7A393" w14:textId="77777777" w:rsidR="002A3EF7" w:rsidRDefault="0069537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E0B29C7" w14:textId="1C29AAD0" w:rsidR="003B5EDD" w:rsidRDefault="00C069FF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C96F61">
                              <w:t>2026-0000107932</w:t>
                            </w:r>
                          </w:fldSimple>
                        </w:p>
                        <w:p w14:paraId="7D4E75EE" w14:textId="77777777" w:rsidR="002A3EF7" w:rsidRDefault="002A3EF7">
                          <w:pPr>
                            <w:pStyle w:val="WitregelW1"/>
                          </w:pPr>
                        </w:p>
                        <w:p w14:paraId="460F25F8" w14:textId="77777777" w:rsidR="002A3EF7" w:rsidRDefault="0069537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E307455" w14:textId="35A687E5" w:rsidR="003B5EDD" w:rsidRDefault="00C96F6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3EBC788" w14:textId="77777777" w:rsidR="002A3EF7" w:rsidRDefault="002A3EF7">
                          <w:pPr>
                            <w:pStyle w:val="WitregelW1"/>
                          </w:pPr>
                        </w:p>
                        <w:p w14:paraId="77528066" w14:textId="77777777" w:rsidR="002A3EF7" w:rsidRDefault="00695379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314BAA6" w14:textId="77777777" w:rsidR="002A3EF7" w:rsidRDefault="00695379">
                          <w:pPr>
                            <w:pStyle w:val="StandaardReferentiegegevens"/>
                          </w:pPr>
                          <w:r>
                            <w:t xml:space="preserve">1. Ramingstoelichting </w:t>
                          </w:r>
                        </w:p>
                        <w:p w14:paraId="3D4933DE" w14:textId="77777777" w:rsidR="002A3EF7" w:rsidRDefault="00695379">
                          <w:pPr>
                            <w:pStyle w:val="StandaardReferentiegegevens"/>
                          </w:pPr>
                          <w:r>
                            <w:t xml:space="preserve">2. Certificeringsnotitie CPB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9E590F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AF235F3" w14:textId="77777777" w:rsidR="002A3EF7" w:rsidRDefault="0069537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90C66D9" w14:textId="77777777" w:rsidR="002A3EF7" w:rsidRDefault="00695379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5BD255D1" w14:textId="77777777" w:rsidR="002A3EF7" w:rsidRDefault="0069537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F331B9A" w14:textId="77777777" w:rsidR="002A3EF7" w:rsidRPr="0075592D" w:rsidRDefault="00695379">
                    <w:pPr>
                      <w:pStyle w:val="StandaardReferentiegegevens"/>
                      <w:rPr>
                        <w:lang w:val="es-ES"/>
                      </w:rPr>
                    </w:pPr>
                    <w:r w:rsidRPr="0075592D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75592D">
                      <w:rPr>
                        <w:lang w:val="es-ES"/>
                      </w:rPr>
                      <w:t>EE  '</w:t>
                    </w:r>
                    <w:proofErr w:type="gramEnd"/>
                    <w:r w:rsidRPr="0075592D">
                      <w:rPr>
                        <w:lang w:val="es-ES"/>
                      </w:rPr>
                      <w:t>S-GRAVENHAGE</w:t>
                    </w:r>
                  </w:p>
                  <w:p w14:paraId="56B6B344" w14:textId="77777777" w:rsidR="002A3EF7" w:rsidRPr="0075592D" w:rsidRDefault="00695379">
                    <w:pPr>
                      <w:pStyle w:val="StandaardReferentiegegevens"/>
                      <w:rPr>
                        <w:lang w:val="es-ES"/>
                      </w:rPr>
                    </w:pPr>
                    <w:r w:rsidRPr="0075592D">
                      <w:rPr>
                        <w:lang w:val="es-ES"/>
                      </w:rPr>
                      <w:t>www.rijksoverheid.nl/fin</w:t>
                    </w:r>
                  </w:p>
                  <w:p w14:paraId="3A082D1E" w14:textId="77777777" w:rsidR="002A3EF7" w:rsidRPr="0075592D" w:rsidRDefault="002A3EF7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66B7A393" w14:textId="77777777" w:rsidR="002A3EF7" w:rsidRDefault="0069537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E0B29C7" w14:textId="1C29AAD0" w:rsidR="003B5EDD" w:rsidRDefault="00C069FF">
                    <w:pPr>
                      <w:pStyle w:val="StandaardReferentiegegevens"/>
                    </w:pPr>
                    <w:fldSimple w:instr=" DOCPROPERTY  &quot;Kenmerk&quot;  \* MERGEFORMAT ">
                      <w:r w:rsidR="00C96F61">
                        <w:t>2026-0000107932</w:t>
                      </w:r>
                    </w:fldSimple>
                  </w:p>
                  <w:p w14:paraId="7D4E75EE" w14:textId="77777777" w:rsidR="002A3EF7" w:rsidRDefault="002A3EF7">
                    <w:pPr>
                      <w:pStyle w:val="WitregelW1"/>
                    </w:pPr>
                  </w:p>
                  <w:p w14:paraId="460F25F8" w14:textId="77777777" w:rsidR="002A3EF7" w:rsidRDefault="0069537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E307455" w14:textId="35A687E5" w:rsidR="003B5EDD" w:rsidRDefault="00C96F6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3EBC788" w14:textId="77777777" w:rsidR="002A3EF7" w:rsidRDefault="002A3EF7">
                    <w:pPr>
                      <w:pStyle w:val="WitregelW1"/>
                    </w:pPr>
                  </w:p>
                  <w:p w14:paraId="77528066" w14:textId="77777777" w:rsidR="002A3EF7" w:rsidRDefault="00695379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314BAA6" w14:textId="77777777" w:rsidR="002A3EF7" w:rsidRDefault="00695379">
                    <w:pPr>
                      <w:pStyle w:val="StandaardReferentiegegevens"/>
                    </w:pPr>
                    <w:r>
                      <w:t xml:space="preserve">1. Ramingstoelichting </w:t>
                    </w:r>
                  </w:p>
                  <w:p w14:paraId="3D4933DE" w14:textId="77777777" w:rsidR="002A3EF7" w:rsidRDefault="00695379">
                    <w:pPr>
                      <w:pStyle w:val="StandaardReferentiegegevens"/>
                    </w:pPr>
                    <w:r>
                      <w:t xml:space="preserve">2. Certificeringsnotitie CPB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E2537A5" wp14:editId="04D48831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15A25A" w14:textId="77777777" w:rsidR="002A3EF7" w:rsidRDefault="00695379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2537A5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915A25A" w14:textId="77777777" w:rsidR="002A3EF7" w:rsidRDefault="00695379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8796BB5" wp14:editId="1525E988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5DC859" w14:textId="46793D04" w:rsidR="003B5EDD" w:rsidRDefault="00C96F6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A66027A" w14:textId="77777777" w:rsidR="00C96F61" w:rsidRDefault="00695379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C96F61">
                            <w:t>Voorzitter van de Tweede Kamer der Staten-Generaal</w:t>
                          </w:r>
                        </w:p>
                        <w:p w14:paraId="4A311763" w14:textId="77777777" w:rsidR="00C96F61" w:rsidRDefault="00C96F61">
                          <w:r>
                            <w:t>Postbus 20018</w:t>
                          </w:r>
                        </w:p>
                        <w:p w14:paraId="395B1FC2" w14:textId="77777777" w:rsidR="00C96F61" w:rsidRDefault="00C96F61">
                          <w:r>
                            <w:t>2500 EA  DEN HAAG</w:t>
                          </w:r>
                        </w:p>
                        <w:p w14:paraId="1E68CF07" w14:textId="77777777" w:rsidR="00C96F61" w:rsidRDefault="00C96F61"/>
                        <w:p w14:paraId="4A8FFA8C" w14:textId="77777777" w:rsidR="002A3EF7" w:rsidRDefault="00695379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796BB5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25DC859" w14:textId="46793D04" w:rsidR="003B5EDD" w:rsidRDefault="00C96F6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A66027A" w14:textId="77777777" w:rsidR="00C96F61" w:rsidRDefault="00695379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C96F61">
                      <w:t>Voorzitter van de Tweede Kamer der Staten-Generaal</w:t>
                    </w:r>
                  </w:p>
                  <w:p w14:paraId="4A311763" w14:textId="77777777" w:rsidR="00C96F61" w:rsidRDefault="00C96F61">
                    <w:r>
                      <w:t>Postbus 20018</w:t>
                    </w:r>
                  </w:p>
                  <w:p w14:paraId="395B1FC2" w14:textId="77777777" w:rsidR="00C96F61" w:rsidRDefault="00C96F61">
                    <w:r>
                      <w:t>2500 EA  DEN HAAG</w:t>
                    </w:r>
                  </w:p>
                  <w:p w14:paraId="1E68CF07" w14:textId="77777777" w:rsidR="00C96F61" w:rsidRDefault="00C96F61"/>
                  <w:p w14:paraId="4A8FFA8C" w14:textId="77777777" w:rsidR="002A3EF7" w:rsidRDefault="00695379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A7CB3A9" wp14:editId="4D054F8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7BCA3C" w14:textId="77777777" w:rsidR="003B5EDD" w:rsidRDefault="00C96F6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7CB3A9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67BCA3C" w14:textId="77777777" w:rsidR="003B5EDD" w:rsidRDefault="00C96F6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FC80464" wp14:editId="175D6C30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A3EF7" w14:paraId="05072BC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46B5032" w14:textId="77777777" w:rsidR="002A3EF7" w:rsidRDefault="002A3EF7"/>
                            </w:tc>
                            <w:tc>
                              <w:tcPr>
                                <w:tcW w:w="5400" w:type="dxa"/>
                              </w:tcPr>
                              <w:p w14:paraId="13F04EAE" w14:textId="77777777" w:rsidR="002A3EF7" w:rsidRDefault="002A3EF7"/>
                            </w:tc>
                          </w:tr>
                          <w:tr w:rsidR="002A3EF7" w14:paraId="79B543F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F26239C" w14:textId="77777777" w:rsidR="002A3EF7" w:rsidRDefault="0069537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5312715" w14:textId="1E825058" w:rsidR="002A3EF7" w:rsidRDefault="00C069FF">
                                <w:r>
                                  <w:t>9 april 2026</w:t>
                                </w:r>
                              </w:p>
                            </w:tc>
                          </w:tr>
                          <w:tr w:rsidR="002A3EF7" w14:paraId="30709EA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9FC635F" w14:textId="77777777" w:rsidR="002A3EF7" w:rsidRDefault="0069537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27CFFDE" w14:textId="2D870306" w:rsidR="003B5EDD" w:rsidRDefault="00C069FF">
                                <w:fldSimple w:instr=" DOCPROPERTY  &quot;Onderwerp&quot;  \* MERGEFORMAT ">
                                  <w:r w:rsidR="00C96F61">
                                    <w:t>Certificering arrest Hoge Raad belastingrentepercentage vennootschapsbelasting</w:t>
                                  </w:r>
                                </w:fldSimple>
                              </w:p>
                            </w:tc>
                          </w:tr>
                          <w:tr w:rsidR="002A3EF7" w14:paraId="37F3FCC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B830637" w14:textId="77777777" w:rsidR="002A3EF7" w:rsidRDefault="002A3EF7"/>
                            </w:tc>
                            <w:tc>
                              <w:tcPr>
                                <w:tcW w:w="4738" w:type="dxa"/>
                              </w:tcPr>
                              <w:p w14:paraId="1C9269DD" w14:textId="77777777" w:rsidR="002A3EF7" w:rsidRDefault="002A3EF7"/>
                            </w:tc>
                          </w:tr>
                        </w:tbl>
                        <w:p w14:paraId="26345E2B" w14:textId="77777777" w:rsidR="00695379" w:rsidRDefault="0069537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C80464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A3EF7" w14:paraId="05072BC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46B5032" w14:textId="77777777" w:rsidR="002A3EF7" w:rsidRDefault="002A3EF7"/>
                      </w:tc>
                      <w:tc>
                        <w:tcPr>
                          <w:tcW w:w="5400" w:type="dxa"/>
                        </w:tcPr>
                        <w:p w14:paraId="13F04EAE" w14:textId="77777777" w:rsidR="002A3EF7" w:rsidRDefault="002A3EF7"/>
                      </w:tc>
                    </w:tr>
                    <w:tr w:rsidR="002A3EF7" w14:paraId="79B543F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F26239C" w14:textId="77777777" w:rsidR="002A3EF7" w:rsidRDefault="0069537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5312715" w14:textId="1E825058" w:rsidR="002A3EF7" w:rsidRDefault="00C069FF">
                          <w:r>
                            <w:t>9 april 2026</w:t>
                          </w:r>
                        </w:p>
                      </w:tc>
                    </w:tr>
                    <w:tr w:rsidR="002A3EF7" w14:paraId="30709EA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9FC635F" w14:textId="77777777" w:rsidR="002A3EF7" w:rsidRDefault="0069537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27CFFDE" w14:textId="2D870306" w:rsidR="003B5EDD" w:rsidRDefault="00C069FF">
                          <w:fldSimple w:instr=" DOCPROPERTY  &quot;Onderwerp&quot;  \* MERGEFORMAT ">
                            <w:r w:rsidR="00C96F61">
                              <w:t>Certificering arrest Hoge Raad belastingrentepercentage vennootschapsbelasting</w:t>
                            </w:r>
                          </w:fldSimple>
                        </w:p>
                      </w:tc>
                    </w:tr>
                    <w:tr w:rsidR="002A3EF7" w14:paraId="37F3FCC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B830637" w14:textId="77777777" w:rsidR="002A3EF7" w:rsidRDefault="002A3EF7"/>
                      </w:tc>
                      <w:tc>
                        <w:tcPr>
                          <w:tcW w:w="4738" w:type="dxa"/>
                        </w:tcPr>
                        <w:p w14:paraId="1C9269DD" w14:textId="77777777" w:rsidR="002A3EF7" w:rsidRDefault="002A3EF7"/>
                      </w:tc>
                    </w:tr>
                  </w:tbl>
                  <w:p w14:paraId="26345E2B" w14:textId="77777777" w:rsidR="00695379" w:rsidRDefault="0069537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60C2A93" wp14:editId="4BCA51FF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4B75A2" w14:textId="1DEAE45C" w:rsidR="003B5EDD" w:rsidRDefault="00C96F6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0C2A93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54B75A2" w14:textId="1DEAE45C" w:rsidR="003B5EDD" w:rsidRDefault="00C96F6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BB88293" wp14:editId="6075FA32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ED840C" w14:textId="77777777" w:rsidR="00695379" w:rsidRDefault="0069537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B88293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EED840C" w14:textId="77777777" w:rsidR="00695379" w:rsidRDefault="00695379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66BD91"/>
    <w:multiLevelType w:val="multilevel"/>
    <w:tmpl w:val="82E984F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EEA552FF"/>
    <w:multiLevelType w:val="multilevel"/>
    <w:tmpl w:val="AEF8EDF1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1380712"/>
    <w:multiLevelType w:val="multilevel"/>
    <w:tmpl w:val="37ED83D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44CA1"/>
    <w:multiLevelType w:val="multilevel"/>
    <w:tmpl w:val="0D22397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DDC075"/>
    <w:multiLevelType w:val="multilevel"/>
    <w:tmpl w:val="113C998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63E0F160"/>
    <w:multiLevelType w:val="multilevel"/>
    <w:tmpl w:val="B5901151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73378155">
    <w:abstractNumId w:val="5"/>
  </w:num>
  <w:num w:numId="2" w16cid:durableId="530609838">
    <w:abstractNumId w:val="1"/>
  </w:num>
  <w:num w:numId="3" w16cid:durableId="220285605">
    <w:abstractNumId w:val="4"/>
  </w:num>
  <w:num w:numId="4" w16cid:durableId="698700817">
    <w:abstractNumId w:val="0"/>
  </w:num>
  <w:num w:numId="5" w16cid:durableId="756175466">
    <w:abstractNumId w:val="3"/>
  </w:num>
  <w:num w:numId="6" w16cid:durableId="281619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EF7"/>
    <w:rsid w:val="00001D00"/>
    <w:rsid w:val="000222A4"/>
    <w:rsid w:val="00036E80"/>
    <w:rsid w:val="000A5E3B"/>
    <w:rsid w:val="000B3F1A"/>
    <w:rsid w:val="000C46DB"/>
    <w:rsid w:val="00170A28"/>
    <w:rsid w:val="00196E54"/>
    <w:rsid w:val="0020325F"/>
    <w:rsid w:val="002074E9"/>
    <w:rsid w:val="002168A0"/>
    <w:rsid w:val="00217079"/>
    <w:rsid w:val="00241809"/>
    <w:rsid w:val="00247864"/>
    <w:rsid w:val="00281BF7"/>
    <w:rsid w:val="00285EF0"/>
    <w:rsid w:val="002A3EF7"/>
    <w:rsid w:val="002F3454"/>
    <w:rsid w:val="0032777A"/>
    <w:rsid w:val="00331FBD"/>
    <w:rsid w:val="00366E37"/>
    <w:rsid w:val="00391402"/>
    <w:rsid w:val="00394675"/>
    <w:rsid w:val="003B5EDD"/>
    <w:rsid w:val="003B77E5"/>
    <w:rsid w:val="003F26D7"/>
    <w:rsid w:val="00404882"/>
    <w:rsid w:val="0042785A"/>
    <w:rsid w:val="00452760"/>
    <w:rsid w:val="00455D48"/>
    <w:rsid w:val="004D7E8B"/>
    <w:rsid w:val="005C429B"/>
    <w:rsid w:val="00695379"/>
    <w:rsid w:val="006D54D3"/>
    <w:rsid w:val="00721833"/>
    <w:rsid w:val="0075592D"/>
    <w:rsid w:val="00770004"/>
    <w:rsid w:val="007C4EAD"/>
    <w:rsid w:val="00830368"/>
    <w:rsid w:val="008A67D2"/>
    <w:rsid w:val="00972E0F"/>
    <w:rsid w:val="009B2DB5"/>
    <w:rsid w:val="009F175E"/>
    <w:rsid w:val="009F3016"/>
    <w:rsid w:val="00A35561"/>
    <w:rsid w:val="00A96480"/>
    <w:rsid w:val="00AA17D8"/>
    <w:rsid w:val="00AD4623"/>
    <w:rsid w:val="00B35ABF"/>
    <w:rsid w:val="00B9364B"/>
    <w:rsid w:val="00BD3AEB"/>
    <w:rsid w:val="00C00AC3"/>
    <w:rsid w:val="00C069FF"/>
    <w:rsid w:val="00C9263C"/>
    <w:rsid w:val="00C947E1"/>
    <w:rsid w:val="00C96F61"/>
    <w:rsid w:val="00CE5820"/>
    <w:rsid w:val="00D060F7"/>
    <w:rsid w:val="00D06293"/>
    <w:rsid w:val="00D15B39"/>
    <w:rsid w:val="00D31F7F"/>
    <w:rsid w:val="00D34855"/>
    <w:rsid w:val="00D77429"/>
    <w:rsid w:val="00D80F03"/>
    <w:rsid w:val="00E17092"/>
    <w:rsid w:val="00E23693"/>
    <w:rsid w:val="00EC07E0"/>
    <w:rsid w:val="00EC3734"/>
    <w:rsid w:val="00F229A4"/>
    <w:rsid w:val="00F2342E"/>
    <w:rsid w:val="00F53847"/>
    <w:rsid w:val="00F92EAC"/>
    <w:rsid w:val="00FB67D6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8E21D"/>
  <w15:docId w15:val="{F341760A-84BD-43B6-968D-462FDD22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F5384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384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5384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3847"/>
    <w:rPr>
      <w:rFonts w:ascii="Verdana" w:hAnsi="Verdana"/>
      <w:color w:val="000000"/>
      <w:sz w:val="18"/>
      <w:szCs w:val="18"/>
    </w:rPr>
  </w:style>
  <w:style w:type="table" w:styleId="Rastertabel4-Accent4">
    <w:name w:val="Grid Table 4 Accent 4"/>
    <w:basedOn w:val="Standaardtabel"/>
    <w:uiPriority w:val="49"/>
    <w:rsid w:val="000C46DB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316</ap:Words>
  <ap:Characters>1744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Certificering arrest Hoge Raad belastingrentepercentage vennootschapsbelasting</vt:lpstr>
    </vt:vector>
  </ap:TitlesOfParts>
  <ap:LinksUpToDate>false</ap:LinksUpToDate>
  <ap:CharactersWithSpaces>2056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2026-04-09T13:15:00.0000000Z</lastPrinted>
  <dcterms:created xsi:type="dcterms:W3CDTF">2026-04-09T13:15:00.0000000Z</dcterms:created>
  <dcterms:modified xsi:type="dcterms:W3CDTF">2026-04-09T13:16:00.0000000Z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Certificering arrest Hoge Raad belastingrentepercentage vennootschapsbelasting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26 maart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2026-0000107932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Certificering arrest Hoge Raad belastingrentepercentage vennootschapsbelasting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2026-03-26T14:50:34Z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605e4caa-aca5-4112-bd15-7cb69acd391e</vt:lpwstr>
  </property>
  <property fmtid="{D5CDD505-2E9C-101B-9397-08002B2CF9AE}" pid="37" name="MSIP_Label_b2aa6e22-2c82-48c6-bf24-1790f4b9c128_ContentBits">
    <vt:lpwstr>0</vt:lpwstr>
  </property>
  <property fmtid="{D5CDD505-2E9C-101B-9397-08002B2CF9AE}" pid="38" name="MSIP_Label_b2aa6e22-2c82-48c6-bf24-1790f4b9c128_Tag">
    <vt:lpwstr>10, 3, 0, 1</vt:lpwstr>
  </property>
</Properties>
</file>