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5856" w:rsidP="00202AA0" w:rsidRDefault="00CD5856" w14:paraId="4BAC6BE6" w14:textId="4987FA0E">
      <w:pPr>
        <w:spacing w:line="240" w:lineRule="atLeast"/>
      </w:pPr>
    </w:p>
    <w:p w:rsidR="00CD5856" w:rsidP="00202AA0" w:rsidRDefault="00CD5856" w14:paraId="30B4460D" w14:textId="77777777">
      <w:pPr>
        <w:spacing w:line="240" w:lineRule="atLeast"/>
      </w:pPr>
    </w:p>
    <w:p w:rsidR="00CD5856" w:rsidP="00202AA0" w:rsidRDefault="00CD5856" w14:paraId="2CE1A794" w14:textId="77777777">
      <w:pPr>
        <w:spacing w:line="240" w:lineRule="atLeast"/>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B1E87" w:rsidP="00202AA0" w:rsidRDefault="00CB1E87" w14:paraId="2A2C19DA" w14:textId="77777777">
      <w:pPr>
        <w:pStyle w:val="Huisstijl-Aanhef"/>
        <w:spacing w:before="0" w:after="0" w:line="240" w:lineRule="atLeast"/>
        <w:contextualSpacing/>
      </w:pPr>
    </w:p>
    <w:p w:rsidR="00CD5856" w:rsidP="00202AA0" w:rsidRDefault="00BA1CBD" w14:paraId="67E6A02C" w14:textId="31839BCE">
      <w:pPr>
        <w:pStyle w:val="Huisstijl-Aanhef"/>
        <w:spacing w:before="0" w:after="0" w:line="240" w:lineRule="atLeast"/>
        <w:contextualSpacing/>
      </w:pPr>
      <w:r>
        <w:t>Geachte voorzitter,</w:t>
      </w:r>
    </w:p>
    <w:p w:rsidR="00BD2DF1" w:rsidP="00202AA0" w:rsidRDefault="00BD2DF1" w14:paraId="7B29D982" w14:textId="77777777">
      <w:pPr>
        <w:pStyle w:val="Huisstijl-Aanhef"/>
        <w:spacing w:before="0" w:after="0" w:line="240" w:lineRule="atLeast"/>
        <w:contextualSpacing/>
      </w:pPr>
    </w:p>
    <w:p w:rsidR="00B63D5D" w:rsidP="00202AA0" w:rsidRDefault="0057477E" w14:paraId="265A6D01" w14:textId="34F9FB36">
      <w:pPr>
        <w:spacing w:line="240" w:lineRule="atLeast"/>
        <w:contextualSpacing/>
      </w:pPr>
      <w:r w:rsidRPr="0057477E">
        <w:t>Met deze brief bied</w:t>
      </w:r>
      <w:r w:rsidR="001E7DC6">
        <w:t xml:space="preserve">t het kabinet </w:t>
      </w:r>
      <w:r w:rsidRPr="0057477E">
        <w:t xml:space="preserve">u de </w:t>
      </w:r>
      <w:r w:rsidR="00141722">
        <w:t>P</w:t>
      </w:r>
      <w:r w:rsidRPr="0057477E">
        <w:t xml:space="preserve">eriodieke rapportage </w:t>
      </w:r>
      <w:r>
        <w:t>‘</w:t>
      </w:r>
      <w:r w:rsidR="00B63D5D">
        <w:t xml:space="preserve">Beschikbaarheid in </w:t>
      </w:r>
      <w:r w:rsidRPr="009A542A" w:rsidR="00B63D5D">
        <w:t xml:space="preserve">Perspectief, </w:t>
      </w:r>
      <w:r w:rsidRPr="009A542A">
        <w:t>Beschikbaarheid medische producten, 2017 t/m 2023’ aan (</w:t>
      </w:r>
      <w:r w:rsidRPr="009A542A">
        <w:rPr>
          <w:i/>
          <w:iCs/>
        </w:rPr>
        <w:t>bijlage 1</w:t>
      </w:r>
      <w:r w:rsidRPr="009A542A" w:rsidR="00BA7814">
        <w:rPr>
          <w:i/>
          <w:iCs/>
        </w:rPr>
        <w:t>)</w:t>
      </w:r>
      <w:r w:rsidRPr="009A542A" w:rsidR="00F6130F">
        <w:t>.</w:t>
      </w:r>
      <w:r w:rsidRPr="009A542A" w:rsidR="00BA7814">
        <w:t xml:space="preserve"> </w:t>
      </w:r>
      <w:r w:rsidRPr="009A542A" w:rsidR="006048A1">
        <w:t xml:space="preserve">In de periodieke rapportage worden de doelmatigheid en doeltreffendheid van ongeveer dertig instrumenten geëvalueerd die zijn ingezet op de beleidsterreinen geneesmiddelen, medische technologie en lichaamsmaterialen. De instrumenten zijn geëvalueerd in relatie tot de bijdrage die ze leveren aan primair de beschikbaarheid, maar ook aan de kwaliteit, toegankelijkheid en betaalbaarheid van deze zorg en ondersteuning. </w:t>
      </w:r>
      <w:r w:rsidRPr="009A542A" w:rsidR="00FA3A05">
        <w:t>Gupta</w:t>
      </w:r>
      <w:r w:rsidRPr="009A542A" w:rsidR="001E7DC6">
        <w:t xml:space="preserve"> Strategists</w:t>
      </w:r>
      <w:r w:rsidRPr="009A542A" w:rsidR="00FA3A05">
        <w:t xml:space="preserve"> heeft de rapportage uitgevoerd </w:t>
      </w:r>
      <w:r w:rsidRPr="009A542A" w:rsidR="00BA7814">
        <w:t>in het kader van de Strategische Evaluatie Agenda (SEA) 2024-2030</w:t>
      </w:r>
      <w:r w:rsidRPr="009A542A" w:rsidR="00A811D2">
        <w:t xml:space="preserve">. </w:t>
      </w:r>
      <w:r w:rsidRPr="009A542A" w:rsidR="001E7DC6">
        <w:t>De rapportage is oktober 2025 afgerond.</w:t>
      </w:r>
      <w:r w:rsidRPr="009A542A" w:rsidR="00F2011B">
        <w:t xml:space="preserve"> </w:t>
      </w:r>
      <w:r w:rsidRPr="009A542A" w:rsidR="00B63D5D">
        <w:t>Bijgevoegd vindt u een sam</w:t>
      </w:r>
      <w:r w:rsidRPr="009A542A">
        <w:t>envatting</w:t>
      </w:r>
      <w:r w:rsidRPr="009A542A" w:rsidR="00B63D5D">
        <w:t xml:space="preserve"> in het </w:t>
      </w:r>
      <w:r w:rsidRPr="009A542A" w:rsidR="00BA7814">
        <w:t xml:space="preserve">SEA </w:t>
      </w:r>
      <w:r w:rsidRPr="009A542A" w:rsidR="00B63D5D">
        <w:t xml:space="preserve">format </w:t>
      </w:r>
      <w:r w:rsidRPr="009A542A">
        <w:t>(</w:t>
      </w:r>
      <w:r w:rsidRPr="009A542A">
        <w:rPr>
          <w:i/>
          <w:iCs/>
        </w:rPr>
        <w:t>bijlage 2</w:t>
      </w:r>
      <w:r w:rsidRPr="009A542A">
        <w:t>). Conform de Regeling Periodieke</w:t>
      </w:r>
      <w:r w:rsidRPr="0057477E">
        <w:t xml:space="preserve"> Rapportage ontvangt u </w:t>
      </w:r>
      <w:r w:rsidR="00B63D5D">
        <w:t>daarnaast</w:t>
      </w:r>
      <w:r w:rsidRPr="0057477E">
        <w:t xml:space="preserve"> een beoordeling van</w:t>
      </w:r>
      <w:r w:rsidR="00B63D5D">
        <w:t xml:space="preserve"> de rapportage</w:t>
      </w:r>
      <w:r w:rsidR="00D44E02">
        <w:t xml:space="preserve"> door</w:t>
      </w:r>
      <w:r w:rsidRPr="0057477E">
        <w:t xml:space="preserve"> een onafhankelijk deskundige (</w:t>
      </w:r>
      <w:r w:rsidRPr="0057477E">
        <w:rPr>
          <w:i/>
          <w:iCs/>
        </w:rPr>
        <w:t xml:space="preserve">bijlage </w:t>
      </w:r>
      <w:r>
        <w:rPr>
          <w:i/>
          <w:iCs/>
        </w:rPr>
        <w:t>3</w:t>
      </w:r>
      <w:r w:rsidRPr="0057477E">
        <w:rPr>
          <w:i/>
          <w:iCs/>
        </w:rPr>
        <w:t>)</w:t>
      </w:r>
      <w:r w:rsidRPr="0057477E">
        <w:t>.</w:t>
      </w:r>
      <w:r>
        <w:t xml:space="preserve"> </w:t>
      </w:r>
    </w:p>
    <w:p w:rsidR="00B63D5D" w:rsidP="00202AA0" w:rsidRDefault="00B63D5D" w14:paraId="21774FD8" w14:textId="77777777">
      <w:pPr>
        <w:spacing w:line="240" w:lineRule="atLeast"/>
        <w:contextualSpacing/>
      </w:pPr>
    </w:p>
    <w:p w:rsidRPr="00A10DB8" w:rsidR="00F2011B" w:rsidP="00202AA0" w:rsidRDefault="002342ED" w14:paraId="1A52DF0E" w14:textId="4DD7FE1F">
      <w:pPr>
        <w:spacing w:line="240" w:lineRule="atLeast"/>
        <w:contextualSpacing/>
      </w:pPr>
      <w:r>
        <w:t>De</w:t>
      </w:r>
      <w:r w:rsidRPr="0057477E">
        <w:t xml:space="preserve"> </w:t>
      </w:r>
      <w:r w:rsidRPr="0057477E" w:rsidR="0057477E">
        <w:t xml:space="preserve">Kamer is </w:t>
      </w:r>
      <w:r w:rsidR="00B63D5D">
        <w:t xml:space="preserve">eerder, </w:t>
      </w:r>
      <w:r w:rsidR="00BC5CDD">
        <w:t>op 26</w:t>
      </w:r>
      <w:r w:rsidRPr="0057477E" w:rsidR="00BC5CDD">
        <w:t xml:space="preserve"> september 202</w:t>
      </w:r>
      <w:r w:rsidR="00BC5CDD">
        <w:t>3</w:t>
      </w:r>
      <w:r w:rsidR="00B63D5D">
        <w:t xml:space="preserve">, </w:t>
      </w:r>
      <w:r w:rsidR="00BC5CDD">
        <w:t xml:space="preserve">geïnformeerd </w:t>
      </w:r>
      <w:r w:rsidRPr="0057477E" w:rsidR="0057477E">
        <w:t>over de opzet en vraagstelling van deze rapportage</w:t>
      </w:r>
      <w:r w:rsidR="00BC5CDD">
        <w:t>.</w:t>
      </w:r>
      <w:r w:rsidRPr="0057477E" w:rsidR="00BC5CDD">
        <w:rPr>
          <w:vertAlign w:val="superscript"/>
        </w:rPr>
        <w:footnoteReference w:id="1"/>
      </w:r>
      <w:r w:rsidR="00B63D5D">
        <w:t xml:space="preserve"> </w:t>
      </w:r>
      <w:r w:rsidR="00A10DB8">
        <w:t xml:space="preserve">In deze brief </w:t>
      </w:r>
      <w:r w:rsidR="001E7DC6">
        <w:t>geeft</w:t>
      </w:r>
      <w:r w:rsidR="00A10DB8">
        <w:t xml:space="preserve"> het </w:t>
      </w:r>
      <w:r w:rsidR="00153DAE">
        <w:t>kabinet</w:t>
      </w:r>
      <w:r w:rsidR="00A10DB8">
        <w:t xml:space="preserve"> een appreciatie </w:t>
      </w:r>
      <w:r w:rsidR="00A811D2">
        <w:t xml:space="preserve">van de rapportage </w:t>
      </w:r>
      <w:r w:rsidR="00961280">
        <w:t xml:space="preserve">en van de aanbevelingen </w:t>
      </w:r>
      <w:r w:rsidR="00A10DB8">
        <w:t>op hoofdlijnen.</w:t>
      </w:r>
      <w:r w:rsidR="00A811D2">
        <w:t xml:space="preserve"> Bijgevoegd vindt u tot slot de</w:t>
      </w:r>
      <w:r w:rsidR="00BD42B9">
        <w:t xml:space="preserve"> </w:t>
      </w:r>
      <w:r w:rsidR="00A811D2">
        <w:t xml:space="preserve">appreciatie van de </w:t>
      </w:r>
      <w:bookmarkStart w:name="_Hlk224306870" w:id="2"/>
      <w:r w:rsidR="00A811D2">
        <w:t xml:space="preserve">aanbevelingen voor de drie afzonderlijke productgroepen, te weten geneesmiddelen, medische technologie en lichaamsmaterialen </w:t>
      </w:r>
      <w:bookmarkEnd w:id="2"/>
      <w:r w:rsidR="00A811D2">
        <w:t>(</w:t>
      </w:r>
      <w:r w:rsidR="00A811D2">
        <w:rPr>
          <w:i/>
          <w:iCs/>
        </w:rPr>
        <w:t>bijlage 4)</w:t>
      </w:r>
      <w:r w:rsidR="00A811D2">
        <w:t>.</w:t>
      </w:r>
    </w:p>
    <w:p w:rsidR="00F2011B" w:rsidP="00202AA0" w:rsidRDefault="00F2011B" w14:paraId="74327BB3" w14:textId="77777777">
      <w:pPr>
        <w:spacing w:line="240" w:lineRule="atLeast"/>
        <w:contextualSpacing/>
      </w:pPr>
    </w:p>
    <w:p w:rsidRPr="003352CC" w:rsidR="00AD75D4" w:rsidP="00202AA0" w:rsidRDefault="00AD75D4" w14:paraId="4588D07E" w14:textId="4049AEB1">
      <w:pPr>
        <w:pStyle w:val="Lijstalinea"/>
        <w:numPr>
          <w:ilvl w:val="0"/>
          <w:numId w:val="2"/>
        </w:numPr>
        <w:spacing w:line="240" w:lineRule="atLeast"/>
        <w:rPr>
          <w:b/>
          <w:bCs/>
        </w:rPr>
      </w:pPr>
      <w:r w:rsidRPr="0036603C">
        <w:rPr>
          <w:b/>
          <w:bCs/>
        </w:rPr>
        <w:t xml:space="preserve">Inleiding </w:t>
      </w:r>
    </w:p>
    <w:p w:rsidR="003352CC" w:rsidP="00202AA0" w:rsidRDefault="003352CC" w14:paraId="0040A6B4" w14:textId="77777777">
      <w:pPr>
        <w:spacing w:line="240" w:lineRule="atLeast"/>
        <w:rPr>
          <w:i/>
          <w:iCs/>
        </w:rPr>
      </w:pPr>
    </w:p>
    <w:p w:rsidR="00753C25" w:rsidP="00202AA0" w:rsidRDefault="00AD75D4" w14:paraId="7ECFCC25" w14:textId="509F099D">
      <w:pPr>
        <w:spacing w:line="240" w:lineRule="atLeast"/>
      </w:pPr>
      <w:r w:rsidRPr="00AD75D4">
        <w:rPr>
          <w:i/>
          <w:iCs/>
        </w:rPr>
        <w:t>Aanleiding</w:t>
      </w:r>
    </w:p>
    <w:p w:rsidR="00A811D2" w:rsidP="00202AA0" w:rsidRDefault="00753C25" w14:paraId="71D2A83D" w14:textId="4AB96835">
      <w:pPr>
        <w:spacing w:line="240" w:lineRule="atLeast"/>
      </w:pPr>
      <w:r>
        <w:t xml:space="preserve">De Rijksoverheid heeft de verantwoordelijkheid om inzicht te bieden in de doeltreffendheid en doelmatigheid van overheidsuitgaven. Het verkrijgen van meer inzicht in de doeltreffendheid en doelmatigheid van overheidsuitgaven begint met </w:t>
      </w:r>
      <w:r w:rsidR="00C35833">
        <w:t xml:space="preserve">het </w:t>
      </w:r>
      <w:r>
        <w:t xml:space="preserve">beter in kaart brengen welke inzichten er al zijn en welke nog ontbreken. Daardoor kan meer relevante informatie worden verzameld om beleid (tussentijds) te verbeteren en hierover verantwoording af te leggen. </w:t>
      </w:r>
    </w:p>
    <w:p w:rsidR="00753C25" w:rsidP="00202AA0" w:rsidRDefault="00753C25" w14:paraId="139437C4" w14:textId="4EBAD419">
      <w:pPr>
        <w:spacing w:line="240" w:lineRule="auto"/>
      </w:pPr>
      <w:r>
        <w:lastRenderedPageBreak/>
        <w:t>De SEA is erop gericht hiertoe als vliegwiel te dienen.</w:t>
      </w:r>
      <w:r w:rsidR="00A811D2">
        <w:t xml:space="preserve"> </w:t>
      </w:r>
      <w:r w:rsidR="00947FE2">
        <w:t xml:space="preserve">In 2025 </w:t>
      </w:r>
      <w:r w:rsidR="00A811D2">
        <w:t>heeft in het kader van deze agenda een evaluatie plaatsgevonden van het beleidsinstrumentarium ten behoeve van, of met een effect op, de beschikbaarheid van geneesmiddelen, medische hulpmiddelen en lichaamsmaterialen (hierna</w:t>
      </w:r>
      <w:r w:rsidRPr="00A811D2" w:rsidR="00A811D2">
        <w:t xml:space="preserve"> </w:t>
      </w:r>
      <w:r w:rsidR="00A811D2">
        <w:t xml:space="preserve">wanneer tezamen genoemd: medische producten). </w:t>
      </w:r>
    </w:p>
    <w:p w:rsidR="00753C25" w:rsidP="00202AA0" w:rsidRDefault="00753C25" w14:paraId="519FC7E2" w14:textId="77777777">
      <w:pPr>
        <w:spacing w:line="240" w:lineRule="atLeast"/>
      </w:pPr>
    </w:p>
    <w:p w:rsidR="00A240FA" w:rsidP="00202AA0" w:rsidRDefault="00A240FA" w14:paraId="253DA834" w14:textId="3BE965ED">
      <w:pPr>
        <w:spacing w:line="240" w:lineRule="atLeast"/>
      </w:pPr>
      <w:r>
        <w:t>De aanleiding om dit instrumentarium te evalueren, en om dat voor de volle breedte van het domein van de medische producten te doen, was dat de</w:t>
      </w:r>
      <w:r w:rsidRPr="00A240FA">
        <w:t xml:space="preserve"> beschikbaarheid van </w:t>
      </w:r>
      <w:r>
        <w:t xml:space="preserve">medische producten in de afgelopen jaren </w:t>
      </w:r>
      <w:r w:rsidRPr="00A240FA">
        <w:t xml:space="preserve">een steeds dominanter thema </w:t>
      </w:r>
      <w:r>
        <w:t>binnen het beleid op het gebied van medische producten is geworden. Dat geldt in meer of mindere mate voor alle drie de productgroepen</w:t>
      </w:r>
      <w:r w:rsidR="00B16DB6">
        <w:t>.</w:t>
      </w:r>
      <w:r w:rsidRPr="00A240FA">
        <w:t xml:space="preserve"> </w:t>
      </w:r>
      <w:r>
        <w:t>Dat de overheid daarbij in</w:t>
      </w:r>
      <w:r w:rsidRPr="00A240FA">
        <w:t xml:space="preserve"> de </w:t>
      </w:r>
      <w:r>
        <w:t>drie deel</w:t>
      </w:r>
      <w:r w:rsidRPr="00A240FA">
        <w:t xml:space="preserve">sectoren </w:t>
      </w:r>
      <w:r>
        <w:t xml:space="preserve">heel verschillende beleidsinstrumenten inzet ten aanzien van beschikbaarheid, </w:t>
      </w:r>
      <w:r w:rsidRPr="00A240FA">
        <w:t xml:space="preserve">maakt </w:t>
      </w:r>
      <w:r>
        <w:t>het uitvoeren van de</w:t>
      </w:r>
      <w:r w:rsidRPr="00A240FA">
        <w:t xml:space="preserve"> evaluatie </w:t>
      </w:r>
      <w:r>
        <w:t>des te interessanter en leerzamer. Daar</w:t>
      </w:r>
      <w:r w:rsidR="000D3B1B">
        <w:t>bij geldt bovendien dat</w:t>
      </w:r>
      <w:r>
        <w:t xml:space="preserve"> </w:t>
      </w:r>
      <w:r w:rsidRPr="00A240FA">
        <w:t xml:space="preserve">het thema beschikbaarheid </w:t>
      </w:r>
      <w:r w:rsidR="000D3B1B">
        <w:t xml:space="preserve">niet alleen raakt aan de publieke waarde </w:t>
      </w:r>
      <w:r w:rsidRPr="00A240FA" w:rsidR="000D3B1B">
        <w:t>toegankelijkheid</w:t>
      </w:r>
      <w:r w:rsidR="000D3B1B">
        <w:t>, maar evengoed</w:t>
      </w:r>
      <w:r w:rsidRPr="00A240FA">
        <w:t xml:space="preserve"> de publieke waarden kwaliteit en betaalbaarheid.</w:t>
      </w:r>
    </w:p>
    <w:p w:rsidR="00753C25" w:rsidP="00202AA0" w:rsidRDefault="00753C25" w14:paraId="0B185CB1" w14:textId="77777777">
      <w:pPr>
        <w:spacing w:line="240" w:lineRule="atLeast"/>
      </w:pPr>
    </w:p>
    <w:p w:rsidR="00FA3A05" w:rsidP="00202AA0" w:rsidRDefault="00AD75D4" w14:paraId="4493F3CF" w14:textId="24099FF2">
      <w:pPr>
        <w:spacing w:line="240" w:lineRule="atLeast"/>
      </w:pPr>
      <w:r w:rsidRPr="00AD75D4">
        <w:rPr>
          <w:i/>
          <w:iCs/>
        </w:rPr>
        <w:t>Onderzoeksvra</w:t>
      </w:r>
      <w:r w:rsidR="000D3B1B">
        <w:rPr>
          <w:i/>
          <w:iCs/>
        </w:rPr>
        <w:t>ag</w:t>
      </w:r>
    </w:p>
    <w:p w:rsidR="00753C25" w:rsidP="00202AA0" w:rsidRDefault="00FA3A05" w14:paraId="76B2B840" w14:textId="513BA101">
      <w:pPr>
        <w:spacing w:line="240" w:lineRule="atLeast"/>
      </w:pPr>
      <w:r>
        <w:t xml:space="preserve">De onderzoekers </w:t>
      </w:r>
      <w:r w:rsidR="00BD42B9">
        <w:t xml:space="preserve">van Gupta Strategists </w:t>
      </w:r>
      <w:r>
        <w:t xml:space="preserve">hebben als </w:t>
      </w:r>
      <w:r w:rsidR="00BD42B9">
        <w:t xml:space="preserve">hoofdvraag </w:t>
      </w:r>
      <w:r>
        <w:t>meegekregen in</w:t>
      </w:r>
      <w:r w:rsidRPr="00FA3A05" w:rsidR="00753C25">
        <w:t xml:space="preserve"> welke mate</w:t>
      </w:r>
      <w:r>
        <w:t xml:space="preserve"> </w:t>
      </w:r>
      <w:r w:rsidRPr="00FA3A05" w:rsidR="00753C25">
        <w:t>de beleidsinstrumenten ten behoeve van</w:t>
      </w:r>
      <w:r>
        <w:t>,</w:t>
      </w:r>
      <w:r w:rsidRPr="00FA3A05" w:rsidR="00753C25">
        <w:t xml:space="preserve"> of met een effect op</w:t>
      </w:r>
      <w:r>
        <w:t>,</w:t>
      </w:r>
      <w:r w:rsidRPr="00FA3A05" w:rsidR="00753C25">
        <w:t xml:space="preserve"> de beschikbaarheid van geneesmiddelen, medische hulpmiddelen en lichaamsmaterialen doeltreffend en doelmatig</w:t>
      </w:r>
      <w:r>
        <w:t xml:space="preserve"> zijn. Hen is gevraagd d</w:t>
      </w:r>
      <w:r w:rsidRPr="00FA3A05" w:rsidR="00753C25">
        <w:t xml:space="preserve">it </w:t>
      </w:r>
      <w:r>
        <w:t xml:space="preserve">te beschouwen </w:t>
      </w:r>
      <w:r w:rsidRPr="00FA3A05" w:rsidR="00753C25">
        <w:t>in relatie tot de bijdrage die deze beleidsinstrumenten leveren aan de toegankelijkheid, veiligheid, kwaliteit en betaalbaarheid.</w:t>
      </w:r>
    </w:p>
    <w:p w:rsidRPr="00F6130F" w:rsidR="00753C25" w:rsidP="00202AA0" w:rsidRDefault="00753C25" w14:paraId="4295537D" w14:textId="3DC9839C">
      <w:pPr>
        <w:spacing w:line="240" w:lineRule="atLeast"/>
      </w:pPr>
    </w:p>
    <w:p w:rsidR="00AD75D4" w:rsidP="00202AA0" w:rsidRDefault="00AD75D4" w14:paraId="0C242197" w14:textId="349BBE2C">
      <w:pPr>
        <w:spacing w:line="240" w:lineRule="atLeast"/>
      </w:pPr>
      <w:r w:rsidRPr="00AD75D4">
        <w:rPr>
          <w:i/>
          <w:iCs/>
        </w:rPr>
        <w:t>Scope</w:t>
      </w:r>
    </w:p>
    <w:p w:rsidRPr="00753C25" w:rsidR="00753C25" w:rsidP="00202AA0" w:rsidRDefault="00D35BE1" w14:paraId="01CCF4D8" w14:textId="2F248F4C">
      <w:pPr>
        <w:spacing w:line="240" w:lineRule="atLeast"/>
      </w:pPr>
      <w:r>
        <w:t xml:space="preserve">In </w:t>
      </w:r>
      <w:r w:rsidRPr="00753C25" w:rsidR="00753C25">
        <w:t xml:space="preserve">de opzet voor deze periodieke rapportage </w:t>
      </w:r>
      <w:r>
        <w:t xml:space="preserve">is </w:t>
      </w:r>
      <w:r w:rsidR="000D3B1B">
        <w:t xml:space="preserve">er </w:t>
      </w:r>
      <w:r w:rsidRPr="00753C25" w:rsidR="00753C25">
        <w:t xml:space="preserve">bewust </w:t>
      </w:r>
      <w:r w:rsidR="000D3B1B">
        <w:t xml:space="preserve">voor </w:t>
      </w:r>
      <w:r w:rsidRPr="00753C25" w:rsidR="00753C25">
        <w:t xml:space="preserve">gekozen om een bredere evaluatie uit te laten voeren dan alleen op </w:t>
      </w:r>
      <w:r w:rsidR="000D3B1B">
        <w:t xml:space="preserve">de </w:t>
      </w:r>
      <w:r w:rsidRPr="00753C25" w:rsidR="00753C25">
        <w:t>specifieke begrotingsartikelen</w:t>
      </w:r>
      <w:r w:rsidR="00FA3A05">
        <w:t xml:space="preserve">, </w:t>
      </w:r>
      <w:r w:rsidR="000D3B1B">
        <w:t xml:space="preserve">te weten de </w:t>
      </w:r>
      <w:r w:rsidRPr="00753C25" w:rsidR="00753C25">
        <w:t>onderdelen van artikel 2 en 6 van de begroting</w:t>
      </w:r>
      <w:r w:rsidR="00BD42B9">
        <w:t xml:space="preserve"> van het ministerie van VWS</w:t>
      </w:r>
      <w:r w:rsidR="004655B4">
        <w:t xml:space="preserve"> die betrekking hebben op de </w:t>
      </w:r>
      <w:r w:rsidRPr="00753C25" w:rsidR="004655B4">
        <w:t>directie Geneesmiddelen en Medische Technologie</w:t>
      </w:r>
      <w:r w:rsidRPr="00753C25" w:rsidR="00753C25">
        <w:t xml:space="preserve">. Met de periodieke rapportage worden de doelmatigheid en doeltreffendheid van de verschillende instrumenten </w:t>
      </w:r>
      <w:r w:rsidRPr="00753C25" w:rsidR="004C7656">
        <w:t xml:space="preserve">geëvalueerd </w:t>
      </w:r>
      <w:r w:rsidRPr="00753C25" w:rsidR="00753C25">
        <w:t xml:space="preserve">ten aanzien van beschikbaarheid van </w:t>
      </w:r>
      <w:r w:rsidR="000D3B1B">
        <w:t>medische producten</w:t>
      </w:r>
      <w:r w:rsidRPr="00753C25" w:rsidR="00753C25">
        <w:t xml:space="preserve"> in zijn geheel bezien</w:t>
      </w:r>
      <w:r w:rsidR="00FA3A05">
        <w:t>,</w:t>
      </w:r>
      <w:r w:rsidRPr="00FA3A05" w:rsidR="00FA3A05">
        <w:t xml:space="preserve"> </w:t>
      </w:r>
      <w:r w:rsidR="00FA3A05">
        <w:t xml:space="preserve">in relatie tot de </w:t>
      </w:r>
      <w:r w:rsidRPr="00FA3A05" w:rsidR="00FA3A05">
        <w:t>toegankelijkheid, veiligheid, kwaliteit en betaalbaarheid</w:t>
      </w:r>
      <w:r w:rsidR="00FA3A05">
        <w:t>.</w:t>
      </w:r>
      <w:r w:rsidRPr="00753C25" w:rsidR="00753C25">
        <w:t xml:space="preserve"> </w:t>
      </w:r>
    </w:p>
    <w:p w:rsidR="00D35BE1" w:rsidP="00202AA0" w:rsidRDefault="00D35BE1" w14:paraId="37C7EB53" w14:textId="77777777">
      <w:pPr>
        <w:spacing w:line="240" w:lineRule="atLeast"/>
      </w:pPr>
    </w:p>
    <w:p w:rsidRPr="00753C25" w:rsidR="00753C25" w:rsidP="00202AA0" w:rsidRDefault="00753C25" w14:paraId="2ED9B533" w14:textId="34E03976">
      <w:pPr>
        <w:spacing w:line="240" w:lineRule="atLeast"/>
      </w:pPr>
      <w:r w:rsidRPr="00753C25">
        <w:t xml:space="preserve">De </w:t>
      </w:r>
      <w:r w:rsidR="00947FE2">
        <w:t xml:space="preserve">belangrijkste </w:t>
      </w:r>
      <w:r w:rsidRPr="00753C25">
        <w:t xml:space="preserve">kaders waarbinnen deze evaluatie </w:t>
      </w:r>
      <w:r w:rsidR="00D35BE1">
        <w:t>heeft plaatsgevonden</w:t>
      </w:r>
      <w:r w:rsidRPr="00753C25">
        <w:t xml:space="preserve"> </w:t>
      </w:r>
      <w:r w:rsidR="00947FE2">
        <w:t>waren</w:t>
      </w:r>
      <w:r w:rsidR="000D3B1B">
        <w:t xml:space="preserve"> de volgende</w:t>
      </w:r>
      <w:r w:rsidRPr="00753C25">
        <w:t xml:space="preserve">: </w:t>
      </w:r>
    </w:p>
    <w:p w:rsidRPr="00753C25" w:rsidR="00753C25" w:rsidP="00202AA0" w:rsidRDefault="00FA3A05" w14:paraId="069F1420" w14:textId="3854FD55">
      <w:pPr>
        <w:pStyle w:val="Lijstalinea"/>
        <w:numPr>
          <w:ilvl w:val="0"/>
          <w:numId w:val="11"/>
        </w:numPr>
        <w:spacing w:line="240" w:lineRule="atLeast"/>
      </w:pPr>
      <w:r>
        <w:t>B</w:t>
      </w:r>
      <w:r w:rsidRPr="00753C25" w:rsidR="00753C25">
        <w:t xml:space="preserve">eschikbaarheid </w:t>
      </w:r>
      <w:r w:rsidR="00D35BE1">
        <w:t>is</w:t>
      </w:r>
      <w:r w:rsidRPr="00753C25" w:rsidR="00D35BE1">
        <w:t xml:space="preserve"> </w:t>
      </w:r>
      <w:r w:rsidRPr="00753C25" w:rsidR="00753C25">
        <w:t xml:space="preserve">eng gedefinieerd als de aanwezigheid (fysiek) van het medisch product in Nederland, na toelating tot de markt; </w:t>
      </w:r>
    </w:p>
    <w:p w:rsidR="00753C25" w:rsidP="00202AA0" w:rsidRDefault="00FA3A05" w14:paraId="1FD3BD42" w14:textId="638AAD8A">
      <w:pPr>
        <w:pStyle w:val="Lijstalinea"/>
        <w:numPr>
          <w:ilvl w:val="0"/>
          <w:numId w:val="11"/>
        </w:numPr>
        <w:spacing w:line="240" w:lineRule="atLeast"/>
      </w:pPr>
      <w:r>
        <w:t>De evaluatie betreft alleen beleidsinstrumenten die zijn ontwikkeld en ingezet door</w:t>
      </w:r>
      <w:r w:rsidRPr="00753C25" w:rsidR="00753C25">
        <w:t xml:space="preserve"> de directie Geneesmiddelen en Medische Technologie </w:t>
      </w:r>
      <w:r>
        <w:t xml:space="preserve">van het </w:t>
      </w:r>
      <w:r w:rsidR="004655B4">
        <w:t>m</w:t>
      </w:r>
      <w:r>
        <w:t>inisterie van VWS</w:t>
      </w:r>
      <w:r w:rsidR="004655B4">
        <w:t>;</w:t>
      </w:r>
    </w:p>
    <w:p w:rsidRPr="00753C25" w:rsidR="00753C25" w:rsidP="00202AA0" w:rsidRDefault="000D3B1B" w14:paraId="19105835" w14:textId="11DAF9F1">
      <w:pPr>
        <w:pStyle w:val="Lijstalinea"/>
        <w:numPr>
          <w:ilvl w:val="0"/>
          <w:numId w:val="12"/>
        </w:numPr>
        <w:spacing w:line="240" w:lineRule="atLeast"/>
      </w:pPr>
      <w:r>
        <w:t>v</w:t>
      </w:r>
      <w:r w:rsidRPr="00753C25" w:rsidR="00753C25">
        <w:t xml:space="preserve">oor geneesmiddelen geldt dat het geneesmiddelen betreffen, die vallen onder de Zorgverzekeringswet, met uitzondering van dure geneesmiddelen, medische isotopen en vaccins; </w:t>
      </w:r>
    </w:p>
    <w:p w:rsidRPr="00753C25" w:rsidR="00753C25" w:rsidP="00202AA0" w:rsidRDefault="000D3B1B" w14:paraId="2314AAD1" w14:textId="18B36008">
      <w:pPr>
        <w:pStyle w:val="Lijstalinea"/>
        <w:numPr>
          <w:ilvl w:val="0"/>
          <w:numId w:val="12"/>
        </w:numPr>
        <w:spacing w:line="240" w:lineRule="atLeast"/>
      </w:pPr>
      <w:r>
        <w:t>v</w:t>
      </w:r>
      <w:r w:rsidRPr="00753C25" w:rsidR="00753C25">
        <w:t xml:space="preserve">oor medische hulpmiddelen gaat het om hulpmiddelen die zijn toegelaten tot de Europese Nederlandse markt (CE markering); </w:t>
      </w:r>
    </w:p>
    <w:p w:rsidR="00753C25" w:rsidP="00202AA0" w:rsidRDefault="000D3B1B" w14:paraId="6AE9EB4A" w14:textId="3477BF57">
      <w:pPr>
        <w:pStyle w:val="Lijstalinea"/>
        <w:numPr>
          <w:ilvl w:val="0"/>
          <w:numId w:val="12"/>
        </w:numPr>
        <w:spacing w:line="240" w:lineRule="atLeast"/>
      </w:pPr>
      <w:r>
        <w:t>v</w:t>
      </w:r>
      <w:r w:rsidRPr="00753C25" w:rsidR="00753C25">
        <w:t xml:space="preserve">oor lichaamsmaterialen gaat het om organen en weefsels, bloedproducten en stamcellen. </w:t>
      </w:r>
    </w:p>
    <w:p w:rsidR="00202AA0" w:rsidP="00202AA0" w:rsidRDefault="00202AA0" w14:paraId="1C799931" w14:textId="77777777">
      <w:pPr>
        <w:spacing w:line="240" w:lineRule="atLeast"/>
      </w:pPr>
    </w:p>
    <w:p w:rsidRPr="00753C25" w:rsidR="00202AA0" w:rsidP="00202AA0" w:rsidRDefault="00202AA0" w14:paraId="33C964BB" w14:textId="77777777">
      <w:pPr>
        <w:spacing w:line="240" w:lineRule="atLeast"/>
      </w:pPr>
    </w:p>
    <w:p w:rsidRPr="00753C25" w:rsidR="0009272C" w:rsidP="00202AA0" w:rsidRDefault="00FA3A05" w14:paraId="6318F204" w14:textId="174CC981">
      <w:pPr>
        <w:pStyle w:val="Lijstalinea"/>
        <w:numPr>
          <w:ilvl w:val="0"/>
          <w:numId w:val="13"/>
        </w:numPr>
        <w:spacing w:line="240" w:lineRule="atLeast"/>
      </w:pPr>
      <w:r>
        <w:t>H</w:t>
      </w:r>
      <w:r w:rsidRPr="00753C25" w:rsidR="00753C25">
        <w:t>et onderzoek besl</w:t>
      </w:r>
      <w:r w:rsidR="00D35BE1">
        <w:t>oeg in eerste instantie</w:t>
      </w:r>
      <w:r w:rsidRPr="00753C25" w:rsidR="00753C25">
        <w:t xml:space="preserve"> de periode van 2017 tot en met 2023</w:t>
      </w:r>
      <w:r w:rsidR="00D35BE1">
        <w:t>. Om</w:t>
      </w:r>
      <w:r w:rsidR="00B813A0">
        <w:t xml:space="preserve"> 1) </w:t>
      </w:r>
      <w:r w:rsidRPr="00B813A0" w:rsidR="00B813A0">
        <w:t xml:space="preserve">de </w:t>
      </w:r>
      <w:r w:rsidR="00B813A0">
        <w:t>beleids</w:t>
      </w:r>
      <w:r w:rsidRPr="00B813A0" w:rsidR="00B813A0">
        <w:t xml:space="preserve">instrumenten en beleidswijzigingen mee te </w:t>
      </w:r>
      <w:r w:rsidR="00B813A0">
        <w:t xml:space="preserve">kunnen </w:t>
      </w:r>
      <w:r w:rsidRPr="00B813A0" w:rsidR="00B813A0">
        <w:t>nemen die na 2023 zijn ingezet en</w:t>
      </w:r>
      <w:r w:rsidR="00B813A0">
        <w:t xml:space="preserve"> om</w:t>
      </w:r>
      <w:r w:rsidRPr="00B813A0" w:rsidR="00B813A0">
        <w:t xml:space="preserve"> </w:t>
      </w:r>
      <w:r w:rsidR="00B813A0">
        <w:t xml:space="preserve">2) </w:t>
      </w:r>
      <w:r w:rsidRPr="00B813A0" w:rsidR="00B813A0">
        <w:t xml:space="preserve">de effecten van het beleid tot en met medio 2025 te </w:t>
      </w:r>
      <w:r w:rsidR="00B813A0">
        <w:t xml:space="preserve">kunnen </w:t>
      </w:r>
      <w:r w:rsidRPr="00B813A0" w:rsidR="00B813A0">
        <w:t>volgen</w:t>
      </w:r>
      <w:r>
        <w:t>,</w:t>
      </w:r>
      <w:r w:rsidR="00D35BE1">
        <w:t xml:space="preserve"> is er gedurende het onderzoek voor gekozen om de</w:t>
      </w:r>
      <w:r w:rsidR="00B813A0">
        <w:t xml:space="preserve"> looptijd</w:t>
      </w:r>
      <w:r w:rsidR="00D35BE1">
        <w:t xml:space="preserve"> te verlengen tot en met </w:t>
      </w:r>
      <w:r w:rsidR="00B813A0">
        <w:t xml:space="preserve">zomer </w:t>
      </w:r>
      <w:r w:rsidR="00D35BE1">
        <w:t>2025</w:t>
      </w:r>
      <w:r w:rsidRPr="00753C25" w:rsidR="00753C25">
        <w:t xml:space="preserve">; </w:t>
      </w:r>
    </w:p>
    <w:p w:rsidR="0009272C" w:rsidP="00202AA0" w:rsidRDefault="00753C25" w14:paraId="148FB5CE" w14:textId="19F4476B">
      <w:pPr>
        <w:pStyle w:val="Lijstalinea"/>
        <w:numPr>
          <w:ilvl w:val="0"/>
          <w:numId w:val="13"/>
        </w:numPr>
        <w:spacing w:line="240" w:lineRule="atLeast"/>
      </w:pPr>
      <w:r w:rsidRPr="0009272C">
        <w:t xml:space="preserve">De beschikbaarheid van medische producten tijdens de coronacrisis (januari 2020 tot en met mei 2022) </w:t>
      </w:r>
      <w:r w:rsidRPr="0009272C" w:rsidR="00D35BE1">
        <w:t xml:space="preserve">is </w:t>
      </w:r>
      <w:r w:rsidRPr="0009272C">
        <w:t xml:space="preserve">in zoverre buiten beschouwing gelaten, dat de maatregelen die toen genomen zijn ten behoeve van beschikbaarheid van medische producten niet in dit onderzoek geëvalueerd worden. Die evaluatie </w:t>
      </w:r>
      <w:r w:rsidRPr="0009272C" w:rsidR="00B813A0">
        <w:t xml:space="preserve">gebeurt </w:t>
      </w:r>
      <w:r w:rsidRPr="0009272C">
        <w:t>in</w:t>
      </w:r>
      <w:r w:rsidRPr="0009272C" w:rsidR="00B813A0">
        <w:t xml:space="preserve"> diverse</w:t>
      </w:r>
      <w:r w:rsidRPr="0009272C">
        <w:t xml:space="preserve"> andere trajecten</w:t>
      </w:r>
      <w:r w:rsidRPr="0009272C" w:rsidR="00B813A0">
        <w:t>.</w:t>
      </w:r>
      <w:r w:rsidRPr="004655B4" w:rsidR="00B813A0">
        <w:rPr>
          <w:vertAlign w:val="superscript"/>
        </w:rPr>
        <w:footnoteReference w:id="2"/>
      </w:r>
      <w:r w:rsidR="009F1CB6">
        <w:rPr>
          <w:vertAlign w:val="superscript"/>
        </w:rPr>
        <w:t xml:space="preserve"> </w:t>
      </w:r>
      <w:r w:rsidRPr="0009272C">
        <w:t xml:space="preserve">Wel werken bepaalde maatregelen uit die periode nog door in het huidige beleid. Die doorwerking </w:t>
      </w:r>
      <w:r w:rsidRPr="0009272C" w:rsidR="00B813A0">
        <w:t>is</w:t>
      </w:r>
      <w:r w:rsidRPr="0009272C">
        <w:t xml:space="preserve"> </w:t>
      </w:r>
      <w:r w:rsidRPr="0009272C" w:rsidR="00FA3A05">
        <w:t xml:space="preserve">meegenomen </w:t>
      </w:r>
      <w:r w:rsidRPr="0009272C" w:rsidR="00B813A0">
        <w:t>daar waar het aan de onderzoeksvraag raakte</w:t>
      </w:r>
      <w:r w:rsidR="0009272C">
        <w:t>;</w:t>
      </w:r>
      <w:r w:rsidRPr="0009272C" w:rsidR="0009272C">
        <w:t xml:space="preserve"> </w:t>
      </w:r>
    </w:p>
    <w:p w:rsidR="0009272C" w:rsidP="00202AA0" w:rsidRDefault="0009272C" w14:paraId="44F56EDD" w14:textId="7DE39485">
      <w:pPr>
        <w:pStyle w:val="Lijstalinea"/>
        <w:numPr>
          <w:ilvl w:val="0"/>
          <w:numId w:val="13"/>
        </w:numPr>
        <w:spacing w:line="240" w:lineRule="atLeast"/>
      </w:pPr>
      <w:r>
        <w:t>Als literatuur is gebruikt:</w:t>
      </w:r>
    </w:p>
    <w:p w:rsidR="0009272C" w:rsidP="00202AA0" w:rsidRDefault="0009272C" w14:paraId="2A115158" w14:textId="77777777">
      <w:pPr>
        <w:pStyle w:val="Lijstalinea"/>
        <w:numPr>
          <w:ilvl w:val="1"/>
          <w:numId w:val="18"/>
        </w:numPr>
        <w:spacing w:line="240" w:lineRule="atLeast"/>
      </w:pPr>
      <w:r>
        <w:t>B</w:t>
      </w:r>
      <w:r w:rsidRPr="0009272C">
        <w:t xml:space="preserve">estaande evaluaties en monitors, </w:t>
      </w:r>
    </w:p>
    <w:p w:rsidR="0009272C" w:rsidP="00202AA0" w:rsidRDefault="0009272C" w14:paraId="438D4E8F" w14:textId="10D9A7C5">
      <w:pPr>
        <w:pStyle w:val="Lijstalinea"/>
        <w:numPr>
          <w:ilvl w:val="1"/>
          <w:numId w:val="18"/>
        </w:numPr>
        <w:spacing w:line="240" w:lineRule="atLeast"/>
      </w:pPr>
      <w:r>
        <w:t>P</w:t>
      </w:r>
      <w:r w:rsidRPr="0009272C">
        <w:t xml:space="preserve">eriodieke, beschrijvende bronnen zoals Kamerstukken </w:t>
      </w:r>
      <w:r>
        <w:t>(</w:t>
      </w:r>
      <w:r w:rsidRPr="0009272C">
        <w:t>in die gevallen waar</w:t>
      </w:r>
      <w:r>
        <w:t>in</w:t>
      </w:r>
      <w:r w:rsidRPr="0009272C">
        <w:t xml:space="preserve"> geen evaluatie of monitor beschikbaar </w:t>
      </w:r>
      <w:r>
        <w:t>was)</w:t>
      </w:r>
    </w:p>
    <w:p w:rsidR="0009272C" w:rsidP="00202AA0" w:rsidRDefault="0009272C" w14:paraId="275ED9DF" w14:textId="37CC942E">
      <w:pPr>
        <w:pStyle w:val="Lijstalinea"/>
        <w:numPr>
          <w:ilvl w:val="1"/>
          <w:numId w:val="18"/>
        </w:numPr>
        <w:spacing w:line="240" w:lineRule="atLeast"/>
      </w:pPr>
      <w:r>
        <w:t>I</w:t>
      </w:r>
      <w:r w:rsidRPr="0009272C">
        <w:t>nternationale studies die laten zien waar Nederland wel en geen invloed op heeft</w:t>
      </w:r>
      <w:r>
        <w:t>,</w:t>
      </w:r>
      <w:r w:rsidRPr="0009272C">
        <w:t xml:space="preserve"> of die voorbeelden geven die Nederland zou kunnen gebruiken.</w:t>
      </w:r>
    </w:p>
    <w:p w:rsidR="0009272C" w:rsidP="00202AA0" w:rsidRDefault="0009272C" w14:paraId="0759350B" w14:textId="77777777">
      <w:pPr>
        <w:spacing w:line="240" w:lineRule="atLeast"/>
      </w:pPr>
    </w:p>
    <w:p w:rsidR="00AD75D4" w:rsidP="00202AA0" w:rsidRDefault="00F2011B" w14:paraId="36CC5AD5" w14:textId="6706DE84">
      <w:pPr>
        <w:pStyle w:val="Lijstalinea"/>
        <w:numPr>
          <w:ilvl w:val="0"/>
          <w:numId w:val="2"/>
        </w:numPr>
        <w:spacing w:line="240" w:lineRule="atLeast"/>
        <w:rPr>
          <w:b/>
          <w:bCs/>
        </w:rPr>
      </w:pPr>
      <w:r w:rsidRPr="0036603C">
        <w:rPr>
          <w:b/>
          <w:bCs/>
        </w:rPr>
        <w:t xml:space="preserve">Hoofdconclusies over de doelmatigheid en doeltreffendheid van het beleid. </w:t>
      </w:r>
    </w:p>
    <w:p w:rsidRPr="003352CC" w:rsidR="003352CC" w:rsidP="00202AA0" w:rsidRDefault="003352CC" w14:paraId="21324703" w14:textId="77777777">
      <w:pPr>
        <w:pStyle w:val="Lijstalinea"/>
        <w:spacing w:line="240" w:lineRule="atLeast"/>
        <w:ind w:left="360"/>
        <w:rPr>
          <w:b/>
          <w:bCs/>
        </w:rPr>
      </w:pPr>
    </w:p>
    <w:p w:rsidR="005322AE" w:rsidP="00202AA0" w:rsidRDefault="0065483E" w14:paraId="4E0543C0" w14:textId="2D9C2B93">
      <w:pPr>
        <w:spacing w:line="240" w:lineRule="atLeast"/>
        <w:rPr>
          <w:i/>
          <w:iCs/>
        </w:rPr>
      </w:pPr>
      <w:r>
        <w:rPr>
          <w:i/>
          <w:iCs/>
        </w:rPr>
        <w:t xml:space="preserve">Bevindingen </w:t>
      </w:r>
      <w:r w:rsidR="005322AE">
        <w:rPr>
          <w:i/>
          <w:iCs/>
        </w:rPr>
        <w:t>per domein</w:t>
      </w:r>
    </w:p>
    <w:p w:rsidR="00166466" w:rsidP="00202AA0" w:rsidRDefault="00166466" w14:paraId="0D4D9D9D" w14:textId="77777777">
      <w:pPr>
        <w:spacing w:line="240" w:lineRule="atLeast"/>
        <w:rPr>
          <w:i/>
          <w:iCs/>
        </w:rPr>
      </w:pPr>
    </w:p>
    <w:p w:rsidRPr="00233D83" w:rsidR="00233D83" w:rsidP="00202AA0" w:rsidRDefault="005322AE" w14:paraId="5F5CD17D" w14:textId="0A724460">
      <w:pPr>
        <w:pStyle w:val="Lijstalinea"/>
        <w:numPr>
          <w:ilvl w:val="0"/>
          <w:numId w:val="9"/>
        </w:numPr>
        <w:spacing w:line="240" w:lineRule="atLeast"/>
      </w:pPr>
      <w:r w:rsidRPr="00166466">
        <w:rPr>
          <w:i/>
          <w:iCs/>
        </w:rPr>
        <w:t>Geneesmiddelen</w:t>
      </w:r>
    </w:p>
    <w:p w:rsidR="00F17107" w:rsidP="00202AA0" w:rsidRDefault="00F17107" w14:paraId="464C02D8" w14:textId="5530F7E4">
      <w:pPr>
        <w:spacing w:line="240" w:lineRule="atLeast"/>
      </w:pPr>
      <w:r>
        <w:t xml:space="preserve">Gupta </w:t>
      </w:r>
      <w:r w:rsidR="0065483E">
        <w:t>constateert</w:t>
      </w:r>
      <w:r>
        <w:t xml:space="preserve"> dat d</w:t>
      </w:r>
      <w:r w:rsidRPr="00561DBC" w:rsidR="00561DBC">
        <w:t xml:space="preserve">e beschikbaarheid van geneesmiddelen al jaren een complex </w:t>
      </w:r>
      <w:r w:rsidR="00FA3A05">
        <w:t>vraagstuk</w:t>
      </w:r>
      <w:r w:rsidRPr="00561DBC" w:rsidR="00FA3A05">
        <w:t xml:space="preserve"> </w:t>
      </w:r>
      <w:r>
        <w:t xml:space="preserve">is </w:t>
      </w:r>
      <w:r w:rsidR="004655B4">
        <w:t>in</w:t>
      </w:r>
      <w:r w:rsidRPr="00561DBC" w:rsidR="00561DBC">
        <w:t xml:space="preserve"> een krachtenveld van individuele belangen</w:t>
      </w:r>
      <w:r w:rsidR="00B813A0">
        <w:t xml:space="preserve">. De onderzoekers </w:t>
      </w:r>
      <w:r w:rsidR="0065483E">
        <w:t>stellen</w:t>
      </w:r>
      <w:r>
        <w:t xml:space="preserve"> dat </w:t>
      </w:r>
      <w:r w:rsidRPr="00561DBC" w:rsidR="00561DBC">
        <w:t>dit</w:t>
      </w:r>
      <w:r w:rsidR="00B813A0">
        <w:t xml:space="preserve"> </w:t>
      </w:r>
      <w:r w:rsidRPr="00561DBC" w:rsidR="00561DBC">
        <w:t xml:space="preserve">om meer regie van </w:t>
      </w:r>
      <w:r w:rsidR="004655B4">
        <w:t xml:space="preserve">het ministerie </w:t>
      </w:r>
      <w:r w:rsidR="00A642FF">
        <w:t xml:space="preserve">van </w:t>
      </w:r>
      <w:r w:rsidRPr="00561DBC" w:rsidR="00561DBC">
        <w:t>VWS</w:t>
      </w:r>
      <w:r>
        <w:t xml:space="preserve"> vraagt</w:t>
      </w:r>
      <w:r w:rsidRPr="00561DBC" w:rsidR="00561DBC">
        <w:t>. Geneesmiddelentekorten vormen al jaren een structureel probleem waar de gehele keten van fabrikanten, groothandels, voorschrijvers, apotheken en patiënten dagelijks mee wordt geconfronteerd.</w:t>
      </w:r>
    </w:p>
    <w:p w:rsidR="00F17107" w:rsidP="00202AA0" w:rsidRDefault="00F17107" w14:paraId="3E5D82A7" w14:textId="77777777">
      <w:pPr>
        <w:spacing w:line="240" w:lineRule="atLeast"/>
      </w:pPr>
    </w:p>
    <w:p w:rsidRPr="009A542A" w:rsidR="006048A1" w:rsidP="00202AA0" w:rsidRDefault="00F17107" w14:paraId="1925CE01" w14:textId="77777777">
      <w:pPr>
        <w:spacing w:line="240" w:lineRule="atLeast"/>
      </w:pPr>
      <w:r>
        <w:t>Gupta evalueerde</w:t>
      </w:r>
      <w:r w:rsidRPr="00561DBC" w:rsidR="00561DBC">
        <w:t xml:space="preserve"> tien beleidsinstrumenten die direct of indirect van invloed zijn op de beschikbaarheid van geneesmiddelen in Nederland. De beleidsinstrumenten die primair zijn ingezet ten behoeve van beschikbaarheid zijn </w:t>
      </w:r>
      <w:r w:rsidR="00FA3A05">
        <w:t xml:space="preserve">volgens de onderzoekers </w:t>
      </w:r>
      <w:r w:rsidRPr="00561DBC" w:rsidR="00561DBC">
        <w:t>effectief, maar hebben ook verbeterpunten. Beleidsinstrumenten die zijn ingezet</w:t>
      </w:r>
      <w:r w:rsidR="00561DBC">
        <w:t xml:space="preserve"> </w:t>
      </w:r>
      <w:r w:rsidRPr="00561DBC" w:rsidR="00561DBC">
        <w:t xml:space="preserve">ten behoeve van betaalbaarheid en kwaliteit kunnen een risico vormen voor de beschikbaarheid. </w:t>
      </w:r>
      <w:r w:rsidR="002342ED">
        <w:t>Ook</w:t>
      </w:r>
      <w:r>
        <w:t xml:space="preserve"> </w:t>
      </w:r>
      <w:r w:rsidR="00FA3A05">
        <w:t xml:space="preserve">geeft Gupta </w:t>
      </w:r>
      <w:r>
        <w:t>aan dat h</w:t>
      </w:r>
      <w:r w:rsidRPr="00561DBC" w:rsidR="00561DBC">
        <w:t>et verbeteren van de beschikbaarheid van geneesmiddelen niet makkelijk</w:t>
      </w:r>
      <w:r>
        <w:t xml:space="preserve"> is</w:t>
      </w:r>
      <w:r w:rsidRPr="00561DBC" w:rsidR="00561DBC">
        <w:t xml:space="preserve">. Uit </w:t>
      </w:r>
      <w:r>
        <w:t>de</w:t>
      </w:r>
      <w:r w:rsidRPr="00561DBC">
        <w:t xml:space="preserve"> </w:t>
      </w:r>
      <w:r w:rsidRPr="00561DBC" w:rsidR="00561DBC">
        <w:t xml:space="preserve">evaluatie blijkt </w:t>
      </w:r>
      <w:r w:rsidR="00FA3A05">
        <w:t xml:space="preserve">dat er </w:t>
      </w:r>
      <w:r w:rsidRPr="00561DBC" w:rsidR="00561DBC">
        <w:t xml:space="preserve">niet één “gouden beleidsinstrument” </w:t>
      </w:r>
      <w:r w:rsidR="00FA3A05">
        <w:t>is</w:t>
      </w:r>
      <w:r w:rsidRPr="00561DBC" w:rsidR="00561DBC">
        <w:t xml:space="preserve"> waarmee de beschikbaarheid verbetert. </w:t>
      </w:r>
      <w:r>
        <w:t>I</w:t>
      </w:r>
      <w:r w:rsidRPr="00561DBC" w:rsidR="00561DBC">
        <w:t xml:space="preserve">n het complexe krachtenveld </w:t>
      </w:r>
      <w:r w:rsidR="00FA3A05">
        <w:t>vormen</w:t>
      </w:r>
      <w:r w:rsidRPr="00561DBC" w:rsidR="00FA3A05">
        <w:t xml:space="preserve"> </w:t>
      </w:r>
      <w:r w:rsidRPr="00561DBC" w:rsidR="00561DBC">
        <w:t xml:space="preserve">de uiteenlopende belangen van partijen </w:t>
      </w:r>
      <w:r w:rsidR="00FA3A05">
        <w:t xml:space="preserve">volgens de onderzoekers </w:t>
      </w:r>
      <w:r w:rsidRPr="00561DBC" w:rsidR="00561DBC">
        <w:t xml:space="preserve">een risico voor de </w:t>
      </w:r>
      <w:r w:rsidR="00FA3A05">
        <w:t>verbetering</w:t>
      </w:r>
      <w:r w:rsidRPr="00561DBC" w:rsidR="00FA3A05">
        <w:t xml:space="preserve"> </w:t>
      </w:r>
      <w:r w:rsidRPr="00561DBC" w:rsidR="00561DBC">
        <w:t>van beschikbaarheid</w:t>
      </w:r>
      <w:r w:rsidR="00FA3A05">
        <w:t xml:space="preserve"> van geneesmiddelen</w:t>
      </w:r>
      <w:r w:rsidRPr="00561DBC" w:rsidR="00561DBC">
        <w:t>.</w:t>
      </w:r>
      <w:r w:rsidRPr="001E7DC6" w:rsidR="00561DBC">
        <w:t xml:space="preserve"> </w:t>
      </w:r>
      <w:r w:rsidR="001E7DC6">
        <w:t>Op grond van deze bevindingen</w:t>
      </w:r>
      <w:r w:rsidRPr="00EA4BA6" w:rsidR="001E7DC6">
        <w:t xml:space="preserve"> beveelt </w:t>
      </w:r>
      <w:r w:rsidR="001E7DC6">
        <w:t xml:space="preserve">Gupta </w:t>
      </w:r>
      <w:r w:rsidRPr="00EA4BA6" w:rsidR="001E7DC6">
        <w:t xml:space="preserve">het ministerie van </w:t>
      </w:r>
      <w:r w:rsidRPr="009A542A" w:rsidR="001E7DC6">
        <w:t>VWS aan om meer regie te nemen, vanuit de stelselverantwoordelijkheid van de overheid.</w:t>
      </w:r>
      <w:r w:rsidRPr="009A542A" w:rsidR="006048A1">
        <w:t xml:space="preserve"> </w:t>
      </w:r>
    </w:p>
    <w:p w:rsidR="006048A1" w:rsidP="00202AA0" w:rsidRDefault="006048A1" w14:paraId="7BC3863A" w14:textId="77777777">
      <w:pPr>
        <w:spacing w:line="240" w:lineRule="atLeast"/>
      </w:pPr>
    </w:p>
    <w:p w:rsidRPr="009A542A" w:rsidR="00202AA0" w:rsidP="00202AA0" w:rsidRDefault="00202AA0" w14:paraId="79AA86B1" w14:textId="77777777">
      <w:pPr>
        <w:spacing w:line="240" w:lineRule="atLeast"/>
      </w:pPr>
    </w:p>
    <w:p w:rsidRPr="006048A1" w:rsidR="006048A1" w:rsidP="00202AA0" w:rsidRDefault="006048A1" w14:paraId="4D4FBA42" w14:textId="3A98F564">
      <w:pPr>
        <w:spacing w:line="240" w:lineRule="atLeast"/>
      </w:pPr>
      <w:r w:rsidRPr="009A542A">
        <w:t xml:space="preserve">Het </w:t>
      </w:r>
      <w:r w:rsidR="00816835">
        <w:t>k</w:t>
      </w:r>
      <w:r w:rsidRPr="009A542A">
        <w:t xml:space="preserve">abinet ziet </w:t>
      </w:r>
      <w:r w:rsidRPr="009A542A" w:rsidR="00AE7F4F">
        <w:t xml:space="preserve">inderdaad een regierol voor zichzelf weggelegd. Dit </w:t>
      </w:r>
      <w:r w:rsidRPr="009A542A">
        <w:t>niet alleen vanuit stelselverantwoordelijkheid</w:t>
      </w:r>
      <w:r w:rsidRPr="009A542A" w:rsidR="00AE7F4F">
        <w:t>,</w:t>
      </w:r>
      <w:r w:rsidRPr="009A542A">
        <w:t xml:space="preserve"> maar ook vanwege de maatschappelijke urgentie op het gebied van de beschikbaarheid van geneesmiddelen. In de Kamerbrief over de voortgang van de beschikbaarheid van geneesmiddelen heeft het </w:t>
      </w:r>
      <w:r w:rsidR="00816835">
        <w:t>k</w:t>
      </w:r>
      <w:r w:rsidRPr="009A542A">
        <w:t>abinet recent uiteen gezet hoe het op dit beleidsvraagstuk de regie neemt en blijft nemen</w:t>
      </w:r>
      <w:r w:rsidRPr="009A542A">
        <w:rPr>
          <w:i/>
          <w:iCs/>
        </w:rPr>
        <w:t>.</w:t>
      </w:r>
      <w:r w:rsidRPr="009A542A">
        <w:rPr>
          <w:rStyle w:val="Voetnootmarkering"/>
        </w:rPr>
        <w:footnoteReference w:id="3"/>
      </w:r>
      <w:r>
        <w:rPr>
          <w:i/>
          <w:iCs/>
        </w:rPr>
        <w:t xml:space="preserve"> </w:t>
      </w:r>
    </w:p>
    <w:p w:rsidRPr="00233D83" w:rsidR="00233D83" w:rsidP="00202AA0" w:rsidRDefault="00233D83" w14:paraId="03521BEE" w14:textId="77777777">
      <w:pPr>
        <w:spacing w:line="240" w:lineRule="atLeast"/>
      </w:pPr>
    </w:p>
    <w:p w:rsidR="00233D83" w:rsidP="00202AA0" w:rsidRDefault="005322AE" w14:paraId="75E4FF03" w14:textId="69428962">
      <w:pPr>
        <w:pStyle w:val="Lijstalinea"/>
        <w:numPr>
          <w:ilvl w:val="0"/>
          <w:numId w:val="9"/>
        </w:numPr>
        <w:spacing w:line="240" w:lineRule="atLeast"/>
      </w:pPr>
      <w:r w:rsidRPr="00166466">
        <w:rPr>
          <w:i/>
          <w:iCs/>
        </w:rPr>
        <w:t xml:space="preserve">Medische </w:t>
      </w:r>
      <w:r w:rsidR="00BD42B9">
        <w:rPr>
          <w:i/>
          <w:iCs/>
        </w:rPr>
        <w:t>hulpmiddelen</w:t>
      </w:r>
    </w:p>
    <w:p w:rsidR="00F17107" w:rsidP="00202AA0" w:rsidRDefault="00F17107" w14:paraId="5A5E4B73" w14:textId="09A8D722">
      <w:pPr>
        <w:spacing w:line="240" w:lineRule="atLeast"/>
      </w:pPr>
      <w:r>
        <w:t>Gupta geeft aan dat d</w:t>
      </w:r>
      <w:r w:rsidRPr="00233D83" w:rsidR="00233D83">
        <w:t xml:space="preserve">e uitdaging </w:t>
      </w:r>
      <w:r w:rsidR="00FA3A05">
        <w:t xml:space="preserve">bij deze productgroep </w:t>
      </w:r>
      <w:r w:rsidRPr="00233D83" w:rsidR="00233D83">
        <w:t>vooral</w:t>
      </w:r>
      <w:r>
        <w:t xml:space="preserve"> ligt</w:t>
      </w:r>
      <w:r w:rsidRPr="00233D83" w:rsidR="00233D83">
        <w:t xml:space="preserve"> in het balanceren van veiligheid en kwaliteit met beschikbaarheid</w:t>
      </w:r>
      <w:r>
        <w:t xml:space="preserve">. </w:t>
      </w:r>
      <w:r w:rsidR="008E617E">
        <w:t xml:space="preserve">Zo dragen </w:t>
      </w:r>
      <w:r w:rsidRPr="00233D83" w:rsidR="008E617E">
        <w:t xml:space="preserve">de Europese </w:t>
      </w:r>
      <w:r w:rsidRPr="004655B4" w:rsidR="008E617E">
        <w:t xml:space="preserve">verordeningen </w:t>
      </w:r>
      <w:r w:rsidRPr="002342ED" w:rsidR="008E617E">
        <w:rPr>
          <w:i/>
          <w:iCs/>
        </w:rPr>
        <w:t>Medical Device Regulation</w:t>
      </w:r>
      <w:r w:rsidRPr="004655B4" w:rsidR="008E617E">
        <w:t xml:space="preserve"> (MDR) en </w:t>
      </w:r>
      <w:r w:rsidR="000F5286">
        <w:rPr>
          <w:i/>
          <w:iCs/>
        </w:rPr>
        <w:t xml:space="preserve">In-Vitro Diagnostics Regulation </w:t>
      </w:r>
      <w:r w:rsidR="000F5286">
        <w:t xml:space="preserve">(IVDR) </w:t>
      </w:r>
      <w:r w:rsidRPr="004655B4" w:rsidR="008E617E">
        <w:t>bij aan</w:t>
      </w:r>
      <w:r w:rsidRPr="00233D83" w:rsidR="008E617E">
        <w:t xml:space="preserve"> productveiligheid, </w:t>
      </w:r>
      <w:r w:rsidR="008E617E">
        <w:t xml:space="preserve">maar </w:t>
      </w:r>
      <w:r w:rsidRPr="00233D83" w:rsidR="008E617E">
        <w:t xml:space="preserve">leiden ze ook tot druk op beschikbaarheid. </w:t>
      </w:r>
      <w:r w:rsidR="00FA3A05">
        <w:t xml:space="preserve">De onderzoekers </w:t>
      </w:r>
      <w:r w:rsidRPr="00233D83" w:rsidR="00233D83">
        <w:t>adviseren een beter beeld te vormen van</w:t>
      </w:r>
      <w:r w:rsidR="00FA3A05">
        <w:t xml:space="preserve"> nationale en </w:t>
      </w:r>
      <w:r w:rsidRPr="00233D83" w:rsidR="00233D83">
        <w:t xml:space="preserve">internationale uitdagingen in beschikbaarheid </w:t>
      </w:r>
      <w:r w:rsidRPr="00233D83" w:rsidR="00FA3A05">
        <w:t xml:space="preserve">en </w:t>
      </w:r>
      <w:r w:rsidR="00FA3A05">
        <w:t xml:space="preserve">daarop </w:t>
      </w:r>
      <w:r w:rsidRPr="00233D83" w:rsidR="00FA3A05">
        <w:t>te acteren</w:t>
      </w:r>
      <w:r w:rsidR="00FA3A05">
        <w:t>. Ook adviseren zij</w:t>
      </w:r>
      <w:r w:rsidRPr="00233D83" w:rsidR="00233D83">
        <w:t xml:space="preserve"> </w:t>
      </w:r>
      <w:r w:rsidRPr="00233D83" w:rsidR="008E617E">
        <w:t>al</w:t>
      </w:r>
      <w:r w:rsidRPr="00233D83" w:rsidR="00233D83">
        <w:t xml:space="preserve"> bestaande beleidsinstrumenten effectiever te gebruiken. </w:t>
      </w:r>
    </w:p>
    <w:p w:rsidR="00F17107" w:rsidP="00202AA0" w:rsidRDefault="00F17107" w14:paraId="1D9CDD57" w14:textId="77777777">
      <w:pPr>
        <w:spacing w:line="240" w:lineRule="atLeast"/>
      </w:pPr>
    </w:p>
    <w:p w:rsidRPr="00233D83" w:rsidR="00233D83" w:rsidP="00202AA0" w:rsidRDefault="00F17107" w14:paraId="43386CD8" w14:textId="56CE996E">
      <w:pPr>
        <w:spacing w:line="240" w:lineRule="atLeast"/>
      </w:pPr>
      <w:r>
        <w:t xml:space="preserve">Het onderzoeksbureau </w:t>
      </w:r>
      <w:r w:rsidRPr="00233D83" w:rsidR="00233D83">
        <w:t>evalueerde negen beleidsinstrumenten die direct of indirect van invloed zijn op de beschikbaarheid van medische hulpmiddelen in Nederland. Beleidsinstrumenten die primair zijn ingezet ten behoeve van beschikbaarheid zijn</w:t>
      </w:r>
      <w:r w:rsidR="00FA3A05">
        <w:t xml:space="preserve"> volgens de onderzoekers</w:t>
      </w:r>
      <w:r w:rsidRPr="00233D83" w:rsidR="00233D83">
        <w:t xml:space="preserve"> effectief, met een aantal verbeterpunten. Vier beleidsinstrumenten zijn ingezet ten behoeve van veiligheid, kwaliteit en/of betaalbaarheid</w:t>
      </w:r>
      <w:r w:rsidR="00FA3A05">
        <w:t>. Deze beleidsinstrumenten</w:t>
      </w:r>
      <w:r w:rsidRPr="00233D83" w:rsidR="00233D83">
        <w:t xml:space="preserve"> kunnen zowel risico’s als een positieve bijdrage hebben voor de beschikbaarheid</w:t>
      </w:r>
      <w:r w:rsidR="00FA3A05">
        <w:t xml:space="preserve"> van medische technologie</w:t>
      </w:r>
      <w:r w:rsidRPr="00233D83" w:rsidR="00233D83">
        <w:t>.</w:t>
      </w:r>
    </w:p>
    <w:p w:rsidRPr="00233D83" w:rsidR="00233D83" w:rsidP="00202AA0" w:rsidRDefault="00233D83" w14:paraId="52D915BE" w14:textId="77777777">
      <w:pPr>
        <w:spacing w:line="240" w:lineRule="atLeast"/>
      </w:pPr>
    </w:p>
    <w:p w:rsidR="00233D83" w:rsidP="00202AA0" w:rsidRDefault="005322AE" w14:paraId="36E29420" w14:textId="4EE0F2E4">
      <w:pPr>
        <w:pStyle w:val="Lijstalinea"/>
        <w:numPr>
          <w:ilvl w:val="0"/>
          <w:numId w:val="9"/>
        </w:numPr>
        <w:spacing w:line="240" w:lineRule="atLeast"/>
      </w:pPr>
      <w:r w:rsidRPr="00166466">
        <w:rPr>
          <w:i/>
          <w:iCs/>
        </w:rPr>
        <w:t>Lichaamsmateria</w:t>
      </w:r>
      <w:r w:rsidR="00F17107">
        <w:rPr>
          <w:i/>
          <w:iCs/>
        </w:rPr>
        <w:t>al</w:t>
      </w:r>
    </w:p>
    <w:p w:rsidR="00F17107" w:rsidP="00202AA0" w:rsidRDefault="00F17107" w14:paraId="511CF455" w14:textId="0CBA08F3">
      <w:pPr>
        <w:spacing w:line="240" w:lineRule="atLeast"/>
      </w:pPr>
      <w:r>
        <w:t>Gupta geeft aan dat d</w:t>
      </w:r>
      <w:r w:rsidRPr="00233D83" w:rsidR="00233D83">
        <w:t xml:space="preserve">e uitdagingen </w:t>
      </w:r>
      <w:r>
        <w:t xml:space="preserve">bij </w:t>
      </w:r>
      <w:r w:rsidR="00FA3A05">
        <w:t>l</w:t>
      </w:r>
      <w:r>
        <w:t>ichaamsmateriaal</w:t>
      </w:r>
      <w:r w:rsidRPr="00233D83" w:rsidR="00233D83">
        <w:t xml:space="preserve"> van </w:t>
      </w:r>
      <w:r w:rsidR="00FA3A05">
        <w:t xml:space="preserve">een </w:t>
      </w:r>
      <w:r w:rsidRPr="00233D83" w:rsidR="00233D83">
        <w:t xml:space="preserve">andere orde </w:t>
      </w:r>
      <w:r w:rsidR="00FA3A05">
        <w:t xml:space="preserve">zijn </w:t>
      </w:r>
      <w:r w:rsidRPr="00233D83" w:rsidR="00233D83">
        <w:t xml:space="preserve">dan bij </w:t>
      </w:r>
      <w:r w:rsidR="00FA3A05">
        <w:t>de andere twee productgroepe</w:t>
      </w:r>
      <w:r w:rsidRPr="00233D83" w:rsidR="00233D83">
        <w:t>n</w:t>
      </w:r>
      <w:r>
        <w:t xml:space="preserve"> zijn. </w:t>
      </w:r>
      <w:r w:rsidR="00FA3A05">
        <w:t>Volgens de onderzoekers vraagt een t</w:t>
      </w:r>
      <w:r w:rsidRPr="00233D83" w:rsidR="00233D83">
        <w:t xml:space="preserve">oekomstbestendige </w:t>
      </w:r>
      <w:r w:rsidRPr="00FA3A05" w:rsidR="00FA3A05">
        <w:t xml:space="preserve">beschikbaarheid </w:t>
      </w:r>
      <w:r w:rsidR="00FA3A05">
        <w:t xml:space="preserve">van lichaamsmateriaal </w:t>
      </w:r>
      <w:r w:rsidRPr="00233D83" w:rsidR="00233D83">
        <w:t>specifieke aandacht voor diversiteit</w:t>
      </w:r>
      <w:r w:rsidR="00FA3A05">
        <w:t>,</w:t>
      </w:r>
      <w:r w:rsidRPr="00233D83" w:rsidR="00233D83">
        <w:t xml:space="preserve"> </w:t>
      </w:r>
      <w:r w:rsidR="00FA3A05">
        <w:t>voor</w:t>
      </w:r>
      <w:r w:rsidRPr="00233D83" w:rsidR="00233D83">
        <w:t xml:space="preserve"> plasma en </w:t>
      </w:r>
      <w:r w:rsidR="00FA3A05">
        <w:t xml:space="preserve">voor </w:t>
      </w:r>
      <w:r w:rsidRPr="00233D83" w:rsidR="00233D83">
        <w:t xml:space="preserve">de afweging hoe subsidies en </w:t>
      </w:r>
      <w:r w:rsidR="00FA3A05">
        <w:t>(wervings</w:t>
      </w:r>
      <w:r w:rsidR="009F1CB6">
        <w:t>-</w:t>
      </w:r>
      <w:r w:rsidR="00FA3A05">
        <w:t>)</w:t>
      </w:r>
      <w:r w:rsidRPr="00233D83" w:rsidR="00233D83">
        <w:t xml:space="preserve">campagnes in te zetten. De beschikbaarheid van lichaamsmaterialen kent </w:t>
      </w:r>
      <w:r w:rsidR="00FA3A05">
        <w:t xml:space="preserve">bovendien </w:t>
      </w:r>
      <w:r w:rsidRPr="00233D83" w:rsidR="00233D83">
        <w:t xml:space="preserve">specifieke uitdagingen: een kwetsbare plasmaketen en een kleinere kans op een match voor patiënten met </w:t>
      </w:r>
      <w:r w:rsidR="00FA3A05">
        <w:t xml:space="preserve">een </w:t>
      </w:r>
      <w:r w:rsidRPr="00233D83" w:rsidR="00233D83">
        <w:t xml:space="preserve">niet-westerse achtergrond. </w:t>
      </w:r>
    </w:p>
    <w:p w:rsidR="00F17107" w:rsidP="00202AA0" w:rsidRDefault="00F17107" w14:paraId="78110570" w14:textId="77777777">
      <w:pPr>
        <w:spacing w:line="240" w:lineRule="atLeast"/>
      </w:pPr>
    </w:p>
    <w:p w:rsidRPr="00233D83" w:rsidR="00233D83" w:rsidP="00202AA0" w:rsidRDefault="00F17107" w14:paraId="7D7E39A7" w14:textId="5449AC9D">
      <w:pPr>
        <w:spacing w:line="240" w:lineRule="atLeast"/>
      </w:pPr>
      <w:r>
        <w:t xml:space="preserve">Het onderzoeksbureau </w:t>
      </w:r>
      <w:r w:rsidRPr="00233D83" w:rsidR="00233D83">
        <w:t xml:space="preserve">evalueerde tien beleidsinstrumenten die direct of indirect van invloed zijn op de beschikbaarheid van lichaamsmaterialen in Nederland. De helft van deze beleidsinstrumenten is een subsidie; </w:t>
      </w:r>
      <w:r w:rsidR="00FA3A05">
        <w:t>deze subsidies</w:t>
      </w:r>
      <w:r w:rsidRPr="00233D83" w:rsidR="00FA3A05">
        <w:t xml:space="preserve"> </w:t>
      </w:r>
      <w:r w:rsidR="00FA3A05">
        <w:t>zijn</w:t>
      </w:r>
      <w:r w:rsidRPr="00233D83" w:rsidR="00FA3A05">
        <w:t xml:space="preserve"> </w:t>
      </w:r>
      <w:r w:rsidRPr="00233D83" w:rsidR="00233D83">
        <w:t>effectief geweest voor de beschikbaarheid. Daarnaast zijn er twee wetswijzigingen geweest met een positief effect op beschikbaarheid</w:t>
      </w:r>
      <w:r w:rsidR="00FA3A05">
        <w:t>. Tot slot</w:t>
      </w:r>
      <w:r w:rsidRPr="00233D83" w:rsidR="00233D83">
        <w:t xml:space="preserve"> zijn er drie beleidsinstrumenten ingezet ten behoeve van informatievoorziening, kwaliteit en/of</w:t>
      </w:r>
      <w:r w:rsidR="00233D83">
        <w:t xml:space="preserve"> </w:t>
      </w:r>
      <w:r w:rsidRPr="00233D83" w:rsidR="00233D83">
        <w:t>veiligheid</w:t>
      </w:r>
      <w:r w:rsidR="00FA3A05">
        <w:t xml:space="preserve">. De onderzoekers </w:t>
      </w:r>
      <w:r w:rsidR="0065483E">
        <w:t xml:space="preserve">zijn van oordeel </w:t>
      </w:r>
      <w:r w:rsidR="00FA3A05">
        <w:t>dat</w:t>
      </w:r>
      <w:r w:rsidRPr="00233D83" w:rsidR="00233D83">
        <w:t xml:space="preserve"> die een neutraal effect op </w:t>
      </w:r>
      <w:r w:rsidR="00FA3A05">
        <w:t xml:space="preserve">de </w:t>
      </w:r>
      <w:r w:rsidRPr="00233D83" w:rsidR="00233D83">
        <w:t>beschikbaarheid hebben</w:t>
      </w:r>
      <w:r w:rsidR="00233D83">
        <w:t>.</w:t>
      </w:r>
    </w:p>
    <w:p w:rsidRPr="00233D83" w:rsidR="00233D83" w:rsidP="00202AA0" w:rsidRDefault="00233D83" w14:paraId="7016BD31" w14:textId="77777777">
      <w:pPr>
        <w:spacing w:line="240" w:lineRule="atLeast"/>
      </w:pPr>
    </w:p>
    <w:p w:rsidR="00166466" w:rsidP="00202AA0" w:rsidRDefault="00AD75D4" w14:paraId="0D32CEE8" w14:textId="45B55550">
      <w:pPr>
        <w:spacing w:line="240" w:lineRule="atLeast"/>
      </w:pPr>
      <w:r>
        <w:rPr>
          <w:i/>
          <w:iCs/>
        </w:rPr>
        <w:t xml:space="preserve">Algemene </w:t>
      </w:r>
      <w:r w:rsidR="000F5286">
        <w:rPr>
          <w:i/>
          <w:iCs/>
        </w:rPr>
        <w:t>bevindingen</w:t>
      </w:r>
    </w:p>
    <w:p w:rsidR="00202AA0" w:rsidP="00202AA0" w:rsidRDefault="00F17107" w14:paraId="16375355" w14:textId="77777777">
      <w:pPr>
        <w:spacing w:line="240" w:lineRule="atLeast"/>
      </w:pPr>
      <w:r>
        <w:t>Volgens Gupta geeft de b</w:t>
      </w:r>
      <w:r w:rsidR="00233D83">
        <w:t xml:space="preserve">eleidsevaluatie van </w:t>
      </w:r>
      <w:r w:rsidR="0065483E">
        <w:t xml:space="preserve">de </w:t>
      </w:r>
      <w:r w:rsidR="00233D83">
        <w:t xml:space="preserve">drie productgroepen </w:t>
      </w:r>
      <w:r w:rsidR="00FA3A05">
        <w:t xml:space="preserve">de overheid </w:t>
      </w:r>
      <w:r w:rsidR="00233D83">
        <w:t xml:space="preserve">aanknopingspunten om het monitoren en evalueren van beleid te verbeteren. Bij het uitvoeren van deze evaluatie </w:t>
      </w:r>
      <w:r>
        <w:t>is</w:t>
      </w:r>
      <w:r w:rsidR="00233D83">
        <w:t xml:space="preserve"> het </w:t>
      </w:r>
      <w:r>
        <w:t>Gupta opgevallen</w:t>
      </w:r>
      <w:r w:rsidR="00233D83">
        <w:t xml:space="preserve"> dat regelmatig </w:t>
      </w:r>
      <w:r w:rsidR="00FA3A05">
        <w:t xml:space="preserve">bij het in gang zetten van nieuw beleid </w:t>
      </w:r>
      <w:r w:rsidR="00233D83">
        <w:t xml:space="preserve">een concretisering van de beoogde impact ontbreekt. Als het beoogde effect vooraf niet concreet wordt vastgesteld, dan valt achteraf moeilijk te bepalen of het beleid doeltreffend en doelmatig is geweest. </w:t>
      </w:r>
    </w:p>
    <w:p w:rsidR="00233D83" w:rsidP="00202AA0" w:rsidRDefault="00233D83" w14:paraId="445D54AA" w14:textId="2CA377CA">
      <w:pPr>
        <w:spacing w:line="240" w:lineRule="atLeast"/>
      </w:pPr>
      <w:r>
        <w:t>Dit zie</w:t>
      </w:r>
      <w:r w:rsidR="00F17107">
        <w:t xml:space="preserve">t </w:t>
      </w:r>
      <w:proofErr w:type="spellStart"/>
      <w:r w:rsidR="00F17107">
        <w:t>Gupta</w:t>
      </w:r>
      <w:proofErr w:type="spellEnd"/>
      <w:r w:rsidR="00F17107">
        <w:t xml:space="preserve"> </w:t>
      </w:r>
      <w:r>
        <w:t>dan ook terug in het merendeel van de</w:t>
      </w:r>
      <w:r w:rsidR="00FA3A05">
        <w:t xml:space="preserve"> onderzochte</w:t>
      </w:r>
      <w:r>
        <w:t xml:space="preserve"> evaluaties: de evaluatie</w:t>
      </w:r>
      <w:r w:rsidR="00FA3A05">
        <w:t>s</w:t>
      </w:r>
      <w:r>
        <w:t xml:space="preserve"> omvat</w:t>
      </w:r>
      <w:r w:rsidR="00FA3A05">
        <w:t>ten</w:t>
      </w:r>
      <w:r>
        <w:t xml:space="preserve"> vooral kwalitatieve beschrijvingen van het effect van beleidsinstrumenten.</w:t>
      </w:r>
      <w:r w:rsidR="00FA3A05">
        <w:t xml:space="preserve"> </w:t>
      </w:r>
      <w:r w:rsidR="00F17107">
        <w:t>Gupta adviseert</w:t>
      </w:r>
      <w:r>
        <w:t xml:space="preserve"> het ministerie van VWS </w:t>
      </w:r>
      <w:r w:rsidR="00FA3A05">
        <w:t xml:space="preserve">daarom om </w:t>
      </w:r>
      <w:r>
        <w:t xml:space="preserve">bij alle beleidsontwikkeling het uitgangsprincipe te hanteren om SMART-doelstellingen op te stellen en om de beoogde impact van beleid concreet vast te leggen. Daarbij hoort ook een beschrijving van de benodigde data en de meetmethodiek om de beleidseffecten te monitoren en evalueren. </w:t>
      </w:r>
    </w:p>
    <w:p w:rsidR="00F17107" w:rsidP="00202AA0" w:rsidRDefault="00F17107" w14:paraId="46E1F4DE" w14:textId="77777777">
      <w:pPr>
        <w:spacing w:line="240" w:lineRule="atLeast"/>
      </w:pPr>
    </w:p>
    <w:p w:rsidR="00233D83" w:rsidP="00202AA0" w:rsidRDefault="00233D83" w14:paraId="4B85E3A9" w14:textId="7512A1CB">
      <w:pPr>
        <w:spacing w:line="240" w:lineRule="atLeast"/>
      </w:pPr>
      <w:r>
        <w:t xml:space="preserve">Onderlinge vergelijking </w:t>
      </w:r>
      <w:r w:rsidR="0065483E">
        <w:t>tussen de drie productgroep</w:t>
      </w:r>
      <w:r w:rsidR="00C35833">
        <w:t>e</w:t>
      </w:r>
      <w:r w:rsidR="0065483E">
        <w:t xml:space="preserve">n </w:t>
      </w:r>
      <w:r>
        <w:t>laat overlap, maar ook veel verschillen zien</w:t>
      </w:r>
      <w:r w:rsidR="0065483E">
        <w:t>. D</w:t>
      </w:r>
      <w:r>
        <w:t xml:space="preserve">it biedt </w:t>
      </w:r>
      <w:r w:rsidR="0065483E">
        <w:t xml:space="preserve">beleidsmakers </w:t>
      </w:r>
      <w:r w:rsidR="00FA3A05">
        <w:t xml:space="preserve">volgens de onderzoekers </w:t>
      </w:r>
      <w:r>
        <w:t>mogelijkheden om van elkaar te leren. Overlap</w:t>
      </w:r>
      <w:r w:rsidR="00F17107">
        <w:t xml:space="preserve"> zit </w:t>
      </w:r>
      <w:r w:rsidR="0065483E">
        <w:t xml:space="preserve">er </w:t>
      </w:r>
      <w:r w:rsidR="00F17107">
        <w:t xml:space="preserve">bijvoorbeeld bij de </w:t>
      </w:r>
      <w:r>
        <w:t>meldpunt</w:t>
      </w:r>
      <w:r w:rsidR="00F17107">
        <w:t>en</w:t>
      </w:r>
      <w:r>
        <w:t xml:space="preserve"> voor tekorten van </w:t>
      </w:r>
      <w:r w:rsidR="00FA3A05">
        <w:t>re</w:t>
      </w:r>
      <w:r w:rsidR="0009272C">
        <w:t>s</w:t>
      </w:r>
      <w:r w:rsidR="00FA3A05">
        <w:t xml:space="preserve">pectievelijk </w:t>
      </w:r>
      <w:r>
        <w:t>genees</w:t>
      </w:r>
      <w:r w:rsidR="00FA3A05">
        <w:t xml:space="preserve">middelen </w:t>
      </w:r>
      <w:r>
        <w:t>en</w:t>
      </w:r>
      <w:r w:rsidR="00BD42B9">
        <w:t xml:space="preserve"> medische</w:t>
      </w:r>
      <w:r>
        <w:t xml:space="preserve"> hulpmiddelen</w:t>
      </w:r>
      <w:r w:rsidR="00FA3A05">
        <w:t>. Ook kennen</w:t>
      </w:r>
      <w:r>
        <w:t xml:space="preserve"> beide productgroepen een gremium waarin ‘the whole system in the room’ vertegenwoordigd is. </w:t>
      </w:r>
      <w:r w:rsidR="000F5286">
        <w:t>Verschillen</w:t>
      </w:r>
      <w:r w:rsidR="00F17107">
        <w:t xml:space="preserve"> </w:t>
      </w:r>
      <w:r w:rsidR="00FA3A05">
        <w:t>zijn</w:t>
      </w:r>
      <w:r w:rsidR="0065483E">
        <w:t xml:space="preserve"> bijvoorbeeld</w:t>
      </w:r>
      <w:r w:rsidR="00FA3A05">
        <w:t xml:space="preserve"> te zien in</w:t>
      </w:r>
      <w:r>
        <w:t xml:space="preserve"> het aantal taak- en werkgroepen per gremium</w:t>
      </w:r>
      <w:r w:rsidR="00BD42B9">
        <w:t>,</w:t>
      </w:r>
      <w:r w:rsidR="00FA3A05">
        <w:t xml:space="preserve"> de doelen van de gremia</w:t>
      </w:r>
      <w:r w:rsidR="00967087">
        <w:t>,</w:t>
      </w:r>
      <w:r>
        <w:t xml:space="preserve"> </w:t>
      </w:r>
      <w:r w:rsidR="00FA3A05">
        <w:t xml:space="preserve">de </w:t>
      </w:r>
      <w:r w:rsidR="00BD42B9">
        <w:t xml:space="preserve">gehanteerde beleidsinstrumenten (zoals </w:t>
      </w:r>
      <w:r>
        <w:t>voorrad</w:t>
      </w:r>
      <w:r w:rsidR="00FA3A05">
        <w:t>en bij geneesmiddelen</w:t>
      </w:r>
      <w:r>
        <w:t xml:space="preserve"> </w:t>
      </w:r>
      <w:r w:rsidR="00FA3A05">
        <w:t>versus voor</w:t>
      </w:r>
      <w:r>
        <w:t xml:space="preserve"> opschaalbare productiecapaciteit</w:t>
      </w:r>
      <w:r w:rsidR="00FA3A05">
        <w:t xml:space="preserve"> bij de medische</w:t>
      </w:r>
      <w:r w:rsidR="00BD42B9">
        <w:t xml:space="preserve"> hulpmiddelen) en het gebruik van subsidies, dat bij lichaamsmaterialen veel vaker is ingezet </w:t>
      </w:r>
      <w:r w:rsidR="00FA3A05">
        <w:t>bij de andere productgroepen</w:t>
      </w:r>
      <w:r>
        <w:t>.</w:t>
      </w:r>
    </w:p>
    <w:p w:rsidR="00F17107" w:rsidP="00202AA0" w:rsidRDefault="00F17107" w14:paraId="5B0D9513" w14:textId="77777777">
      <w:pPr>
        <w:spacing w:line="240" w:lineRule="atLeast"/>
      </w:pPr>
    </w:p>
    <w:p w:rsidRPr="002342ED" w:rsidR="0065483E" w:rsidP="00202AA0" w:rsidRDefault="0065483E" w14:paraId="35B96244" w14:textId="5C76A276">
      <w:pPr>
        <w:spacing w:line="240" w:lineRule="atLeast"/>
        <w:rPr>
          <w:i/>
          <w:iCs/>
        </w:rPr>
      </w:pPr>
      <w:r>
        <w:rPr>
          <w:i/>
          <w:iCs/>
        </w:rPr>
        <w:t>Algemene conclusies</w:t>
      </w:r>
    </w:p>
    <w:p w:rsidRPr="00F55439" w:rsidR="00233D83" w:rsidP="00202AA0" w:rsidRDefault="00967087" w14:paraId="48D40F13" w14:textId="2BA94615">
      <w:pPr>
        <w:spacing w:line="240" w:lineRule="atLeast"/>
        <w:rPr>
          <w:i/>
          <w:iCs/>
        </w:rPr>
      </w:pPr>
      <w:r>
        <w:t xml:space="preserve">Gupta concludeert </w:t>
      </w:r>
      <w:r w:rsidR="00C35833">
        <w:t>in het algemeen</w:t>
      </w:r>
      <w:r w:rsidR="0065483E">
        <w:t xml:space="preserve"> </w:t>
      </w:r>
      <w:r>
        <w:t>dat d</w:t>
      </w:r>
      <w:r w:rsidR="00233D83">
        <w:t>e effectiviteit van beleidsinstrumenten varieert: het merendeel van de instrumenten dat is ingezet t</w:t>
      </w:r>
      <w:r w:rsidR="004655B4">
        <w:t xml:space="preserve">en behoeve van </w:t>
      </w:r>
      <w:r w:rsidR="00233D83">
        <w:t xml:space="preserve">beschikbaarheid heeft hier ook een positieve bijdrage op gehad, maar er zijn verbeterpunten om de effectiviteit </w:t>
      </w:r>
      <w:r w:rsidR="00FA3A05">
        <w:t xml:space="preserve">van de instrumenten </w:t>
      </w:r>
      <w:r w:rsidR="00233D83">
        <w:t xml:space="preserve">te verhogen. </w:t>
      </w:r>
      <w:r w:rsidR="00FA3A05">
        <w:t xml:space="preserve">Het onderzoeksbureau </w:t>
      </w:r>
      <w:r w:rsidR="00F17107">
        <w:t>trek</w:t>
      </w:r>
      <w:r w:rsidR="00FA3A05">
        <w:t>t</w:t>
      </w:r>
      <w:r w:rsidR="00233D83">
        <w:t xml:space="preserve"> vijf conclusies over de effectiviteit van de beleidsinstrumenten</w:t>
      </w:r>
      <w:r w:rsidR="00FA3A05">
        <w:t xml:space="preserve"> voor de volle breedte van het onderzoeksdomein. De onderzoekers zien hierin ook </w:t>
      </w:r>
      <w:r w:rsidR="00233D83">
        <w:t>direc</w:t>
      </w:r>
      <w:r w:rsidR="00FA3A05">
        <w:t>t</w:t>
      </w:r>
      <w:r w:rsidR="00233D83">
        <w:t xml:space="preserve"> mogelijkheden om de effectiviteit te verbeteren:</w:t>
      </w:r>
    </w:p>
    <w:p w:rsidRPr="00F55439" w:rsidR="00233D83" w:rsidP="00202AA0" w:rsidRDefault="00233D83" w14:paraId="52114360" w14:textId="77777777">
      <w:pPr>
        <w:spacing w:line="240" w:lineRule="atLeast"/>
        <w:rPr>
          <w:i/>
          <w:iCs/>
        </w:rPr>
      </w:pPr>
    </w:p>
    <w:p w:rsidR="00FC7C15" w:rsidP="00202AA0" w:rsidRDefault="00FA3A05" w14:paraId="72AAC0EF" w14:textId="5D04E1FA">
      <w:pPr>
        <w:pStyle w:val="Lijstalinea"/>
        <w:numPr>
          <w:ilvl w:val="0"/>
          <w:numId w:val="8"/>
        </w:numPr>
        <w:spacing w:line="240" w:lineRule="atLeast"/>
      </w:pPr>
      <w:r w:rsidRPr="00F55439">
        <w:rPr>
          <w:i/>
          <w:iCs/>
        </w:rPr>
        <w:t>Een ‘</w:t>
      </w:r>
      <w:r w:rsidRPr="00F55439" w:rsidR="005322AE">
        <w:rPr>
          <w:i/>
          <w:iCs/>
        </w:rPr>
        <w:t xml:space="preserve">Whole system in the room’ </w:t>
      </w:r>
      <w:r w:rsidRPr="00F55439">
        <w:rPr>
          <w:i/>
          <w:iCs/>
        </w:rPr>
        <w:t xml:space="preserve">aanpak </w:t>
      </w:r>
      <w:r w:rsidRPr="00F55439" w:rsidR="005322AE">
        <w:rPr>
          <w:i/>
          <w:iCs/>
        </w:rPr>
        <w:t xml:space="preserve">in de vorm van werkgroep, taakgroep en/of operationeel team draagt bij aan beschikbaarheid. </w:t>
      </w:r>
    </w:p>
    <w:p w:rsidRPr="0026487E" w:rsidR="00FC7C15" w:rsidP="00202AA0" w:rsidRDefault="00F55439" w14:paraId="792F9148" w14:textId="39D84F11">
      <w:pPr>
        <w:pStyle w:val="Lijstalinea"/>
        <w:spacing w:line="240" w:lineRule="atLeast"/>
      </w:pPr>
      <w:r>
        <w:t>Gupta ziet de volgende v</w:t>
      </w:r>
      <w:r w:rsidRPr="0026487E" w:rsidR="00FC7C15">
        <w:t xml:space="preserve">erbeterpunten voor </w:t>
      </w:r>
      <w:r w:rsidR="0065483E">
        <w:t xml:space="preserve">de </w:t>
      </w:r>
      <w:r w:rsidRPr="0026487E" w:rsidR="00FC7C15">
        <w:t>effectiviteit</w:t>
      </w:r>
      <w:r w:rsidR="0065483E">
        <w:t xml:space="preserve"> van deze aanpak</w:t>
      </w:r>
      <w:r w:rsidRPr="0026487E" w:rsidR="00FC7C15">
        <w:t>: duidelijke verantwoordelijkheden en mandaat per gremium en tussen de gremia</w:t>
      </w:r>
      <w:r w:rsidR="0065483E">
        <w:t>;</w:t>
      </w:r>
      <w:r w:rsidRPr="0026487E" w:rsidR="00FC7C15">
        <w:t xml:space="preserve"> inrichting van een gremium op bestuurlijk, strategisch, tactisch en operationeel niveau voor het voorkomen, anticiperen en reageren op tekorten. </w:t>
      </w:r>
    </w:p>
    <w:p w:rsidRPr="00166466" w:rsidR="00FC7C15" w:rsidP="00202AA0" w:rsidRDefault="00FC7C15" w14:paraId="3D42D94E" w14:textId="77777777">
      <w:pPr>
        <w:pStyle w:val="Lijstalinea"/>
        <w:spacing w:line="240" w:lineRule="atLeast"/>
      </w:pPr>
    </w:p>
    <w:p w:rsidR="00FC7C15" w:rsidP="00202AA0" w:rsidRDefault="00166466" w14:paraId="3576C363" w14:textId="77A06E28">
      <w:pPr>
        <w:pStyle w:val="Lijstalinea"/>
        <w:numPr>
          <w:ilvl w:val="0"/>
          <w:numId w:val="8"/>
        </w:numPr>
        <w:spacing w:line="240" w:lineRule="atLeast"/>
      </w:pPr>
      <w:r w:rsidRPr="00F55439">
        <w:rPr>
          <w:i/>
          <w:iCs/>
        </w:rPr>
        <w:t xml:space="preserve">Meldpunten maken het mogelijk sneller te handelen om gevolgen voor patiënten zoveel mogelijk te beperken. </w:t>
      </w:r>
    </w:p>
    <w:p w:rsidR="00FC7C15" w:rsidP="00202AA0" w:rsidRDefault="00FC7C15" w14:paraId="5ED4E62A" w14:textId="3A5E20CF">
      <w:pPr>
        <w:pStyle w:val="Lijstalinea"/>
        <w:spacing w:line="240" w:lineRule="atLeast"/>
      </w:pPr>
      <w:bookmarkStart w:name="_Hlk221890168" w:id="3"/>
      <w:r w:rsidRPr="0026487E">
        <w:t>Verbeterpunten voor effectiviteit</w:t>
      </w:r>
      <w:r w:rsidR="00F55439">
        <w:t xml:space="preserve"> </w:t>
      </w:r>
      <w:r w:rsidR="0065483E">
        <w:t xml:space="preserve">van de meldpunten </w:t>
      </w:r>
      <w:r w:rsidR="00F55439">
        <w:t>zijn volgens de onderzoekers</w:t>
      </w:r>
      <w:r w:rsidRPr="0026487E">
        <w:t>: één punt met eenvoudig meldproces voor zowel leveranciers als zorgaanbieders</w:t>
      </w:r>
      <w:r w:rsidR="0065483E">
        <w:t>;</w:t>
      </w:r>
      <w:r w:rsidRPr="0026487E">
        <w:t xml:space="preserve"> transparantie van meldingen waardoor alle partijen in de keten vroegtijdig aan alternatieven kunnen werken. </w:t>
      </w:r>
      <w:bookmarkEnd w:id="3"/>
    </w:p>
    <w:p w:rsidRPr="00166466" w:rsidR="00FC7C15" w:rsidP="00202AA0" w:rsidRDefault="00FC7C15" w14:paraId="25AF2AB4" w14:textId="77777777">
      <w:pPr>
        <w:pStyle w:val="Lijstalinea"/>
        <w:spacing w:line="240" w:lineRule="atLeast"/>
      </w:pPr>
    </w:p>
    <w:p w:rsidR="00FC7C15" w:rsidP="00202AA0" w:rsidRDefault="00FA3A05" w14:paraId="12EA2913" w14:textId="60AEEC1D">
      <w:pPr>
        <w:pStyle w:val="Lijstalinea"/>
        <w:numPr>
          <w:ilvl w:val="0"/>
          <w:numId w:val="8"/>
        </w:numPr>
        <w:spacing w:line="240" w:lineRule="atLeast"/>
      </w:pPr>
      <w:r w:rsidRPr="00F55439">
        <w:rPr>
          <w:i/>
          <w:iCs/>
        </w:rPr>
        <w:t>‘</w:t>
      </w:r>
      <w:r w:rsidRPr="00F55439" w:rsidR="00166466">
        <w:rPr>
          <w:i/>
          <w:iCs/>
        </w:rPr>
        <w:t>Voldoende voorraad’ draagt bij aan beschikbaarheid.</w:t>
      </w:r>
    </w:p>
    <w:p w:rsidRPr="0026487E" w:rsidR="00FC7C15" w:rsidP="00202AA0" w:rsidRDefault="00F55439" w14:paraId="165FA6EE" w14:textId="17538881">
      <w:pPr>
        <w:pStyle w:val="Lijstalinea"/>
        <w:spacing w:line="240" w:lineRule="atLeast"/>
      </w:pPr>
      <w:r>
        <w:t>V</w:t>
      </w:r>
      <w:r w:rsidRPr="0026487E" w:rsidR="00FC7C15">
        <w:t xml:space="preserve">oor </w:t>
      </w:r>
      <w:r w:rsidR="0065483E">
        <w:t xml:space="preserve">de </w:t>
      </w:r>
      <w:r w:rsidRPr="0026487E" w:rsidR="00FC7C15">
        <w:t>effectiviteit</w:t>
      </w:r>
      <w:r>
        <w:t xml:space="preserve"> </w:t>
      </w:r>
      <w:r w:rsidR="0065483E">
        <w:t xml:space="preserve">van dit instrument </w:t>
      </w:r>
      <w:r>
        <w:t>zien de onderzoekers de volgende verbeterpunten</w:t>
      </w:r>
      <w:r w:rsidRPr="0026487E" w:rsidR="00FC7C15">
        <w:t>: bepaal de hoogte van de voorraad waarmee merendeel tekorten kan worden overbrugd</w:t>
      </w:r>
      <w:r w:rsidR="0065483E">
        <w:t>;</w:t>
      </w:r>
      <w:r w:rsidRPr="0026487E" w:rsidR="00FC7C15">
        <w:t xml:space="preserve"> monitor en handhaaf op de naleving van de verplichting. </w:t>
      </w:r>
    </w:p>
    <w:p w:rsidRPr="00166466" w:rsidR="00FC7C15" w:rsidP="00202AA0" w:rsidRDefault="00FC7C15" w14:paraId="318D7B04" w14:textId="77777777">
      <w:pPr>
        <w:pStyle w:val="Lijstalinea"/>
        <w:spacing w:line="240" w:lineRule="atLeast"/>
      </w:pPr>
    </w:p>
    <w:p w:rsidRPr="00F55439" w:rsidR="00FC7C15" w:rsidP="00202AA0" w:rsidRDefault="00166466" w14:paraId="692D6DBA" w14:textId="0EE100C0">
      <w:pPr>
        <w:pStyle w:val="Lijstalinea"/>
        <w:numPr>
          <w:ilvl w:val="0"/>
          <w:numId w:val="8"/>
        </w:numPr>
        <w:spacing w:line="240" w:lineRule="atLeast"/>
        <w:rPr>
          <w:i/>
          <w:iCs/>
        </w:rPr>
      </w:pPr>
      <w:r w:rsidRPr="00F55439">
        <w:rPr>
          <w:i/>
          <w:iCs/>
        </w:rPr>
        <w:t>Opschaalbare productiecapaciteit draagt bij aan beschikbaarheid</w:t>
      </w:r>
    </w:p>
    <w:p w:rsidR="00FC7C15" w:rsidP="00202AA0" w:rsidRDefault="00FC7C15" w14:paraId="7015AC7E" w14:textId="07A1D8DF">
      <w:pPr>
        <w:pStyle w:val="Lijstalinea"/>
        <w:spacing w:line="240" w:lineRule="atLeast"/>
      </w:pPr>
      <w:r w:rsidRPr="0026487E">
        <w:t xml:space="preserve">In tegenstelling tot statische voorraden biedt opschaalbare productie </w:t>
      </w:r>
      <w:r w:rsidR="0065483E">
        <w:t xml:space="preserve">van </w:t>
      </w:r>
      <w:r w:rsidRPr="0026487E" w:rsidR="0065483E">
        <w:t>mondkapjes</w:t>
      </w:r>
      <w:r w:rsidR="0065483E">
        <w:t xml:space="preserve"> </w:t>
      </w:r>
      <w:r w:rsidR="00F55439">
        <w:t>volgen</w:t>
      </w:r>
      <w:r w:rsidR="00BD42B9">
        <w:t>s</w:t>
      </w:r>
      <w:r w:rsidR="00F55439">
        <w:t xml:space="preserve"> Gupta </w:t>
      </w:r>
      <w:r w:rsidRPr="0026487E">
        <w:t xml:space="preserve">flexibiliteit en voorkomt het veroudering en </w:t>
      </w:r>
      <w:r w:rsidRPr="0026487E" w:rsidR="00CB1E87">
        <w:t>verspilling</w:t>
      </w:r>
      <w:r w:rsidR="00CB1E87">
        <w:t>.</w:t>
      </w:r>
      <w:r w:rsidRPr="0026487E">
        <w:t xml:space="preserve"> </w:t>
      </w:r>
      <w:r w:rsidR="0065483E">
        <w:t>Hoewel het argument van veroudering en verspilling vanwege de ‘first in, first out’’ werkwijze niet geldt v</w:t>
      </w:r>
      <w:r w:rsidRPr="0026487E">
        <w:t>oor geneesmiddelen</w:t>
      </w:r>
      <w:r w:rsidR="0065483E">
        <w:t>,</w:t>
      </w:r>
      <w:r w:rsidRPr="0026487E">
        <w:t xml:space="preserve"> kan </w:t>
      </w:r>
      <w:r w:rsidR="0065483E">
        <w:t xml:space="preserve">daar </w:t>
      </w:r>
      <w:r w:rsidRPr="0026487E">
        <w:t>een opschaalbare productiecapaciteit</w:t>
      </w:r>
      <w:r w:rsidR="0065483E">
        <w:t xml:space="preserve"> in bepaalde situaties</w:t>
      </w:r>
      <w:r w:rsidRPr="0026487E">
        <w:t xml:space="preserve"> doeltreffender en doelmatiger zijn dan </w:t>
      </w:r>
      <w:r w:rsidR="0065483E">
        <w:t xml:space="preserve">het aanleggen van </w:t>
      </w:r>
      <w:r w:rsidRPr="0026487E">
        <w:t>een hogere voorraad.</w:t>
      </w:r>
    </w:p>
    <w:p w:rsidRPr="00166466" w:rsidR="00FC7C15" w:rsidP="00202AA0" w:rsidRDefault="00FC7C15" w14:paraId="6F97FAA2" w14:textId="77777777">
      <w:pPr>
        <w:pStyle w:val="Lijstalinea"/>
        <w:spacing w:line="240" w:lineRule="atLeast"/>
      </w:pPr>
    </w:p>
    <w:p w:rsidRPr="00F55439" w:rsidR="00F55439" w:rsidP="00202AA0" w:rsidRDefault="00166466" w14:paraId="6FB910BF" w14:textId="163579AD">
      <w:pPr>
        <w:pStyle w:val="Lijstalinea"/>
        <w:numPr>
          <w:ilvl w:val="0"/>
          <w:numId w:val="8"/>
        </w:numPr>
        <w:spacing w:line="240" w:lineRule="atLeast"/>
        <w:rPr>
          <w:i/>
          <w:iCs/>
        </w:rPr>
      </w:pPr>
      <w:r w:rsidRPr="00F55439">
        <w:rPr>
          <w:i/>
          <w:iCs/>
        </w:rPr>
        <w:t>Subsidies</w:t>
      </w:r>
      <w:r w:rsidRPr="00F55439" w:rsidR="00FA3A05">
        <w:rPr>
          <w:i/>
          <w:iCs/>
        </w:rPr>
        <w:t xml:space="preserve">, </w:t>
      </w:r>
      <w:r w:rsidRPr="00F55439">
        <w:rPr>
          <w:i/>
          <w:iCs/>
        </w:rPr>
        <w:t xml:space="preserve">zoals de subsidie aan de </w:t>
      </w:r>
      <w:r w:rsidRPr="00F55439" w:rsidR="00FA3A05">
        <w:rPr>
          <w:i/>
          <w:iCs/>
        </w:rPr>
        <w:t>Nationale Transplantatie Stichting (</w:t>
      </w:r>
      <w:r w:rsidRPr="00F55439">
        <w:rPr>
          <w:i/>
          <w:iCs/>
        </w:rPr>
        <w:t>NTS</w:t>
      </w:r>
      <w:r w:rsidRPr="00F55439" w:rsidR="00FA3A05">
        <w:rPr>
          <w:i/>
          <w:iCs/>
        </w:rPr>
        <w:t>)</w:t>
      </w:r>
      <w:r w:rsidRPr="00F55439">
        <w:rPr>
          <w:i/>
          <w:iCs/>
        </w:rPr>
        <w:t xml:space="preserve"> en Matchis, de subsidie </w:t>
      </w:r>
      <w:r w:rsidRPr="00F55439" w:rsidR="00FA3A05">
        <w:rPr>
          <w:i/>
          <w:iCs/>
        </w:rPr>
        <w:t>‘</w:t>
      </w:r>
      <w:r w:rsidRPr="00F55439">
        <w:rPr>
          <w:i/>
          <w:iCs/>
        </w:rPr>
        <w:t>donatie bij leven</w:t>
      </w:r>
      <w:r w:rsidRPr="00F55439" w:rsidR="00FA3A05">
        <w:rPr>
          <w:i/>
          <w:iCs/>
        </w:rPr>
        <w:t>’</w:t>
      </w:r>
      <w:r w:rsidRPr="00F55439">
        <w:rPr>
          <w:i/>
          <w:iCs/>
        </w:rPr>
        <w:t xml:space="preserve"> en </w:t>
      </w:r>
      <w:r w:rsidRPr="00F55439" w:rsidR="00FA3A05">
        <w:rPr>
          <w:i/>
          <w:iCs/>
        </w:rPr>
        <w:t>‘</w:t>
      </w:r>
      <w:r w:rsidRPr="00F55439">
        <w:rPr>
          <w:i/>
          <w:iCs/>
        </w:rPr>
        <w:t>donatie in ziekenhuizen</w:t>
      </w:r>
      <w:r w:rsidRPr="00F55439" w:rsidR="00FA3A05">
        <w:rPr>
          <w:i/>
          <w:iCs/>
        </w:rPr>
        <w:t>’</w:t>
      </w:r>
      <w:r w:rsidRPr="00F55439">
        <w:rPr>
          <w:i/>
          <w:iCs/>
        </w:rPr>
        <w:t xml:space="preserve"> en de subsidie </w:t>
      </w:r>
      <w:r w:rsidRPr="00F55439" w:rsidR="00FA3A05">
        <w:rPr>
          <w:i/>
          <w:iCs/>
        </w:rPr>
        <w:t>‘</w:t>
      </w:r>
      <w:r w:rsidRPr="00F55439">
        <w:rPr>
          <w:i/>
          <w:iCs/>
        </w:rPr>
        <w:t>innovatie perfusie</w:t>
      </w:r>
      <w:r w:rsidRPr="00F55439" w:rsidR="00FA3A05">
        <w:rPr>
          <w:i/>
          <w:iCs/>
        </w:rPr>
        <w:t xml:space="preserve">’ </w:t>
      </w:r>
      <w:r w:rsidRPr="00F55439">
        <w:rPr>
          <w:i/>
          <w:iCs/>
        </w:rPr>
        <w:t xml:space="preserve">hebben </w:t>
      </w:r>
      <w:r w:rsidRPr="00F55439" w:rsidR="00FA3A05">
        <w:rPr>
          <w:i/>
          <w:iCs/>
        </w:rPr>
        <w:t xml:space="preserve">een </w:t>
      </w:r>
      <w:r w:rsidRPr="00F55439">
        <w:rPr>
          <w:i/>
          <w:iCs/>
        </w:rPr>
        <w:t>direct</w:t>
      </w:r>
      <w:r w:rsidRPr="00F55439" w:rsidR="00FA3A05">
        <w:rPr>
          <w:i/>
          <w:iCs/>
        </w:rPr>
        <w:t xml:space="preserve"> en</w:t>
      </w:r>
      <w:r w:rsidRPr="00F55439">
        <w:rPr>
          <w:i/>
          <w:iCs/>
        </w:rPr>
        <w:t xml:space="preserve"> positief effect op beschikbaarheid</w:t>
      </w:r>
      <w:r w:rsidRPr="00F55439" w:rsidR="00F17107">
        <w:rPr>
          <w:i/>
          <w:iCs/>
        </w:rPr>
        <w:t xml:space="preserve">. </w:t>
      </w:r>
    </w:p>
    <w:p w:rsidR="00310D8A" w:rsidP="00202AA0" w:rsidRDefault="00F55439" w14:paraId="74FD9C5E" w14:textId="674AD909">
      <w:pPr>
        <w:pStyle w:val="Lijstalinea"/>
        <w:spacing w:line="240" w:lineRule="atLeast"/>
      </w:pPr>
      <w:r>
        <w:t>Volgens Gupta</w:t>
      </w:r>
      <w:r w:rsidRPr="0026487E">
        <w:t xml:space="preserve"> </w:t>
      </w:r>
      <w:r w:rsidRPr="0026487E" w:rsidR="00310D8A">
        <w:t>is</w:t>
      </w:r>
      <w:r>
        <w:t xml:space="preserve"> het</w:t>
      </w:r>
      <w:r w:rsidRPr="0026487E" w:rsidR="00310D8A">
        <w:t xml:space="preserve"> een politieke afweging wanneer subsidies passend zijn bij uitdagingen. </w:t>
      </w:r>
      <w:r>
        <w:t>Gupta constateert dat m</w:t>
      </w:r>
      <w:r w:rsidR="00FA3A05">
        <w:t>et name bij lichaamsmaterialen voor d</w:t>
      </w:r>
      <w:r>
        <w:t>it</w:t>
      </w:r>
      <w:r w:rsidR="00FA3A05">
        <w:t xml:space="preserve"> instrument </w:t>
      </w:r>
      <w:r>
        <w:t xml:space="preserve">is </w:t>
      </w:r>
      <w:r w:rsidR="00FA3A05">
        <w:t>gekozen</w:t>
      </w:r>
      <w:r>
        <w:t>.</w:t>
      </w:r>
    </w:p>
    <w:p w:rsidR="0009272C" w:rsidP="00202AA0" w:rsidRDefault="0009272C" w14:paraId="5A74A6DC" w14:textId="77777777">
      <w:pPr>
        <w:spacing w:line="240" w:lineRule="atLeast"/>
      </w:pPr>
    </w:p>
    <w:p w:rsidRPr="006E48F5" w:rsidR="00A642FF" w:rsidP="00202AA0" w:rsidRDefault="00F2011B" w14:paraId="62980008" w14:textId="0C498FC2">
      <w:pPr>
        <w:numPr>
          <w:ilvl w:val="0"/>
          <w:numId w:val="2"/>
        </w:numPr>
        <w:spacing w:line="240" w:lineRule="atLeast"/>
        <w:contextualSpacing/>
        <w:rPr>
          <w:b/>
          <w:bCs/>
        </w:rPr>
      </w:pPr>
      <w:r w:rsidRPr="0036603C">
        <w:rPr>
          <w:b/>
          <w:bCs/>
        </w:rPr>
        <w:t>Reactie op de geformuleerde aanbevelingen (op hoofdlijnen) en de opvolging daarvan in beleid.</w:t>
      </w:r>
    </w:p>
    <w:p w:rsidR="00166466" w:rsidP="00202AA0" w:rsidRDefault="000F5286" w14:paraId="6745755A" w14:textId="598ED889">
      <w:pPr>
        <w:spacing w:line="240" w:lineRule="atLeast"/>
      </w:pPr>
      <w:r>
        <w:t xml:space="preserve">Het kabinet is de onderzoekers erkentelijk voor de dwarsdoorsnede van het beschikbaarheidsbeleid voor medische producten gedurende de afgelopen kabinetsperiode. Dat het merendeel van de instrumenten een positief effect op de beschikbaarheid hebben is een bevestiging van het beeld </w:t>
      </w:r>
      <w:r w:rsidR="0065483E">
        <w:t xml:space="preserve">van het kabinet </w:t>
      </w:r>
      <w:r>
        <w:t xml:space="preserve">dat de huidige aanpak </w:t>
      </w:r>
      <w:r w:rsidR="0065483E">
        <w:t xml:space="preserve">in grote lijnen </w:t>
      </w:r>
      <w:r>
        <w:t xml:space="preserve">werkt. Dat het beter kan en moet is evident – het beschikbaarheidsvraagstuk is immers nog niet opgelost. De voorgestelde mogelijkheden om de effectiviteit van het beleid te verhogen neemt het kabinet ter harte. Deze zullen worden opgepakt bij de verdere ontwikkeling en uitvoering van het beleid om de beschikbaarheid van medische producten te bevorderen. </w:t>
      </w:r>
      <w:r w:rsidR="0065483E">
        <w:t>In aanvulling op de bevindingen en conclusies</w:t>
      </w:r>
      <w:r w:rsidR="0009272C">
        <w:t xml:space="preserve"> formuleren d</w:t>
      </w:r>
      <w:r w:rsidR="00310D8A">
        <w:t xml:space="preserve">e onderzoekers van Gupta Strategists </w:t>
      </w:r>
      <w:r w:rsidR="0009272C">
        <w:t>vier</w:t>
      </w:r>
      <w:r w:rsidR="00310D8A">
        <w:t xml:space="preserve"> </w:t>
      </w:r>
      <w:r w:rsidR="0009272C">
        <w:t>overkoepelende aanbevelingen</w:t>
      </w:r>
      <w:r w:rsidR="00310D8A">
        <w:t xml:space="preserve"> </w:t>
      </w:r>
      <w:r w:rsidR="0009272C">
        <w:t xml:space="preserve">voor het </w:t>
      </w:r>
      <w:r w:rsidR="00153DAE">
        <w:t>kabinet</w:t>
      </w:r>
      <w:r w:rsidR="0009272C">
        <w:t>. Hieronder reageer</w:t>
      </w:r>
      <w:r>
        <w:t>t het kabinet</w:t>
      </w:r>
      <w:r w:rsidR="0009272C">
        <w:t xml:space="preserve"> </w:t>
      </w:r>
      <w:r w:rsidR="009606D4">
        <w:t xml:space="preserve">op hoofdlijnen op iedere overkoepelende </w:t>
      </w:r>
      <w:r w:rsidR="0009272C">
        <w:t>aanbeveling.</w:t>
      </w:r>
      <w:r w:rsidR="003D7B4D">
        <w:t xml:space="preserve"> </w:t>
      </w:r>
      <w:r w:rsidR="0065483E">
        <w:t>D</w:t>
      </w:r>
      <w:r w:rsidR="0009272C">
        <w:t>e</w:t>
      </w:r>
      <w:r w:rsidR="00166466">
        <w:t xml:space="preserve"> appreciatie van </w:t>
      </w:r>
      <w:r w:rsidR="003D7B4D">
        <w:t xml:space="preserve">de afzonderlijke </w:t>
      </w:r>
      <w:r w:rsidR="00166466">
        <w:t xml:space="preserve">aanbevelingen </w:t>
      </w:r>
      <w:r w:rsidR="003D7B4D">
        <w:t xml:space="preserve">die de onderzoekers </w:t>
      </w:r>
      <w:r w:rsidR="0065483E">
        <w:t>daa</w:t>
      </w:r>
      <w:r w:rsidR="002342ED">
        <w:t>r</w:t>
      </w:r>
      <w:r w:rsidR="0065483E">
        <w:t xml:space="preserve">naast </w:t>
      </w:r>
      <w:r w:rsidR="003D7B4D">
        <w:t xml:space="preserve">per </w:t>
      </w:r>
      <w:r w:rsidR="00166466">
        <w:t>productgroep</w:t>
      </w:r>
      <w:r w:rsidR="003D7B4D">
        <w:t xml:space="preserve"> hebben gedaan</w:t>
      </w:r>
      <w:r w:rsidR="0065483E">
        <w:t>,</w:t>
      </w:r>
      <w:r w:rsidR="00166466">
        <w:t xml:space="preserve"> kunt u vinden in </w:t>
      </w:r>
      <w:r w:rsidRPr="00166466" w:rsidR="00166466">
        <w:t>bijlage 4</w:t>
      </w:r>
      <w:r w:rsidR="00166466">
        <w:t>.</w:t>
      </w:r>
    </w:p>
    <w:p w:rsidR="0009272C" w:rsidP="00202AA0" w:rsidRDefault="0009272C" w14:paraId="5893DECF" w14:textId="77777777">
      <w:pPr>
        <w:spacing w:line="240" w:lineRule="atLeast"/>
      </w:pPr>
    </w:p>
    <w:p w:rsidRPr="00F55439" w:rsidR="0009272C" w:rsidP="00202AA0" w:rsidRDefault="0009272C" w14:paraId="72BE8621" w14:textId="1C727DD7">
      <w:pPr>
        <w:pStyle w:val="Lijstalinea"/>
        <w:numPr>
          <w:ilvl w:val="0"/>
          <w:numId w:val="16"/>
        </w:numPr>
        <w:spacing w:line="240" w:lineRule="atLeast"/>
        <w:rPr>
          <w:i/>
          <w:iCs/>
        </w:rPr>
      </w:pPr>
      <w:r w:rsidRPr="00F55439">
        <w:rPr>
          <w:i/>
          <w:iCs/>
        </w:rPr>
        <w:t>Creëer de juiste prikkels in de keten.</w:t>
      </w:r>
    </w:p>
    <w:p w:rsidR="00B157F7" w:rsidP="00202AA0" w:rsidRDefault="009606D4" w14:paraId="4BFE7245" w14:textId="6F462B85">
      <w:pPr>
        <w:spacing w:line="240" w:lineRule="atLeast"/>
      </w:pPr>
      <w:r>
        <w:t>De onderzoekers</w:t>
      </w:r>
      <w:r w:rsidR="00EB7C25">
        <w:t xml:space="preserve"> advise</w:t>
      </w:r>
      <w:r>
        <w:t>ren</w:t>
      </w:r>
      <w:r w:rsidR="00EB7C25">
        <w:t xml:space="preserve"> om via wetgeving en andere beleidsinstrumenten de prikkels voor beschikbaarheid van medische producten te verbeteren. </w:t>
      </w:r>
      <w:r w:rsidR="00D87FC6">
        <w:t xml:space="preserve">Zij zien daartoe mogelijkheden </w:t>
      </w:r>
      <w:r w:rsidR="00B157F7">
        <w:t xml:space="preserve">door </w:t>
      </w:r>
      <w:r w:rsidRPr="00A1556B" w:rsidR="0065483E">
        <w:t>met opschaalbare productiecapaciteit</w:t>
      </w:r>
      <w:r w:rsidR="0065483E">
        <w:t xml:space="preserve"> </w:t>
      </w:r>
      <w:r w:rsidRPr="00A1556B" w:rsidR="00D87FC6">
        <w:t>de toeleveringsketen</w:t>
      </w:r>
      <w:r w:rsidR="0065483E">
        <w:t xml:space="preserve"> te versterken</w:t>
      </w:r>
      <w:r w:rsidRPr="00A1556B" w:rsidR="00D87FC6">
        <w:t xml:space="preserve"> </w:t>
      </w:r>
      <w:r w:rsidR="00D87FC6">
        <w:t xml:space="preserve">door </w:t>
      </w:r>
      <w:r w:rsidR="0065483E">
        <w:t>afhankelijkheid</w:t>
      </w:r>
      <w:r w:rsidR="00D87FC6">
        <w:t xml:space="preserve"> </w:t>
      </w:r>
      <w:r w:rsidR="0065483E">
        <w:t xml:space="preserve">te </w:t>
      </w:r>
      <w:r w:rsidRPr="00A1556B" w:rsidR="00D87FC6">
        <w:t>verminder</w:t>
      </w:r>
      <w:r w:rsidR="00D87FC6">
        <w:t>en</w:t>
      </w:r>
      <w:r w:rsidR="00B157F7">
        <w:t xml:space="preserve">; </w:t>
      </w:r>
      <w:r w:rsidR="0065483E">
        <w:t xml:space="preserve">door </w:t>
      </w:r>
      <w:r w:rsidR="00B157F7">
        <w:t>het v</w:t>
      </w:r>
      <w:r w:rsidRPr="00A1556B" w:rsidR="00D87FC6">
        <w:t>erken</w:t>
      </w:r>
      <w:r w:rsidR="00D87FC6">
        <w:t>nen van</w:t>
      </w:r>
      <w:r w:rsidRPr="00A1556B" w:rsidR="00D87FC6">
        <w:t xml:space="preserve"> het opschalen van de inzameling en verwerking van plasma in Nederland en</w:t>
      </w:r>
      <w:r w:rsidR="00D87FC6">
        <w:t xml:space="preserve"> het</w:t>
      </w:r>
      <w:r w:rsidRPr="00A1556B" w:rsidR="00D87FC6">
        <w:t xml:space="preserve"> </w:t>
      </w:r>
      <w:r w:rsidRPr="00A1556B" w:rsidR="003D3C05">
        <w:t>diversifi</w:t>
      </w:r>
      <w:r w:rsidR="003D3C05">
        <w:t>ëren</w:t>
      </w:r>
      <w:r w:rsidR="00D87FC6">
        <w:t xml:space="preserve"> van </w:t>
      </w:r>
      <w:r w:rsidRPr="00A1556B" w:rsidR="00D87FC6">
        <w:t>de internationale toeleveringsketen</w:t>
      </w:r>
      <w:r w:rsidR="00D87FC6">
        <w:t xml:space="preserve"> daarvan</w:t>
      </w:r>
      <w:r w:rsidR="00B157F7">
        <w:t xml:space="preserve">; </w:t>
      </w:r>
      <w:r w:rsidR="0065483E">
        <w:t xml:space="preserve">door </w:t>
      </w:r>
      <w:r w:rsidR="00B157F7">
        <w:t>h</w:t>
      </w:r>
      <w:r w:rsidR="00D87FC6">
        <w:t>et</w:t>
      </w:r>
      <w:r w:rsidRPr="00A1556B" w:rsidR="00D87FC6">
        <w:t xml:space="preserve"> verhog</w:t>
      </w:r>
      <w:r w:rsidR="00D87FC6">
        <w:t>en</w:t>
      </w:r>
      <w:r w:rsidRPr="00A1556B" w:rsidR="00D87FC6">
        <w:t xml:space="preserve"> en differentiër</w:t>
      </w:r>
      <w:r w:rsidR="00D87FC6">
        <w:t>en</w:t>
      </w:r>
      <w:r w:rsidRPr="00A1556B" w:rsidR="00D87FC6">
        <w:t xml:space="preserve"> </w:t>
      </w:r>
      <w:r w:rsidR="00D87FC6">
        <w:t xml:space="preserve">van </w:t>
      </w:r>
      <w:r w:rsidRPr="00A1556B" w:rsidR="00D87FC6">
        <w:t>de geneesmiddelenvoorraden</w:t>
      </w:r>
      <w:r w:rsidR="00B157F7">
        <w:t xml:space="preserve">; </w:t>
      </w:r>
      <w:r w:rsidR="0065483E">
        <w:t xml:space="preserve">door </w:t>
      </w:r>
      <w:r w:rsidR="00B157F7">
        <w:t>het a</w:t>
      </w:r>
      <w:r w:rsidR="00D87FC6">
        <w:t xml:space="preserve">anpassen van </w:t>
      </w:r>
      <w:r w:rsidR="002342ED">
        <w:t>(</w:t>
      </w:r>
      <w:r w:rsidRPr="00A1556B" w:rsidR="00D87FC6">
        <w:t>samenhangende</w:t>
      </w:r>
      <w:r w:rsidR="002342ED">
        <w:t>)</w:t>
      </w:r>
      <w:r w:rsidRPr="00A1556B" w:rsidR="00D87FC6">
        <w:t xml:space="preserve"> instrumenten</w:t>
      </w:r>
      <w:r w:rsidR="002342ED">
        <w:t xml:space="preserve"> die dienen tot beheersing van de zorguitgaven</w:t>
      </w:r>
      <w:r w:rsidRPr="00A1556B" w:rsidR="00D87FC6">
        <w:t xml:space="preserve"> zoals de </w:t>
      </w:r>
      <w:r w:rsidRPr="00BD42B9" w:rsidR="00BD42B9">
        <w:t xml:space="preserve">Wet </w:t>
      </w:r>
      <w:r w:rsidR="004C7656">
        <w:t>g</w:t>
      </w:r>
      <w:r w:rsidRPr="00BD42B9" w:rsidR="00BD42B9">
        <w:t xml:space="preserve">eneesmiddelenprijzen </w:t>
      </w:r>
      <w:r w:rsidR="00BD42B9">
        <w:t>(</w:t>
      </w:r>
      <w:r w:rsidRPr="00A1556B" w:rsidR="00D87FC6">
        <w:t>Wgp</w:t>
      </w:r>
      <w:r w:rsidR="00BD42B9">
        <w:t>)</w:t>
      </w:r>
      <w:r w:rsidRPr="00A1556B" w:rsidR="00D87FC6">
        <w:t xml:space="preserve">, </w:t>
      </w:r>
      <w:r w:rsidR="0065483E">
        <w:t xml:space="preserve">het </w:t>
      </w:r>
      <w:r w:rsidRPr="00BD42B9" w:rsidR="00BD42B9">
        <w:t xml:space="preserve">Geneesmiddelenvergoedingssysteem </w:t>
      </w:r>
      <w:r w:rsidR="00BD42B9">
        <w:t>(</w:t>
      </w:r>
      <w:r w:rsidRPr="00A1556B" w:rsidR="00D87FC6">
        <w:t>GVS</w:t>
      </w:r>
      <w:r w:rsidR="00BD42B9">
        <w:t>)</w:t>
      </w:r>
      <w:r w:rsidRPr="00A1556B" w:rsidR="00D87FC6">
        <w:t xml:space="preserve"> en het preferentiebeleid</w:t>
      </w:r>
      <w:r w:rsidR="00B157F7">
        <w:t>; en het nemen van de r</w:t>
      </w:r>
      <w:r w:rsidRPr="00A1556B" w:rsidR="00D87FC6">
        <w:t xml:space="preserve">egie op het toepassen van bredere inkoopcriteria. </w:t>
      </w:r>
    </w:p>
    <w:p w:rsidR="00BD42B9" w:rsidP="00202AA0" w:rsidRDefault="00BD42B9" w14:paraId="66187E11" w14:textId="77777777">
      <w:pPr>
        <w:spacing w:line="240" w:lineRule="atLeast"/>
      </w:pPr>
    </w:p>
    <w:p w:rsidR="009606D4" w:rsidP="00202AA0" w:rsidRDefault="000F5286" w14:paraId="449C3215" w14:textId="5C0289B0">
      <w:pPr>
        <w:spacing w:line="240" w:lineRule="atLeast"/>
      </w:pPr>
      <w:r>
        <w:t>Het kabinet</w:t>
      </w:r>
      <w:r w:rsidR="002342ED">
        <w:t xml:space="preserve"> </w:t>
      </w:r>
      <w:r w:rsidR="00B157F7">
        <w:t>deel</w:t>
      </w:r>
      <w:r>
        <w:t>t</w:t>
      </w:r>
      <w:r w:rsidR="00B157F7">
        <w:t xml:space="preserve"> de opvatting van Gupta dat het wenselijk is om het beleidsinstrumentarium in te zetten om de prikkels in de keten te verbeteren. De</w:t>
      </w:r>
      <w:r w:rsidR="00D87FC6">
        <w:t xml:space="preserve"> mogelijk</w:t>
      </w:r>
      <w:r w:rsidR="00CB2D14">
        <w:t>h</w:t>
      </w:r>
      <w:r w:rsidR="00D87FC6">
        <w:t xml:space="preserve">eden </w:t>
      </w:r>
      <w:r w:rsidR="00B157F7">
        <w:t>die Gupta daartoe aanreik</w:t>
      </w:r>
      <w:r w:rsidR="00DE11A2">
        <w:t>t</w:t>
      </w:r>
      <w:r w:rsidR="00B157F7">
        <w:t xml:space="preserve"> sluiten</w:t>
      </w:r>
      <w:r w:rsidR="003D3C05">
        <w:t xml:space="preserve"> voor een belangrijk deel aan op </w:t>
      </w:r>
      <w:r w:rsidR="00A642FF">
        <w:t>het</w:t>
      </w:r>
      <w:r w:rsidR="003D3C05">
        <w:t xml:space="preserve"> beleid</w:t>
      </w:r>
      <w:bookmarkStart w:name="_Hlk224112985" w:id="4"/>
      <w:r w:rsidR="00CB2D14">
        <w:t xml:space="preserve">. </w:t>
      </w:r>
      <w:r w:rsidR="00CB2D14">
        <w:rPr>
          <w:rFonts w:cstheme="minorHAnsi"/>
        </w:rPr>
        <w:t xml:space="preserve">Zo </w:t>
      </w:r>
      <w:r w:rsidR="001E7DC6">
        <w:rPr>
          <w:rFonts w:cstheme="minorHAnsi"/>
        </w:rPr>
        <w:t>wordt</w:t>
      </w:r>
      <w:r w:rsidR="009F1CB6">
        <w:rPr>
          <w:rFonts w:cstheme="minorHAnsi"/>
        </w:rPr>
        <w:t xml:space="preserve"> </w:t>
      </w:r>
      <w:r w:rsidR="001E7DC6">
        <w:rPr>
          <w:rFonts w:cstheme="minorHAnsi"/>
        </w:rPr>
        <w:t>door het ministerie van VWS</w:t>
      </w:r>
      <w:r w:rsidR="00B157F7">
        <w:rPr>
          <w:rFonts w:cstheme="minorHAnsi"/>
        </w:rPr>
        <w:t xml:space="preserve"> met het </w:t>
      </w:r>
      <w:r w:rsidR="00967087">
        <w:rPr>
          <w:rFonts w:cstheme="minorHAnsi"/>
        </w:rPr>
        <w:t>m</w:t>
      </w:r>
      <w:r w:rsidR="00B157F7">
        <w:rPr>
          <w:rFonts w:cstheme="minorHAnsi"/>
        </w:rPr>
        <w:t>inisterie van Defensie</w:t>
      </w:r>
      <w:r w:rsidR="001E7DC6">
        <w:rPr>
          <w:rFonts w:cstheme="minorHAnsi"/>
        </w:rPr>
        <w:t xml:space="preserve"> onderzocht</w:t>
      </w:r>
      <w:r w:rsidR="00B157F7">
        <w:rPr>
          <w:rFonts w:cstheme="minorHAnsi"/>
        </w:rPr>
        <w:t xml:space="preserve"> </w:t>
      </w:r>
      <w:r w:rsidRPr="00E6392B" w:rsidR="00CB2D14">
        <w:rPr>
          <w:rFonts w:cstheme="minorHAnsi"/>
        </w:rPr>
        <w:t>hoe opschaalbare productie</w:t>
      </w:r>
      <w:r w:rsidR="00BD42B9">
        <w:rPr>
          <w:rFonts w:cstheme="minorHAnsi"/>
        </w:rPr>
        <w:t xml:space="preserve"> van geneesmiddelen</w:t>
      </w:r>
      <w:r w:rsidRPr="00E6392B" w:rsidR="00CB2D14">
        <w:rPr>
          <w:rFonts w:cstheme="minorHAnsi"/>
        </w:rPr>
        <w:t xml:space="preserve"> kan worden ingezet om </w:t>
      </w:r>
      <w:r w:rsidR="00CB2D14">
        <w:rPr>
          <w:rFonts w:cstheme="minorHAnsi"/>
        </w:rPr>
        <w:t xml:space="preserve">de zorg </w:t>
      </w:r>
      <w:r w:rsidR="00BD42B9">
        <w:rPr>
          <w:rFonts w:cstheme="minorHAnsi"/>
        </w:rPr>
        <w:t>weerbaarder te maken</w:t>
      </w:r>
      <w:r w:rsidRPr="00E6392B" w:rsidR="00CB2D14">
        <w:rPr>
          <w:rFonts w:cstheme="minorHAnsi"/>
        </w:rPr>
        <w:t xml:space="preserve"> </w:t>
      </w:r>
      <w:r w:rsidR="00BD42B9">
        <w:rPr>
          <w:rFonts w:cstheme="minorHAnsi"/>
        </w:rPr>
        <w:t>tegen</w:t>
      </w:r>
      <w:r w:rsidR="001F5C25">
        <w:rPr>
          <w:rFonts w:cstheme="minorHAnsi"/>
        </w:rPr>
        <w:t xml:space="preserve"> </w:t>
      </w:r>
      <w:r w:rsidRPr="00E6392B" w:rsidR="00CB2D14">
        <w:rPr>
          <w:rFonts w:cstheme="minorHAnsi"/>
        </w:rPr>
        <w:t xml:space="preserve">diverse </w:t>
      </w:r>
      <w:r w:rsidR="00BD42B9">
        <w:rPr>
          <w:rFonts w:cstheme="minorHAnsi"/>
        </w:rPr>
        <w:t>crisis</w:t>
      </w:r>
      <w:r w:rsidRPr="00E6392B" w:rsidR="00CB2D14">
        <w:rPr>
          <w:rFonts w:cstheme="minorHAnsi"/>
        </w:rPr>
        <w:t>scenario’s</w:t>
      </w:r>
      <w:bookmarkEnd w:id="4"/>
      <w:r w:rsidR="00BD42B9">
        <w:rPr>
          <w:rFonts w:cstheme="minorHAnsi"/>
        </w:rPr>
        <w:t>. Daarnaast</w:t>
      </w:r>
      <w:r w:rsidR="00B157F7">
        <w:rPr>
          <w:rFonts w:cstheme="minorHAnsi"/>
        </w:rPr>
        <w:t xml:space="preserve"> </w:t>
      </w:r>
      <w:r w:rsidR="003D3C05">
        <w:rPr>
          <w:rFonts w:cstheme="minorHAnsi"/>
        </w:rPr>
        <w:t>draagt Nederland bij aan het Europese streven</w:t>
      </w:r>
      <w:r w:rsidRPr="003D3C05" w:rsidR="003D3C05">
        <w:t xml:space="preserve"> </w:t>
      </w:r>
      <w:r w:rsidR="003D3C05">
        <w:t>naar minder afhankelijkheid van invoer van plasma uit derde landen</w:t>
      </w:r>
      <w:r w:rsidR="00BD42B9">
        <w:t xml:space="preserve">. Tot slot </w:t>
      </w:r>
      <w:r w:rsidR="0065483E">
        <w:t xml:space="preserve">werkt het </w:t>
      </w:r>
      <w:r w:rsidR="001E7DC6">
        <w:t>k</w:t>
      </w:r>
      <w:r w:rsidR="0065483E">
        <w:t>abinet in het kader van het Aanvullend Zorg en Welzijnsakkoord (AZWA) met partijen aan een inkoopleidraad om handvatten te geven over hoe in de inkoop rekening te houden met de gevolgen voor de beschikbaarheid van geneesmiddelen.</w:t>
      </w:r>
    </w:p>
    <w:p w:rsidRPr="00166466" w:rsidR="009606D4" w:rsidP="00202AA0" w:rsidRDefault="009606D4" w14:paraId="5C4C9200" w14:textId="77777777">
      <w:pPr>
        <w:pStyle w:val="Lijstalinea"/>
        <w:spacing w:line="240" w:lineRule="atLeast"/>
      </w:pPr>
    </w:p>
    <w:p w:rsidRPr="00F55439" w:rsidR="003D3C05" w:rsidP="00202AA0" w:rsidRDefault="009606D4" w14:paraId="1F5372C0" w14:textId="3D0A12A9">
      <w:pPr>
        <w:pStyle w:val="Lijstalinea"/>
        <w:numPr>
          <w:ilvl w:val="0"/>
          <w:numId w:val="16"/>
        </w:numPr>
        <w:spacing w:line="240" w:lineRule="atLeast"/>
        <w:rPr>
          <w:i/>
          <w:iCs/>
        </w:rPr>
      </w:pPr>
      <w:r w:rsidRPr="00F55439">
        <w:rPr>
          <w:i/>
          <w:iCs/>
        </w:rPr>
        <w:t>Richt een effectieve structuur in om met ‘the whole system in the room’ op bestuurlijk, strategisch, tactisch en operationeel niveau problemen in beschikbaarheid te voorkomen, er op te kunnen anticiperen en – indien tekorten zich voordoen – zo snel en effectief mogelijk te reageren.</w:t>
      </w:r>
    </w:p>
    <w:p w:rsidRPr="00D94BBD" w:rsidR="003D3C05" w:rsidP="00202AA0" w:rsidRDefault="003D3C05" w14:paraId="369398A4" w14:textId="2A1DEB52">
      <w:pPr>
        <w:spacing w:line="240" w:lineRule="atLeast"/>
      </w:pPr>
      <w:r>
        <w:t>Naast het creëren van de juiste prikkels is effectieve samenwerking met het veld (al dan niet met een ‘whole system in the room’ aanpak) essentieel om complexe beleidsvraagstukken</w:t>
      </w:r>
      <w:r w:rsidR="00967087">
        <w:t>,</w:t>
      </w:r>
      <w:r>
        <w:t xml:space="preserve"> zoals de beschikbaarheidsproblematiek bij medische producten</w:t>
      </w:r>
      <w:r w:rsidR="00967087">
        <w:t>,</w:t>
      </w:r>
      <w:r>
        <w:t xml:space="preserve"> aan te kunnen pakken. </w:t>
      </w:r>
      <w:r w:rsidR="00D94BBD">
        <w:t xml:space="preserve">Zo is </w:t>
      </w:r>
      <w:r w:rsidR="004F069E">
        <w:t xml:space="preserve">de </w:t>
      </w:r>
      <w:r>
        <w:t xml:space="preserve">overlegstructuur in de geneesmiddelensector in 2025 opnieuw ingericht </w:t>
      </w:r>
      <w:r w:rsidRPr="00D94BBD" w:rsidR="00D94BBD">
        <w:t>voor een effectieve samenwerking met duidelijkheid over verantwoordelijkheden</w:t>
      </w:r>
      <w:r w:rsidR="0065483E">
        <w:t>.</w:t>
      </w:r>
      <w:r w:rsidR="000F5286">
        <w:t xml:space="preserve"> Daarnaast</w:t>
      </w:r>
      <w:r w:rsidR="002342ED">
        <w:t xml:space="preserve"> </w:t>
      </w:r>
      <w:r w:rsidR="00D94BBD">
        <w:t xml:space="preserve">subsidieert </w:t>
      </w:r>
      <w:r w:rsidR="004F069E">
        <w:t xml:space="preserve">het </w:t>
      </w:r>
      <w:r w:rsidR="00967087">
        <w:t xml:space="preserve">ministerie van VWS </w:t>
      </w:r>
      <w:r w:rsidR="00D94BBD">
        <w:t xml:space="preserve">Zorginkoop Netwerk Nederland voor de coördinatie bij tekorten van medische </w:t>
      </w:r>
      <w:r w:rsidR="004F069E">
        <w:t>hulpmiddelen</w:t>
      </w:r>
      <w:r w:rsidR="000F5286">
        <w:t xml:space="preserve"> en</w:t>
      </w:r>
      <w:r w:rsidDel="000F5286" w:rsidR="000F5286">
        <w:t xml:space="preserve"> </w:t>
      </w:r>
      <w:r w:rsidR="000F5286">
        <w:t xml:space="preserve">wordt </w:t>
      </w:r>
      <w:r w:rsidR="00D94BBD">
        <w:t>verken</w:t>
      </w:r>
      <w:r w:rsidR="000F5286">
        <w:t>d</w:t>
      </w:r>
      <w:r w:rsidR="00D94BBD">
        <w:t xml:space="preserve"> </w:t>
      </w:r>
      <w:r w:rsidR="000F5286">
        <w:t xml:space="preserve">of – en zo ja, hoe - </w:t>
      </w:r>
      <w:r w:rsidR="00D94BBD">
        <w:t>deze partij en de platforms van de Kwaliteitsraad elkaar kunnen versterken in deze problematiek.</w:t>
      </w:r>
    </w:p>
    <w:p w:rsidRPr="00F55439" w:rsidR="003D3C05" w:rsidP="00202AA0" w:rsidRDefault="003D3C05" w14:paraId="5FA60D29" w14:textId="77777777">
      <w:pPr>
        <w:pStyle w:val="Lijstalinea"/>
        <w:spacing w:line="240" w:lineRule="atLeast"/>
        <w:rPr>
          <w:i/>
          <w:iCs/>
        </w:rPr>
      </w:pPr>
    </w:p>
    <w:p w:rsidRPr="00F55439" w:rsidR="002A6C12" w:rsidP="00202AA0" w:rsidRDefault="009606D4" w14:paraId="3E4CA70C" w14:textId="48F9C383">
      <w:pPr>
        <w:pStyle w:val="Lijstalinea"/>
        <w:numPr>
          <w:ilvl w:val="0"/>
          <w:numId w:val="16"/>
        </w:numPr>
        <w:spacing w:line="240" w:lineRule="atLeast"/>
        <w:rPr>
          <w:i/>
          <w:iCs/>
        </w:rPr>
      </w:pPr>
      <w:r w:rsidRPr="00F55439">
        <w:rPr>
          <w:i/>
          <w:iCs/>
        </w:rPr>
        <w:t>Borg een tijdige en bruikbare informatievoorziening om snel te reageren en knelpunten beter te begrijpen.</w:t>
      </w:r>
    </w:p>
    <w:p w:rsidRPr="00A1556B" w:rsidR="002A6C12" w:rsidP="00202AA0" w:rsidRDefault="002A6C12" w14:paraId="01BC127F" w14:textId="474A4780">
      <w:pPr>
        <w:spacing w:line="240" w:lineRule="atLeast"/>
      </w:pPr>
      <w:r>
        <w:t>Gupta</w:t>
      </w:r>
      <w:r w:rsidRPr="002A6C12">
        <w:t xml:space="preserve"> </w:t>
      </w:r>
      <w:r w:rsidRPr="00A1556B">
        <w:t>advise</w:t>
      </w:r>
      <w:r>
        <w:t>ert</w:t>
      </w:r>
      <w:r w:rsidRPr="00A1556B">
        <w:t xml:space="preserve"> een goedwerkend meldpunt in te richten en daarnaast data uit de gehele keten bij elkaar te brengen</w:t>
      </w:r>
      <w:r w:rsidR="006E48F5">
        <w:t>,</w:t>
      </w:r>
      <w:r w:rsidRPr="00A1556B">
        <w:t xml:space="preserve"> om het inzicht op </w:t>
      </w:r>
      <w:r>
        <w:t xml:space="preserve">de </w:t>
      </w:r>
      <w:r w:rsidRPr="00A1556B">
        <w:t xml:space="preserve">leveringszekerheid in de hele keten te vergroten. </w:t>
      </w:r>
      <w:r>
        <w:t xml:space="preserve">Dit advies sluit voor wat betreft de productgroep geneesmiddelen nauw aan op de voorziene implementatie van de </w:t>
      </w:r>
      <w:r w:rsidR="0068153C">
        <w:t xml:space="preserve">herziening van de Europese geneesmiddelenwetgeving </w:t>
      </w:r>
      <w:r>
        <w:t>en de implementatie van de afspraken in het Aanvullend Zorg- en Welzijnsakkoord (AZWA) over het verbeteren van de beschikbaarheid van geneesmiddelen</w:t>
      </w:r>
      <w:r w:rsidR="003D7B4D">
        <w:t xml:space="preserve">. Versterking van de informatievoorziening en het meldpunt zijn hoekstenen van beide trajecten. Het </w:t>
      </w:r>
      <w:r w:rsidR="00153DAE">
        <w:t>kabinet</w:t>
      </w:r>
      <w:r w:rsidR="003D7B4D">
        <w:t xml:space="preserve"> </w:t>
      </w:r>
      <w:r w:rsidR="008E617E">
        <w:t xml:space="preserve">onderschrijft </w:t>
      </w:r>
      <w:r w:rsidR="003D7B4D">
        <w:t xml:space="preserve">dat </w:t>
      </w:r>
      <w:r w:rsidR="008E617E">
        <w:t xml:space="preserve">het </w:t>
      </w:r>
      <w:r w:rsidR="003D7B4D">
        <w:t xml:space="preserve">ook voor de productgroep medische </w:t>
      </w:r>
      <w:r w:rsidR="004F069E">
        <w:t xml:space="preserve">hulpmiddelen </w:t>
      </w:r>
      <w:r w:rsidRPr="00E76CA0" w:rsidR="003D7B4D">
        <w:t xml:space="preserve">belangrijk is inzicht te krijgen in welke </w:t>
      </w:r>
      <w:r w:rsidR="008E617E">
        <w:t>producten</w:t>
      </w:r>
      <w:r w:rsidRPr="00E76CA0" w:rsidR="008E617E">
        <w:t xml:space="preserve"> </w:t>
      </w:r>
      <w:r w:rsidRPr="00E76CA0" w:rsidR="003D7B4D">
        <w:t xml:space="preserve">kritiek en </w:t>
      </w:r>
      <w:r w:rsidR="008E617E">
        <w:t xml:space="preserve">welke </w:t>
      </w:r>
      <w:r w:rsidRPr="00E76CA0" w:rsidR="003D7B4D">
        <w:t>kwetsbaar zijn.</w:t>
      </w:r>
      <w:r w:rsidR="003D7B4D">
        <w:t xml:space="preserve"> Onderdeel van de verkenning </w:t>
      </w:r>
      <w:r w:rsidR="008E617E">
        <w:t xml:space="preserve">naar </w:t>
      </w:r>
      <w:r w:rsidR="003D7B4D">
        <w:t>de mogelijkheden voor het aanleggen van een</w:t>
      </w:r>
      <w:r w:rsidR="00F163CA">
        <w:t xml:space="preserve"> eventuele</w:t>
      </w:r>
      <w:r w:rsidR="003D7B4D">
        <w:t xml:space="preserve"> voorraad medische hulpmiddelen</w:t>
      </w:r>
      <w:r w:rsidRPr="003D7B4D" w:rsidR="003D7B4D">
        <w:t xml:space="preserve"> </w:t>
      </w:r>
      <w:r w:rsidRPr="00E76CA0" w:rsidR="003D7B4D">
        <w:t xml:space="preserve">is </w:t>
      </w:r>
      <w:r w:rsidR="003D7B4D">
        <w:t xml:space="preserve">dan ook </w:t>
      </w:r>
      <w:r w:rsidRPr="00E76CA0" w:rsidR="003D7B4D">
        <w:t xml:space="preserve">het in kaart brengen van kritieke </w:t>
      </w:r>
      <w:r w:rsidR="008E617E">
        <w:t>producten</w:t>
      </w:r>
      <w:r w:rsidRPr="00E76CA0" w:rsidR="003D7B4D">
        <w:t xml:space="preserve"> en </w:t>
      </w:r>
      <w:r w:rsidR="008E617E">
        <w:t xml:space="preserve">producten </w:t>
      </w:r>
      <w:r w:rsidRPr="00E76CA0" w:rsidR="003D7B4D">
        <w:t>met een kwetsbare toeleveringsketen</w:t>
      </w:r>
      <w:r w:rsidR="003D7B4D">
        <w:t>.</w:t>
      </w:r>
      <w:r w:rsidRPr="003D7B4D" w:rsidR="003D7B4D">
        <w:t xml:space="preserve"> </w:t>
      </w:r>
      <w:r w:rsidR="003D7B4D">
        <w:t xml:space="preserve">Het </w:t>
      </w:r>
      <w:r w:rsidR="00153DAE">
        <w:t>kabinet</w:t>
      </w:r>
      <w:r w:rsidR="003D7B4D">
        <w:t xml:space="preserve"> deelt het advies dat het belangrijk is om ook voor hulpmiddelen één centraal overzicht van meldingen te hebben. Hiervoor wordt momenteel de basis gelegd.</w:t>
      </w:r>
    </w:p>
    <w:p w:rsidRPr="00166466" w:rsidR="009606D4" w:rsidP="00202AA0" w:rsidRDefault="009606D4" w14:paraId="4954B72B" w14:textId="77777777">
      <w:pPr>
        <w:spacing w:line="240" w:lineRule="atLeast"/>
      </w:pPr>
    </w:p>
    <w:p w:rsidRPr="00F55439" w:rsidR="003D7B4D" w:rsidP="00202AA0" w:rsidRDefault="009606D4" w14:paraId="77C93645" w14:textId="24F62D31">
      <w:pPr>
        <w:pStyle w:val="Lijstalinea"/>
        <w:numPr>
          <w:ilvl w:val="0"/>
          <w:numId w:val="16"/>
        </w:numPr>
        <w:spacing w:line="240" w:lineRule="atLeast"/>
        <w:rPr>
          <w:i/>
          <w:iCs/>
        </w:rPr>
      </w:pPr>
      <w:r w:rsidRPr="00F55439">
        <w:rPr>
          <w:i/>
          <w:iCs/>
        </w:rPr>
        <w:t>Monitor en evalueer beleid om te blijven leren van de (neven)effecten van beleidsinstrumenten in deze complexe markten.</w:t>
      </w:r>
    </w:p>
    <w:p w:rsidR="003D7B4D" w:rsidP="00202AA0" w:rsidRDefault="003D7B4D" w14:paraId="23345416" w14:textId="77777777">
      <w:pPr>
        <w:spacing w:line="240" w:lineRule="atLeast"/>
      </w:pPr>
      <w:r>
        <w:t>De onderzoekers adviseren in dit kader om a</w:t>
      </w:r>
      <w:r w:rsidRPr="00A1556B">
        <w:t>) beleidsdoelen zo concreet (SMART) mogelijk</w:t>
      </w:r>
      <w:r>
        <w:t xml:space="preserve"> te beschrijven</w:t>
      </w:r>
      <w:r w:rsidRPr="00A1556B">
        <w:t xml:space="preserve">, b) een monitorings- en evaluatieplan uit </w:t>
      </w:r>
      <w:r>
        <w:t xml:space="preserve">te werken </w:t>
      </w:r>
      <w:r w:rsidRPr="00A1556B">
        <w:t xml:space="preserve">voordat beleid wordt ingevoerd, inclusief de benodigde data en analyses, c) </w:t>
      </w:r>
      <w:r>
        <w:t xml:space="preserve">te </w:t>
      </w:r>
      <w:r w:rsidRPr="00A1556B">
        <w:t>zorg</w:t>
      </w:r>
      <w:r>
        <w:t>en voor</w:t>
      </w:r>
      <w:r w:rsidRPr="00A1556B">
        <w:t xml:space="preserve"> zoveel mogelijk feitelijke, waar mogelijk kwantitatieve, onderbouwing van beleidsontwikkeling en evaluatie en d) </w:t>
      </w:r>
      <w:r>
        <w:t xml:space="preserve">te </w:t>
      </w:r>
      <w:r w:rsidRPr="00A1556B">
        <w:t>werk</w:t>
      </w:r>
      <w:r>
        <w:t>en</w:t>
      </w:r>
      <w:r w:rsidRPr="00A1556B">
        <w:t xml:space="preserve"> met een pilot om nieuw beleid snel te kunnen toetsen en tijdig bij te sturen. </w:t>
      </w:r>
    </w:p>
    <w:p w:rsidR="006E48F5" w:rsidP="00202AA0" w:rsidRDefault="006E48F5" w14:paraId="57E89648" w14:textId="77777777">
      <w:pPr>
        <w:spacing w:line="240" w:lineRule="atLeast"/>
      </w:pPr>
    </w:p>
    <w:p w:rsidR="00202AA0" w:rsidP="00202AA0" w:rsidRDefault="00202AA0" w14:paraId="6C85CC9C" w14:textId="77777777">
      <w:pPr>
        <w:spacing w:line="240" w:lineRule="atLeast"/>
      </w:pPr>
    </w:p>
    <w:p w:rsidR="00202AA0" w:rsidP="00202AA0" w:rsidRDefault="00202AA0" w14:paraId="4B4DA796" w14:textId="77777777">
      <w:pPr>
        <w:spacing w:line="240" w:lineRule="atLeast"/>
      </w:pPr>
    </w:p>
    <w:p w:rsidRPr="00E52B6D" w:rsidR="009F2C12" w:rsidP="00202AA0" w:rsidRDefault="00F55439" w14:paraId="28BA5357" w14:textId="58127A3F">
      <w:pPr>
        <w:spacing w:line="240" w:lineRule="atLeast"/>
      </w:pPr>
      <w:r>
        <w:t>Het</w:t>
      </w:r>
      <w:r w:rsidR="003D7B4D">
        <w:t xml:space="preserve"> </w:t>
      </w:r>
      <w:r w:rsidR="00153DAE">
        <w:t>kabinet</w:t>
      </w:r>
      <w:r>
        <w:t xml:space="preserve"> neemt dit advies</w:t>
      </w:r>
      <w:r w:rsidR="003D7B4D">
        <w:t xml:space="preserve"> ter harte. Het ziet de aanbevelingen als breder toepasbaar dan alleen op de vraagstukken rondom de beschikbaarheid van medische producten. De Rijksoverheid heeft eerder besloten om een centrale werkwijze te implementeren bij het maken van beleid, de beleidscyclus, waarvan het beleidskompas (de handleiding voor voorbereiding van beleid) en de SEA onderdeel van uitmaken.</w:t>
      </w:r>
      <w:r w:rsidRPr="00EA4BA6" w:rsidR="003D7B4D">
        <w:rPr>
          <w:vertAlign w:val="superscript"/>
        </w:rPr>
        <w:footnoteReference w:id="4"/>
      </w:r>
      <w:r w:rsidRPr="00EA4BA6" w:rsidR="003D7B4D">
        <w:rPr>
          <w:vertAlign w:val="superscript"/>
        </w:rPr>
        <w:t xml:space="preserve"> </w:t>
      </w:r>
      <w:r w:rsidR="003D7B4D">
        <w:t xml:space="preserve">Met de voortgaande implementatie hiervan bij het </w:t>
      </w:r>
      <w:r w:rsidR="00FC5A67">
        <w:t>m</w:t>
      </w:r>
      <w:r w:rsidR="003D7B4D">
        <w:t>inisterie van VWS wordt een cyclisch</w:t>
      </w:r>
      <w:r w:rsidR="00FC5A67">
        <w:t>e</w:t>
      </w:r>
      <w:r w:rsidR="003D7B4D">
        <w:t xml:space="preserve"> manier van werken, waarbij monitoren en evalueren integraal onderdeel zijn van het maken </w:t>
      </w:r>
      <w:r w:rsidR="00FC5A67">
        <w:t xml:space="preserve">van </w:t>
      </w:r>
      <w:r w:rsidR="003D7B4D">
        <w:t xml:space="preserve">beleid, steeds meer ingebed in de praktijk. Daarbij wil het </w:t>
      </w:r>
      <w:r w:rsidR="00153DAE">
        <w:t>kabinet</w:t>
      </w:r>
      <w:r w:rsidR="003D7B4D">
        <w:t xml:space="preserve"> </w:t>
      </w:r>
      <w:r w:rsidR="0065483E">
        <w:t xml:space="preserve">er </w:t>
      </w:r>
      <w:r w:rsidR="003D7B4D">
        <w:t xml:space="preserve">wel </w:t>
      </w:r>
      <w:r w:rsidR="0065483E">
        <w:t xml:space="preserve">op </w:t>
      </w:r>
      <w:r w:rsidR="003D7B4D">
        <w:t>wijzen dat beleid maken niet altijd planbaar is. Juist bij actuele onderwerpen zoals de problematiek van tekorten, mag van de overheid ook regie en daadkrachtig, snel ingrijpen verwacht worden. Dat laat zich niet altijd vangen in gestandaardiseerde werkwijzen.</w:t>
      </w:r>
      <w:r w:rsidR="00967087">
        <w:t xml:space="preserve"> </w:t>
      </w:r>
      <w:r w:rsidRPr="00E52B6D" w:rsidR="009F2C12">
        <w:t xml:space="preserve">Daarbij komt dat </w:t>
      </w:r>
      <w:r w:rsidR="009F2C12">
        <w:t>op het terrein van medische producten sprake is van marktwerking. De overheid is daarin marktmeester</w:t>
      </w:r>
      <w:r w:rsidR="0065483E">
        <w:t xml:space="preserve"> en soms regisseur</w:t>
      </w:r>
      <w:r w:rsidR="009F2C12">
        <w:t xml:space="preserve">, maar (veelal) </w:t>
      </w:r>
      <w:r w:rsidR="0065483E">
        <w:t xml:space="preserve">zelf </w:t>
      </w:r>
      <w:r w:rsidR="009F2C12">
        <w:t xml:space="preserve">geen </w:t>
      </w:r>
      <w:r w:rsidR="0065483E">
        <w:t xml:space="preserve">directe </w:t>
      </w:r>
      <w:r w:rsidR="009F2C12">
        <w:t>actor</w:t>
      </w:r>
      <w:r w:rsidR="0065483E">
        <w:t xml:space="preserve"> in de zin dat de overheid niet zelf inkoopt, produceert, of voorraden aanlegt</w:t>
      </w:r>
      <w:r w:rsidR="009F2C12">
        <w:t>. Het zo SMART mogelijk formuleren van de beleidsdoelen moet in het licht van deze positie</w:t>
      </w:r>
      <w:r w:rsidR="0065483E">
        <w:t xml:space="preserve"> als marktmeester of regisseur</w:t>
      </w:r>
      <w:r w:rsidR="009F2C12">
        <w:t xml:space="preserve"> worden gezien.</w:t>
      </w:r>
    </w:p>
    <w:p w:rsidR="006E48F5" w:rsidP="00202AA0" w:rsidRDefault="006E48F5" w14:paraId="58287786" w14:textId="77777777">
      <w:pPr>
        <w:spacing w:line="240" w:lineRule="atLeast"/>
      </w:pPr>
    </w:p>
    <w:p w:rsidRPr="002342ED" w:rsidR="00080FAB" w:rsidP="00202AA0" w:rsidRDefault="00F2011B" w14:paraId="563160F3" w14:textId="33DB3C24">
      <w:pPr>
        <w:numPr>
          <w:ilvl w:val="0"/>
          <w:numId w:val="2"/>
        </w:numPr>
        <w:spacing w:line="240" w:lineRule="atLeast"/>
        <w:contextualSpacing/>
        <w:rPr>
          <w:b/>
          <w:bCs/>
        </w:rPr>
      </w:pPr>
      <w:r w:rsidRPr="0036603C">
        <w:rPr>
          <w:b/>
          <w:bCs/>
        </w:rPr>
        <w:t xml:space="preserve">Reactie op de besparings- en intensiveringsvarianten. </w:t>
      </w:r>
    </w:p>
    <w:p w:rsidR="00AD75D4" w:rsidP="00202AA0" w:rsidRDefault="005E15D5" w14:paraId="49E914E1" w14:textId="4E7EF6A6">
      <w:pPr>
        <w:spacing w:line="240" w:lineRule="atLeast"/>
      </w:pPr>
      <w:r>
        <w:t xml:space="preserve">Het </w:t>
      </w:r>
      <w:r w:rsidR="00153DAE">
        <w:t>kabinet</w:t>
      </w:r>
      <w:r>
        <w:t xml:space="preserve"> deelt de constatering van Gupta</w:t>
      </w:r>
      <w:r w:rsidR="00080FAB">
        <w:t xml:space="preserve"> </w:t>
      </w:r>
      <w:r w:rsidRPr="00310D8A" w:rsidR="00080FAB">
        <w:t>Strategists</w:t>
      </w:r>
      <w:r>
        <w:t xml:space="preserve"> dat er niet </w:t>
      </w:r>
      <w:r w:rsidRPr="005E15D5">
        <w:t>één besparingsoptie</w:t>
      </w:r>
      <w:r>
        <w:t xml:space="preserve"> is </w:t>
      </w:r>
      <w:r w:rsidRPr="005E15D5">
        <w:t xml:space="preserve">waarmee 20% (oftewel een besparing van ongeveer </w:t>
      </w:r>
      <w:r w:rsidR="00080FAB">
        <w:t>€</w:t>
      </w:r>
      <w:r w:rsidR="002558E0">
        <w:t> </w:t>
      </w:r>
      <w:r w:rsidRPr="005E15D5">
        <w:t>2</w:t>
      </w:r>
      <w:r w:rsidR="002558E0">
        <w:t> </w:t>
      </w:r>
      <w:r w:rsidRPr="005E15D5">
        <w:t>miljard) op de totale budgettaire grondslag kan worden gerealiseerd.</w:t>
      </w:r>
      <w:r>
        <w:t xml:space="preserve"> </w:t>
      </w:r>
      <w:r w:rsidR="001E7DC6">
        <w:t>S</w:t>
      </w:r>
      <w:r w:rsidRPr="005E15D5">
        <w:t>chrappen in het basispakket en het invoeren van eigen bijdrages</w:t>
      </w:r>
      <w:r>
        <w:t xml:space="preserve"> zijn inderdaad</w:t>
      </w:r>
      <w:r w:rsidR="001E7DC6">
        <w:t>,</w:t>
      </w:r>
      <w:r>
        <w:t xml:space="preserve"> </w:t>
      </w:r>
      <w:r w:rsidR="0065483E">
        <w:t>zoals Gupta aangeeft</w:t>
      </w:r>
      <w:r w:rsidR="001E7DC6">
        <w:t>,</w:t>
      </w:r>
      <w:r w:rsidR="0065483E">
        <w:t xml:space="preserve"> </w:t>
      </w:r>
      <w:r>
        <w:t>budgettair reeds uitgewerkt in</w:t>
      </w:r>
      <w:r w:rsidRPr="005E15D5">
        <w:t xml:space="preserve"> onder andere Zorgkeuzes in Kaart</w:t>
      </w:r>
      <w:r w:rsidR="00080FAB">
        <w:t>,</w:t>
      </w:r>
      <w:r>
        <w:t xml:space="preserve"> maar betekenen onherroepelijk een vermindering van de beschikbaarheid van </w:t>
      </w:r>
      <w:r w:rsidRPr="005E15D5">
        <w:t>geneesmiddelen, medische hulpmiddelen en</w:t>
      </w:r>
      <w:r>
        <w:t>/of</w:t>
      </w:r>
      <w:r w:rsidRPr="005E15D5">
        <w:t xml:space="preserve"> lichaamsmaterialen.</w:t>
      </w:r>
    </w:p>
    <w:p w:rsidR="00AD75D4" w:rsidP="00202AA0" w:rsidRDefault="00AD75D4" w14:paraId="2D8DBB00" w14:textId="77777777">
      <w:pPr>
        <w:spacing w:line="240" w:lineRule="atLeast"/>
      </w:pPr>
    </w:p>
    <w:p w:rsidRPr="0036603C" w:rsidR="00AD75D4" w:rsidP="00202AA0" w:rsidRDefault="00AD75D4" w14:paraId="3A9057DC" w14:textId="73813BA7">
      <w:pPr>
        <w:spacing w:line="240" w:lineRule="atLeast"/>
        <w:rPr>
          <w:i/>
          <w:iCs/>
        </w:rPr>
      </w:pPr>
      <w:r w:rsidRPr="0036603C">
        <w:rPr>
          <w:i/>
          <w:iCs/>
        </w:rPr>
        <w:t>Afbakening</w:t>
      </w:r>
    </w:p>
    <w:p w:rsidRPr="00310D8A" w:rsidR="00310D8A" w:rsidP="00202AA0" w:rsidRDefault="00310D8A" w14:paraId="25864877" w14:textId="0F3FFBE3">
      <w:pPr>
        <w:spacing w:line="240" w:lineRule="atLeast"/>
      </w:pPr>
      <w:r w:rsidRPr="00310D8A">
        <w:t>Om een jaarlijkse besparing te realiseren, zonder direct in te grijpen op de toegankelijkheid van zorg, adviseert Gupta het ministerie van VWS om het oplossen van de afbakeningsproblematiek verder te onderzoeken. Volgens de onderzoekers leidt de huidige afbakening in de aanspraak tussen intramurale, geneeskundige zorg en extramurale, farmaceutische zorg aanspraak vaak tot problemen. De aanspraak is nu gebaseerd op plaats van toepassing. Vergelijkbare geneesmiddelen worden daardoor soms vanuit het ene, soms vanuit het andere kader bekostigd, en soms is bekostiging vanuit beide kaders mogelijk. Dit kan leiden tot verkeerde prikkels of een ondoelmatige inzet van geneesmiddelen. Gupta Strategists schat dat het oplossen van dit probleem in potentie de overheid jaarlijks</w:t>
      </w:r>
      <w:r w:rsidR="00080FAB">
        <w:t xml:space="preserve"> €</w:t>
      </w:r>
      <w:r w:rsidRPr="00310D8A">
        <w:t xml:space="preserve"> 50 tot </w:t>
      </w:r>
      <w:r w:rsidR="00080FAB">
        <w:t xml:space="preserve">€ </w:t>
      </w:r>
      <w:r w:rsidRPr="00310D8A">
        <w:t>170 miljoen kan besparen.</w:t>
      </w:r>
    </w:p>
    <w:p w:rsidRPr="00310D8A" w:rsidR="00310D8A" w:rsidP="00202AA0" w:rsidRDefault="00310D8A" w14:paraId="2B96B355" w14:textId="77777777">
      <w:pPr>
        <w:spacing w:line="240" w:lineRule="atLeast"/>
      </w:pPr>
    </w:p>
    <w:p w:rsidR="0036603C" w:rsidP="00202AA0" w:rsidRDefault="00310D8A" w14:paraId="4AE0A1A2" w14:textId="358B9131">
      <w:pPr>
        <w:spacing w:line="240" w:lineRule="atLeast"/>
      </w:pPr>
      <w:r w:rsidRPr="00310D8A">
        <w:t xml:space="preserve">Het </w:t>
      </w:r>
      <w:r w:rsidR="00153DAE">
        <w:t>kabinet</w:t>
      </w:r>
      <w:r w:rsidRPr="00310D8A">
        <w:t xml:space="preserve"> steunt de aanbeveling van Gupta Strategists om de problematiek verder te onderzoeken. Het </w:t>
      </w:r>
      <w:r w:rsidR="005E15D5">
        <w:t xml:space="preserve">is </w:t>
      </w:r>
      <w:r w:rsidRPr="00310D8A">
        <w:t xml:space="preserve">aan de overheid om te zorgen dat partijen hun rol in het stelsel goed kunnen uitvoeren, en te zorgen voor zo doelmatig mogelijke besteding van premiegeld. De huidige afbakening in de aanspraak op geneesmiddelen kan zorgen voor verkeerde prikkels. Deze prikkels kunnen doelmatig voorschrijven en inkoop (waaronder door zorgverzekeraars) in de weg staan. Maar het is onzeker of de besparing </w:t>
      </w:r>
      <w:r w:rsidRPr="00310D8A" w:rsidR="008E617E">
        <w:t>met</w:t>
      </w:r>
      <w:r w:rsidRPr="00310D8A">
        <w:t xml:space="preserve"> overhevelingen kan worden bewerkstelligd. </w:t>
      </w:r>
      <w:r w:rsidR="006E0724">
        <w:t xml:space="preserve">Daarbij </w:t>
      </w:r>
      <w:r w:rsidR="0018469E">
        <w:t xml:space="preserve">leidt </w:t>
      </w:r>
      <w:r w:rsidRPr="00310D8A">
        <w:t xml:space="preserve">overhevelen tot regeldruk in </w:t>
      </w:r>
      <w:r w:rsidR="005E15D5">
        <w:t xml:space="preserve">de </w:t>
      </w:r>
      <w:r w:rsidRPr="00310D8A">
        <w:t>praktijk,</w:t>
      </w:r>
      <w:r w:rsidR="0018469E">
        <w:t xml:space="preserve"> door aanpassingen voor elke individuele patiënt. Het </w:t>
      </w:r>
      <w:r w:rsidRPr="00310D8A">
        <w:t xml:space="preserve">heeft invloed op de zorg van patiënten en wie hen die zorg levert. Deze </w:t>
      </w:r>
      <w:r w:rsidR="006E0724">
        <w:t xml:space="preserve">effecten moeten ook meegewogen worden. Het onderzoeken van </w:t>
      </w:r>
      <w:r w:rsidR="00432577">
        <w:t>de afbakenings</w:t>
      </w:r>
      <w:r w:rsidR="006E0724">
        <w:t xml:space="preserve">problematiek, en hiermee </w:t>
      </w:r>
      <w:r w:rsidR="00432577">
        <w:t xml:space="preserve">een </w:t>
      </w:r>
      <w:r w:rsidR="006E0724">
        <w:t>mogelijk samenhangende besparing, wordt betrokken bij de invulling van de taakstel</w:t>
      </w:r>
      <w:r w:rsidR="009F1CB6">
        <w:t>l</w:t>
      </w:r>
      <w:r w:rsidR="006E0724">
        <w:t xml:space="preserve">ing in het coalitieakkoord van 150 miljoen euro structureel op het </w:t>
      </w:r>
      <w:r w:rsidR="00432577">
        <w:t>budget voor geneesmiddelen</w:t>
      </w:r>
      <w:r w:rsidR="006E0724">
        <w:t>.</w:t>
      </w:r>
    </w:p>
    <w:p w:rsidRPr="00AD75D4" w:rsidR="00F2011B" w:rsidP="00202AA0" w:rsidRDefault="00F2011B" w14:paraId="2AE7E457" w14:textId="77777777">
      <w:pPr>
        <w:spacing w:line="240" w:lineRule="atLeast"/>
        <w:contextualSpacing/>
      </w:pPr>
    </w:p>
    <w:p w:rsidRPr="002342ED" w:rsidR="00BA1CBD" w:rsidP="00202AA0" w:rsidRDefault="00F2011B" w14:paraId="4D36C159" w14:textId="29C65FDD">
      <w:pPr>
        <w:pStyle w:val="Lijstalinea"/>
        <w:numPr>
          <w:ilvl w:val="0"/>
          <w:numId w:val="2"/>
        </w:numPr>
        <w:spacing w:line="240" w:lineRule="atLeast"/>
        <w:rPr>
          <w:b/>
          <w:bCs/>
        </w:rPr>
      </w:pPr>
      <w:r w:rsidRPr="0036603C">
        <w:rPr>
          <w:b/>
          <w:bCs/>
        </w:rPr>
        <w:t>Slotparagraaf</w:t>
      </w:r>
    </w:p>
    <w:p w:rsidR="00F55439" w:rsidP="00202AA0" w:rsidRDefault="006E48F5" w14:paraId="53883E7D" w14:textId="637A0FB7">
      <w:pPr>
        <w:spacing w:line="240" w:lineRule="atLeast"/>
      </w:pPr>
      <w:r>
        <w:t xml:space="preserve">Met de </w:t>
      </w:r>
      <w:r w:rsidR="00F55439">
        <w:t xml:space="preserve">periodieke rapportage </w:t>
      </w:r>
      <w:r w:rsidR="00080FAB">
        <w:t>‘</w:t>
      </w:r>
      <w:r w:rsidR="00F55439">
        <w:t>Beschikbaarheid in perspectief</w:t>
      </w:r>
      <w:r w:rsidR="00080FAB">
        <w:t>’</w:t>
      </w:r>
      <w:r w:rsidR="00F55439">
        <w:t xml:space="preserve"> beoogde het </w:t>
      </w:r>
      <w:r w:rsidR="00153DAE">
        <w:t>kabinet</w:t>
      </w:r>
      <w:r w:rsidR="00F55439">
        <w:t xml:space="preserve"> meer inzicht te geven in de doeltreffendheid en doelmatigheid van de </w:t>
      </w:r>
      <w:r w:rsidRPr="00FA3A05" w:rsidR="00F55439">
        <w:t>beleidsinstrumenten</w:t>
      </w:r>
      <w:r w:rsidR="00F55439">
        <w:t xml:space="preserve"> die in de periode van</w:t>
      </w:r>
      <w:r w:rsidRPr="00FA3A05" w:rsidR="00F55439">
        <w:t xml:space="preserve"> </w:t>
      </w:r>
      <w:r w:rsidR="00F55439">
        <w:t>2017 t/m 2023 zijn ingezet</w:t>
      </w:r>
      <w:r w:rsidRPr="00F55439" w:rsidR="00F55439">
        <w:t xml:space="preserve"> </w:t>
      </w:r>
      <w:r w:rsidRPr="00FA3A05" w:rsidR="00F55439">
        <w:t>ten behoeve van</w:t>
      </w:r>
      <w:r w:rsidR="00F55439">
        <w:t>,</w:t>
      </w:r>
      <w:r w:rsidRPr="00FA3A05" w:rsidR="00F55439">
        <w:t xml:space="preserve"> of met een effect op</w:t>
      </w:r>
      <w:r w:rsidR="00F55439">
        <w:t>,</w:t>
      </w:r>
      <w:r w:rsidRPr="00FA3A05" w:rsidR="00F55439">
        <w:t xml:space="preserve"> de beschikbaarheid van</w:t>
      </w:r>
      <w:r w:rsidR="00F55439">
        <w:t xml:space="preserve"> medische producten. Het </w:t>
      </w:r>
      <w:r w:rsidR="00153DAE">
        <w:t>kabinet</w:t>
      </w:r>
      <w:r w:rsidR="00F55439">
        <w:t xml:space="preserve"> is van o</w:t>
      </w:r>
      <w:r>
        <w:t>ordeel</w:t>
      </w:r>
      <w:r w:rsidR="00F55439">
        <w:t xml:space="preserve"> dat de rapportage ruimschoots beantwoordt aan het beoogde doel. Niet alleen is van een breed scala aan beleidsinstrumenten de effectiviteit beoordeeld (en in de meeste gevallen positief bevonden), ook geeft de rapportage goed inzicht in de unieke dynamiek en de mede daardoor soms afwijkende beleidskeuzes in de drie productgroepen, geneesmiddelen, medische technologie en lichaamsmaterialen. Tot slot zijn zowel de productgroepsgewijze als de overkoepelende aanbevelingen waardevol. Het </w:t>
      </w:r>
      <w:r w:rsidR="00153DAE">
        <w:t>kabinet</w:t>
      </w:r>
      <w:r w:rsidR="00F55439">
        <w:t xml:space="preserve"> betrekt deze bij de verder invulling en uitwerking van het beleid op de beschikbaarheid van medische producten. </w:t>
      </w:r>
      <w:r w:rsidR="002342ED">
        <w:t xml:space="preserve">Via </w:t>
      </w:r>
      <w:r w:rsidR="00F55439">
        <w:t>de reguliere cyclus van (voortgangs-)brieven voor de betreffende dossiers of productgroepen informe</w:t>
      </w:r>
      <w:r w:rsidR="002342ED">
        <w:t>er</w:t>
      </w:r>
      <w:r w:rsidR="001E7DC6">
        <w:t>t het kabinet</w:t>
      </w:r>
      <w:r w:rsidR="002342ED">
        <w:t xml:space="preserve"> u</w:t>
      </w:r>
      <w:r w:rsidR="00F55439">
        <w:t xml:space="preserve"> over ontwikkelingen in de opvolging van de productgroepsgewijze aanbevelingen.</w:t>
      </w:r>
      <w:r w:rsidR="009D4448">
        <w:rPr>
          <w:rStyle w:val="Voetnootmarkering"/>
        </w:rPr>
        <w:footnoteReference w:id="5"/>
      </w:r>
      <w:r w:rsidR="00F55439">
        <w:t xml:space="preserve"> </w:t>
      </w:r>
      <w:r w:rsidR="002342ED">
        <w:t>Daarnaast wordt de Kamer voortaan o</w:t>
      </w:r>
      <w:r w:rsidRPr="002342ED" w:rsidR="002342ED">
        <w:t xml:space="preserve">nder de titel ‘Opvolging in beeld’ jaarlijks (begin mei) geïnformeerd over de opvolging van bevindingen en aanbevelingen van alle Periodieke rapportages die in de afgelopen periode binnen </w:t>
      </w:r>
      <w:r>
        <w:t xml:space="preserve">het ministerie van VWS </w:t>
      </w:r>
      <w:r w:rsidRPr="002342ED" w:rsidR="002342ED">
        <w:t xml:space="preserve">zijn en worden uitgevoerd. De voortgang van de vier overkoepelende aanbevelingen uit deze Periodieke rapportage maken onderdeel </w:t>
      </w:r>
      <w:r w:rsidR="002342ED">
        <w:t xml:space="preserve">uit </w:t>
      </w:r>
      <w:r w:rsidRPr="002342ED" w:rsidR="002342ED">
        <w:t>van deze brief en werkwijze.</w:t>
      </w:r>
    </w:p>
    <w:p w:rsidRPr="0057477E" w:rsidR="00BD2DF1" w:rsidP="00202AA0" w:rsidRDefault="00BD2DF1" w14:paraId="011DB63E" w14:textId="77777777">
      <w:pPr>
        <w:spacing w:line="240" w:lineRule="atLeast"/>
        <w:contextualSpacing/>
      </w:pPr>
    </w:p>
    <w:p w:rsidRPr="009A31BF" w:rsidR="00CD5856" w:rsidP="00202AA0" w:rsidRDefault="00BA1CBD" w14:paraId="67A3BEBF" w14:textId="77777777">
      <w:pPr>
        <w:pStyle w:val="Huisstijl-Slotzin"/>
        <w:spacing w:before="0" w:line="240" w:lineRule="atLeast"/>
        <w:contextualSpacing/>
      </w:pPr>
      <w:r>
        <w:t>Hoogachtend,</w:t>
      </w:r>
    </w:p>
    <w:p w:rsidR="00BC481F" w:rsidP="00202AA0" w:rsidRDefault="00BC481F" w14:paraId="0FD98779" w14:textId="77777777">
      <w:pPr>
        <w:spacing w:line="240" w:lineRule="atLeast"/>
        <w:rPr>
          <w:noProof/>
        </w:rPr>
      </w:pPr>
    </w:p>
    <w:p w:rsidR="00AD16E6" w:rsidP="00202AA0" w:rsidRDefault="00AD16E6" w14:paraId="73003D08" w14:textId="77777777">
      <w:pPr>
        <w:spacing w:line="276" w:lineRule="auto"/>
        <w:rPr>
          <w:kern w:val="2"/>
          <w:szCs w:val="18"/>
        </w:rPr>
      </w:pPr>
      <w:r>
        <w:rPr>
          <w:kern w:val="2"/>
          <w:szCs w:val="18"/>
        </w:rPr>
        <w:t>de minister van Volksgezondheid,</w:t>
      </w:r>
    </w:p>
    <w:p w:rsidR="00AD16E6" w:rsidP="00202AA0" w:rsidRDefault="00AD16E6" w14:paraId="6B3244A7" w14:textId="77777777">
      <w:pPr>
        <w:spacing w:line="276" w:lineRule="auto"/>
        <w:rPr>
          <w:kern w:val="2"/>
          <w:szCs w:val="18"/>
        </w:rPr>
      </w:pPr>
      <w:r>
        <w:rPr>
          <w:kern w:val="2"/>
          <w:szCs w:val="18"/>
        </w:rPr>
        <w:t>Welzijn en Sport,</w:t>
      </w:r>
    </w:p>
    <w:p w:rsidR="00AD16E6" w:rsidP="00202AA0" w:rsidRDefault="00AD16E6" w14:paraId="0280B87A" w14:textId="77777777">
      <w:pPr>
        <w:spacing w:line="276" w:lineRule="auto"/>
        <w:rPr>
          <w:kern w:val="2"/>
          <w:szCs w:val="18"/>
        </w:rPr>
      </w:pPr>
    </w:p>
    <w:p w:rsidR="00AD16E6" w:rsidP="00202AA0" w:rsidRDefault="00AD16E6" w14:paraId="1F31D2E6" w14:textId="77777777">
      <w:pPr>
        <w:spacing w:line="276" w:lineRule="auto"/>
        <w:rPr>
          <w:kern w:val="2"/>
          <w:szCs w:val="18"/>
        </w:rPr>
      </w:pPr>
    </w:p>
    <w:p w:rsidR="00AD16E6" w:rsidP="00202AA0" w:rsidRDefault="00AD16E6" w14:paraId="7338945C" w14:textId="77777777">
      <w:pPr>
        <w:spacing w:line="276" w:lineRule="auto"/>
        <w:rPr>
          <w:kern w:val="2"/>
          <w:szCs w:val="18"/>
        </w:rPr>
      </w:pPr>
    </w:p>
    <w:p w:rsidR="00202AA0" w:rsidP="00202AA0" w:rsidRDefault="00202AA0" w14:paraId="6E6C2FA5" w14:textId="77777777">
      <w:pPr>
        <w:spacing w:line="276" w:lineRule="auto"/>
        <w:rPr>
          <w:kern w:val="2"/>
          <w:szCs w:val="18"/>
        </w:rPr>
      </w:pPr>
    </w:p>
    <w:p w:rsidR="00AD16E6" w:rsidP="00202AA0" w:rsidRDefault="00AD16E6" w14:paraId="5CA07472" w14:textId="77777777">
      <w:pPr>
        <w:spacing w:line="276" w:lineRule="auto"/>
        <w:rPr>
          <w:kern w:val="2"/>
          <w:szCs w:val="18"/>
        </w:rPr>
      </w:pPr>
    </w:p>
    <w:p w:rsidR="00AD16E6" w:rsidP="00202AA0" w:rsidRDefault="00AD16E6" w14:paraId="12A03054" w14:textId="77777777">
      <w:pPr>
        <w:spacing w:line="276" w:lineRule="auto"/>
        <w:rPr>
          <w:kern w:val="2"/>
          <w:szCs w:val="18"/>
        </w:rPr>
      </w:pPr>
    </w:p>
    <w:p w:rsidR="00AD16E6" w:rsidP="00202AA0" w:rsidRDefault="00AD16E6" w14:paraId="266AC41C" w14:textId="77777777">
      <w:pPr>
        <w:spacing w:line="276" w:lineRule="auto"/>
        <w:rPr>
          <w:kern w:val="2"/>
          <w:szCs w:val="18"/>
        </w:rPr>
      </w:pPr>
      <w:r>
        <w:rPr>
          <w:kern w:val="2"/>
          <w:szCs w:val="18"/>
        </w:rPr>
        <w:t>Sophie Hermans</w:t>
      </w:r>
    </w:p>
    <w:p w:rsidR="00235AED" w:rsidP="00202AA0" w:rsidRDefault="00235AED" w14:paraId="12821569" w14:textId="6E412330">
      <w:pPr>
        <w:spacing w:line="240" w:lineRule="atLeast"/>
      </w:pPr>
    </w:p>
    <w:sectPr w:rsidR="00235AED" w:rsidSect="002558E0">
      <w:headerReference w:type="default" r:id="rId11"/>
      <w:headerReference w:type="first" r:id="rId12"/>
      <w:type w:val="continuous"/>
      <w:pgSz w:w="11905" w:h="16837"/>
      <w:pgMar w:top="3459"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52FC4" w14:textId="77777777" w:rsidR="00627E56" w:rsidRDefault="00627E56">
      <w:pPr>
        <w:spacing w:line="240" w:lineRule="auto"/>
      </w:pPr>
      <w:r>
        <w:separator/>
      </w:r>
    </w:p>
  </w:endnote>
  <w:endnote w:type="continuationSeparator" w:id="0">
    <w:p w14:paraId="3BFB7E59" w14:textId="77777777" w:rsidR="00627E56" w:rsidRDefault="00627E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00000000" w:usb1="5200FDFF" w:usb2="0A042021" w:usb3="00000000" w:csb0="000001BF" w:csb1="00000000"/>
  </w:font>
  <w:font w:name="Lohit Hindi">
    <w:altName w:val="Cambria"/>
    <w:charset w:val="00"/>
    <w:family w:val="auto"/>
    <w:pitch w:val="default"/>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DB8CE" w14:textId="66355878" w:rsidR="00DC7639" w:rsidRDefault="00B53068">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78BE1680" wp14:editId="5617B2DB">
              <wp:simplePos x="0" y="0"/>
              <wp:positionH relativeFrom="page">
                <wp:posOffset>5922645</wp:posOffset>
              </wp:positionH>
              <wp:positionV relativeFrom="page">
                <wp:posOffset>10225405</wp:posOffset>
              </wp:positionV>
              <wp:extent cx="1259840" cy="185420"/>
              <wp:effectExtent l="7620" t="5080" r="8890" b="9525"/>
              <wp:wrapNone/>
              <wp:docPr id="135964913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6DEB92E0" w14:textId="77777777" w:rsidR="00DC7639" w:rsidRDefault="00BA1CBD"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fldSimple w:instr=" NUMPAGES   \* MERGEFORMAT ">
                            <w:r w:rsidR="004509BE">
                              <w:rPr>
                                <w:noProof/>
                              </w:rPr>
                              <w:t>1</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BE1680"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6DEB92E0" w14:textId="77777777" w:rsidR="00DC7639" w:rsidRDefault="00BA1CBD"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fldSimple w:instr=" NUMPAGES   \* MERGEFORMAT ">
                      <w:r w:rsidR="004509BE">
                        <w:rPr>
                          <w:noProof/>
                        </w:rPr>
                        <w:t>1</w:t>
                      </w:r>
                    </w:fldSimple>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0EC16" w14:textId="77777777" w:rsidR="00627E56" w:rsidRDefault="00627E56">
      <w:pPr>
        <w:spacing w:line="240" w:lineRule="auto"/>
      </w:pPr>
      <w:r>
        <w:separator/>
      </w:r>
    </w:p>
  </w:footnote>
  <w:footnote w:type="continuationSeparator" w:id="0">
    <w:p w14:paraId="3E5179F1" w14:textId="77777777" w:rsidR="00627E56" w:rsidRDefault="00627E56">
      <w:pPr>
        <w:spacing w:line="240" w:lineRule="auto"/>
      </w:pPr>
      <w:r>
        <w:continuationSeparator/>
      </w:r>
    </w:p>
  </w:footnote>
  <w:footnote w:id="1">
    <w:p w14:paraId="737E28F4" w14:textId="22C0E0B5" w:rsidR="00BC5CDD" w:rsidRPr="00202AA0" w:rsidRDefault="00BC5CDD" w:rsidP="00BC5CDD">
      <w:pPr>
        <w:pStyle w:val="Voetnoottekst"/>
        <w:rPr>
          <w:sz w:val="16"/>
          <w:szCs w:val="16"/>
        </w:rPr>
      </w:pPr>
      <w:r w:rsidRPr="00202AA0">
        <w:rPr>
          <w:rStyle w:val="Voetnootmarkering"/>
          <w:sz w:val="16"/>
          <w:szCs w:val="16"/>
        </w:rPr>
        <w:footnoteRef/>
      </w:r>
      <w:r w:rsidRPr="00202AA0">
        <w:rPr>
          <w:sz w:val="16"/>
          <w:szCs w:val="16"/>
        </w:rPr>
        <w:t xml:space="preserve"> Kamerstuk</w:t>
      </w:r>
      <w:r w:rsidR="00BD42B9" w:rsidRPr="00202AA0">
        <w:rPr>
          <w:sz w:val="16"/>
          <w:szCs w:val="16"/>
        </w:rPr>
        <w:t xml:space="preserve"> II, vergaderjaar 2023-2024,</w:t>
      </w:r>
      <w:r w:rsidRPr="00202AA0">
        <w:rPr>
          <w:sz w:val="16"/>
          <w:szCs w:val="16"/>
        </w:rPr>
        <w:t xml:space="preserve"> 32772, nr. 37.</w:t>
      </w:r>
    </w:p>
  </w:footnote>
  <w:footnote w:id="2">
    <w:p w14:paraId="56F92BAB" w14:textId="32208B25" w:rsidR="00B813A0" w:rsidRPr="00202AA0" w:rsidRDefault="00B813A0">
      <w:pPr>
        <w:pStyle w:val="Voetnoottekst"/>
        <w:rPr>
          <w:sz w:val="16"/>
          <w:szCs w:val="16"/>
        </w:rPr>
      </w:pPr>
      <w:r w:rsidRPr="00202AA0">
        <w:rPr>
          <w:rStyle w:val="Voetnootmarkering"/>
          <w:sz w:val="16"/>
          <w:szCs w:val="16"/>
        </w:rPr>
        <w:footnoteRef/>
      </w:r>
      <w:r w:rsidRPr="00202AA0">
        <w:rPr>
          <w:sz w:val="16"/>
          <w:szCs w:val="16"/>
        </w:rPr>
        <w:t xml:space="preserve"> </w:t>
      </w:r>
      <w:hyperlink r:id="rId1" w:history="1">
        <w:r w:rsidRPr="00202AA0">
          <w:rPr>
            <w:rStyle w:val="Hyperlink"/>
            <w:sz w:val="16"/>
            <w:szCs w:val="16"/>
          </w:rPr>
          <w:t>Coronavirus tijdlijn | Rijksoverheid.nl</w:t>
        </w:r>
      </w:hyperlink>
    </w:p>
  </w:footnote>
  <w:footnote w:id="3">
    <w:p w14:paraId="5B886F02" w14:textId="5DFFD4E3" w:rsidR="006048A1" w:rsidRPr="00202AA0" w:rsidRDefault="006048A1">
      <w:pPr>
        <w:pStyle w:val="Voetnoottekst"/>
        <w:rPr>
          <w:sz w:val="16"/>
          <w:szCs w:val="16"/>
        </w:rPr>
      </w:pPr>
      <w:r w:rsidRPr="00202AA0">
        <w:rPr>
          <w:rStyle w:val="Voetnootmarkering"/>
          <w:sz w:val="16"/>
          <w:szCs w:val="16"/>
        </w:rPr>
        <w:footnoteRef/>
      </w:r>
      <w:r w:rsidRPr="00202AA0">
        <w:rPr>
          <w:sz w:val="16"/>
          <w:szCs w:val="16"/>
        </w:rPr>
        <w:t xml:space="preserve"> Kamerstuk 29477, nr. 969, 2 april 2026.</w:t>
      </w:r>
    </w:p>
  </w:footnote>
  <w:footnote w:id="4">
    <w:p w14:paraId="317BEC2A" w14:textId="280C3D85" w:rsidR="003D7B4D" w:rsidRPr="00202AA0" w:rsidRDefault="003D7B4D">
      <w:pPr>
        <w:pStyle w:val="Voetnoottekst"/>
        <w:rPr>
          <w:sz w:val="16"/>
          <w:szCs w:val="16"/>
        </w:rPr>
      </w:pPr>
      <w:r w:rsidRPr="00202AA0">
        <w:rPr>
          <w:rStyle w:val="Voetnootmarkering"/>
          <w:sz w:val="16"/>
          <w:szCs w:val="16"/>
        </w:rPr>
        <w:footnoteRef/>
      </w:r>
      <w:r w:rsidRPr="00202AA0">
        <w:rPr>
          <w:sz w:val="16"/>
          <w:szCs w:val="16"/>
        </w:rPr>
        <w:t xml:space="preserve"> </w:t>
      </w:r>
      <w:hyperlink r:id="rId2" w:history="1">
        <w:r w:rsidRPr="00202AA0">
          <w:rPr>
            <w:rStyle w:val="Hyperlink"/>
            <w:sz w:val="16"/>
            <w:szCs w:val="16"/>
          </w:rPr>
          <w:t>Infographic beleidscyclus</w:t>
        </w:r>
      </w:hyperlink>
      <w:r w:rsidRPr="00202AA0">
        <w:rPr>
          <w:sz w:val="16"/>
          <w:szCs w:val="16"/>
        </w:rPr>
        <w:t xml:space="preserve">; </w:t>
      </w:r>
      <w:hyperlink r:id="rId3" w:history="1">
        <w:r w:rsidRPr="00202AA0">
          <w:rPr>
            <w:rStyle w:val="Hyperlink"/>
            <w:sz w:val="16"/>
            <w:szCs w:val="16"/>
          </w:rPr>
          <w:t>Website beleidskompas</w:t>
        </w:r>
      </w:hyperlink>
      <w:r w:rsidR="009F1CB6" w:rsidRPr="00202AA0">
        <w:rPr>
          <w:sz w:val="16"/>
          <w:szCs w:val="16"/>
        </w:rPr>
        <w:t>.</w:t>
      </w:r>
    </w:p>
  </w:footnote>
  <w:footnote w:id="5">
    <w:p w14:paraId="5CB9C3F5" w14:textId="712EF62F" w:rsidR="009D4448" w:rsidRPr="00202AA0" w:rsidRDefault="009D4448">
      <w:pPr>
        <w:pStyle w:val="Voetnoottekst"/>
        <w:rPr>
          <w:sz w:val="16"/>
          <w:szCs w:val="16"/>
        </w:rPr>
      </w:pPr>
      <w:r w:rsidRPr="00202AA0">
        <w:rPr>
          <w:rStyle w:val="Voetnootmarkering"/>
          <w:sz w:val="16"/>
          <w:szCs w:val="16"/>
        </w:rPr>
        <w:footnoteRef/>
      </w:r>
      <w:r w:rsidRPr="00202AA0">
        <w:rPr>
          <w:sz w:val="16"/>
          <w:szCs w:val="16"/>
        </w:rPr>
        <w:t xml:space="preserve"> Over de voortgang van de aanpak van het </w:t>
      </w:r>
      <w:r w:rsidR="00816835" w:rsidRPr="00202AA0">
        <w:rPr>
          <w:sz w:val="16"/>
          <w:szCs w:val="16"/>
        </w:rPr>
        <w:t>k</w:t>
      </w:r>
      <w:r w:rsidRPr="00202AA0">
        <w:rPr>
          <w:sz w:val="16"/>
          <w:szCs w:val="16"/>
        </w:rPr>
        <w:t xml:space="preserve">abinet om de beschikbaarheid van geneesmiddelen te verbeteren is de Kamer onlangs, op </w:t>
      </w:r>
      <w:r w:rsidR="00BC26F0" w:rsidRPr="00202AA0">
        <w:rPr>
          <w:sz w:val="16"/>
          <w:szCs w:val="16"/>
        </w:rPr>
        <w:t>2 april 2026</w:t>
      </w:r>
      <w:r w:rsidRPr="00202AA0">
        <w:rPr>
          <w:sz w:val="16"/>
          <w:szCs w:val="16"/>
        </w:rPr>
        <w:t>, geïnformeerd (</w:t>
      </w:r>
      <w:r w:rsidR="00BC26F0" w:rsidRPr="00202AA0">
        <w:rPr>
          <w:sz w:val="16"/>
          <w:szCs w:val="16"/>
        </w:rPr>
        <w:t>Kamerstuk 29477, nr. 969</w:t>
      </w:r>
      <w:r w:rsidRPr="00202AA0">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3333C" w14:textId="27B34F24" w:rsidR="00CD5856" w:rsidRDefault="00202AA0">
    <w:pPr>
      <w:pStyle w:val="Koptekst"/>
    </w:pPr>
    <w:r>
      <w:rPr>
        <w:noProof/>
        <w:lang w:eastAsia="nl-NL" w:bidi="ar-SA"/>
      </w:rPr>
      <mc:AlternateContent>
        <mc:Choice Requires="wps">
          <w:drawing>
            <wp:anchor distT="0" distB="0" distL="114300" distR="114300" simplePos="0" relativeHeight="251657216" behindDoc="0" locked="0" layoutInCell="1" allowOverlap="1" wp14:anchorId="44936D02" wp14:editId="24EFD49F">
              <wp:simplePos x="0" y="0"/>
              <wp:positionH relativeFrom="margin">
                <wp:align>left</wp:align>
              </wp:positionH>
              <wp:positionV relativeFrom="page">
                <wp:posOffset>3768587</wp:posOffset>
              </wp:positionV>
              <wp:extent cx="4815012" cy="771525"/>
              <wp:effectExtent l="0" t="0" r="24130" b="10160"/>
              <wp:wrapNone/>
              <wp:docPr id="46278139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5012" cy="771525"/>
                      </a:xfrm>
                      <a:prstGeom prst="rect">
                        <a:avLst/>
                      </a:prstGeom>
                      <a:solidFill>
                        <a:srgbClr val="FFFFFF"/>
                      </a:solidFill>
                      <a:ln w="9525">
                        <a:solidFill>
                          <a:srgbClr val="FFFFFF"/>
                        </a:solidFill>
                        <a:miter lim="800000"/>
                        <a:headEnd/>
                        <a:tailEnd/>
                      </a:ln>
                    </wps:spPr>
                    <wps:txbx>
                      <w:txbxContent>
                        <w:p w14:paraId="3AC4FB56" w14:textId="30A96803" w:rsidR="00CD5856" w:rsidRDefault="00BA1CBD">
                          <w:pPr>
                            <w:pStyle w:val="Huisstijl-Datumenbetreft"/>
                            <w:tabs>
                              <w:tab w:val="clear" w:pos="737"/>
                              <w:tab w:val="left" w:pos="-5954"/>
                              <w:tab w:val="left" w:pos="-5670"/>
                              <w:tab w:val="left" w:pos="1134"/>
                            </w:tabs>
                          </w:pPr>
                          <w:r>
                            <w:t>Datum</w:t>
                          </w:r>
                          <w:r w:rsidR="00E1490C">
                            <w:tab/>
                          </w:r>
                          <w:r w:rsidR="004E46E7">
                            <w:t>10 april 2026</w:t>
                          </w:r>
                        </w:p>
                        <w:p w14:paraId="31EAF3A6" w14:textId="4C82663B" w:rsidR="00CD5856" w:rsidRDefault="00BA1CBD" w:rsidP="0057477E">
                          <w:pPr>
                            <w:pStyle w:val="Huisstijl-Datumenbetreft"/>
                            <w:tabs>
                              <w:tab w:val="clear" w:pos="737"/>
                              <w:tab w:val="left" w:pos="-5954"/>
                              <w:tab w:val="left" w:pos="-5670"/>
                              <w:tab w:val="left" w:pos="1134"/>
                            </w:tabs>
                            <w:ind w:left="1134" w:hanging="1134"/>
                          </w:pPr>
                          <w:r>
                            <w:t>Betreft</w:t>
                          </w:r>
                          <w:r w:rsidR="00E1490C">
                            <w:tab/>
                          </w:r>
                          <w:r w:rsidR="00CB1E87">
                            <w:t>K</w:t>
                          </w:r>
                          <w:r w:rsidR="00153DAE">
                            <w:t>abinet</w:t>
                          </w:r>
                          <w:r w:rsidR="00A10DB8">
                            <w:t>sreactie</w:t>
                          </w:r>
                          <w:r w:rsidR="0057477E">
                            <w:t xml:space="preserve"> </w:t>
                          </w:r>
                          <w:r w:rsidR="00BC5CDD">
                            <w:t>“Beschikbaarheid in Perspectief,” p</w:t>
                          </w:r>
                          <w:r w:rsidR="0057477E">
                            <w:t xml:space="preserve">eriodieke rapportage </w:t>
                          </w:r>
                          <w:r w:rsidR="00BC5CDD">
                            <w:t>b</w:t>
                          </w:r>
                          <w:r w:rsidR="0057477E">
                            <w:t>eschikbaarheid medische producten 2017 t/m 2023</w:t>
                          </w:r>
                        </w:p>
                        <w:p w14:paraId="1D92063E"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4936D02" id="_x0000_t202" coordsize="21600,21600" o:spt="202" path="m,l,21600r21600,l21600,xe">
              <v:stroke joinstyle="miter"/>
              <v:path gradientshapeok="t" o:connecttype="rect"/>
            </v:shapetype>
            <v:shape id="Text Box 29" o:spid="_x0000_s1026" type="#_x0000_t202" style="position:absolute;margin-left:0;margin-top:296.75pt;width:379.15pt;height:60.7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" strokecolor="white">
              <v:textbox style="mso-fit-shape-to-text:t" inset="0,0,0,0">
                <w:txbxContent>
                  <w:p w14:paraId="3AC4FB56" w14:textId="30A96803" w:rsidR="00CD5856" w:rsidRDefault="00BA1CBD">
                    <w:pPr>
                      <w:pStyle w:val="Huisstijl-Datumenbetreft"/>
                      <w:tabs>
                        <w:tab w:val="clear" w:pos="737"/>
                        <w:tab w:val="left" w:pos="-5954"/>
                        <w:tab w:val="left" w:pos="-5670"/>
                        <w:tab w:val="left" w:pos="1134"/>
                      </w:tabs>
                    </w:pPr>
                    <w:r>
                      <w:t>Datum</w:t>
                    </w:r>
                    <w:r w:rsidR="00E1490C">
                      <w:tab/>
                    </w:r>
                    <w:r w:rsidR="004E46E7">
                      <w:t>10 april 2026</w:t>
                    </w:r>
                  </w:p>
                  <w:p w14:paraId="31EAF3A6" w14:textId="4C82663B" w:rsidR="00CD5856" w:rsidRDefault="00BA1CBD" w:rsidP="0057477E">
                    <w:pPr>
                      <w:pStyle w:val="Huisstijl-Datumenbetreft"/>
                      <w:tabs>
                        <w:tab w:val="clear" w:pos="737"/>
                        <w:tab w:val="left" w:pos="-5954"/>
                        <w:tab w:val="left" w:pos="-5670"/>
                        <w:tab w:val="left" w:pos="1134"/>
                      </w:tabs>
                      <w:ind w:left="1134" w:hanging="1134"/>
                    </w:pPr>
                    <w:r>
                      <w:t>Betreft</w:t>
                    </w:r>
                    <w:r w:rsidR="00E1490C">
                      <w:tab/>
                    </w:r>
                    <w:r w:rsidR="00CB1E87">
                      <w:t>K</w:t>
                    </w:r>
                    <w:r w:rsidR="00153DAE">
                      <w:t>abinet</w:t>
                    </w:r>
                    <w:r w:rsidR="00A10DB8">
                      <w:t>sreactie</w:t>
                    </w:r>
                    <w:r w:rsidR="0057477E">
                      <w:t xml:space="preserve"> </w:t>
                    </w:r>
                    <w:r w:rsidR="00BC5CDD">
                      <w:t>“Beschikbaarheid in Perspectief,” p</w:t>
                    </w:r>
                    <w:r w:rsidR="0057477E">
                      <w:t xml:space="preserve">eriodieke rapportage </w:t>
                    </w:r>
                    <w:r w:rsidR="00BC5CDD">
                      <w:t>b</w:t>
                    </w:r>
                    <w:r w:rsidR="0057477E">
                      <w:t>eschikbaarheid medische producten 2017 t/m 2023</w:t>
                    </w:r>
                  </w:p>
                  <w:p w14:paraId="1D92063E" w14:textId="77777777" w:rsidR="00CD5856" w:rsidRDefault="00CD5856">
                    <w:pPr>
                      <w:pStyle w:val="Huisstijl-Datumenbetreft"/>
                      <w:tabs>
                        <w:tab w:val="left" w:pos="-5954"/>
                        <w:tab w:val="left" w:pos="-5670"/>
                      </w:tabs>
                    </w:pPr>
                  </w:p>
                </w:txbxContent>
              </v:textbox>
              <w10:wrap anchorx="margin" anchory="page"/>
            </v:shape>
          </w:pict>
        </mc:Fallback>
      </mc:AlternateContent>
    </w:r>
    <w:r w:rsidR="00BA1CBD">
      <w:rPr>
        <w:noProof/>
        <w:lang w:eastAsia="nl-NL" w:bidi="ar-SA"/>
      </w:rPr>
      <w:drawing>
        <wp:anchor distT="0" distB="0" distL="114300" distR="114300" simplePos="0" relativeHeight="251652096" behindDoc="1" locked="0" layoutInCell="1" allowOverlap="1" wp14:anchorId="23B5E446" wp14:editId="1403286D">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BA1CBD">
      <w:rPr>
        <w:noProof/>
        <w:lang w:eastAsia="nl-NL" w:bidi="ar-SA"/>
      </w:rPr>
      <w:drawing>
        <wp:anchor distT="0" distB="0" distL="114300" distR="114300" simplePos="0" relativeHeight="251651072" behindDoc="0" locked="0" layoutInCell="1" allowOverlap="1" wp14:anchorId="58328CA7" wp14:editId="7EDDB2C4">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B53068">
      <w:rPr>
        <w:noProof/>
        <w:lang w:eastAsia="nl-NL" w:bidi="ar-SA"/>
      </w:rPr>
      <mc:AlternateContent>
        <mc:Choice Requires="wps">
          <w:drawing>
            <wp:anchor distT="0" distB="0" distL="114300" distR="114300" simplePos="0" relativeHeight="251658240" behindDoc="0" locked="0" layoutInCell="1" allowOverlap="1" wp14:anchorId="1C96143F" wp14:editId="5DB9A92A">
              <wp:simplePos x="0" y="0"/>
              <wp:positionH relativeFrom="page">
                <wp:posOffset>5922645</wp:posOffset>
              </wp:positionH>
              <wp:positionV relativeFrom="page">
                <wp:posOffset>1965960</wp:posOffset>
              </wp:positionV>
              <wp:extent cx="1259840" cy="8009890"/>
              <wp:effectExtent l="7620" t="13335" r="8890" b="6350"/>
              <wp:wrapNone/>
              <wp:docPr id="83150264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EA661AE" w14:textId="77777777" w:rsidR="00CD5856" w:rsidRDefault="00BA1CBD" w:rsidP="00BD2DF1">
                          <w:pPr>
                            <w:pStyle w:val="Huisstijl-AfzendgegevensW1"/>
                            <w:spacing w:before="0" w:line="180" w:lineRule="atLeast"/>
                            <w:contextualSpacing/>
                          </w:pPr>
                          <w:r>
                            <w:t>Bezoekadres</w:t>
                          </w:r>
                        </w:p>
                        <w:p w14:paraId="5FFE268F" w14:textId="77777777" w:rsidR="00CD5856" w:rsidRDefault="00BA1CBD" w:rsidP="00BD2DF1">
                          <w:pPr>
                            <w:pStyle w:val="Huisstijl-Afzendgegevens"/>
                            <w:spacing w:line="180" w:lineRule="atLeast"/>
                            <w:contextualSpacing/>
                          </w:pPr>
                          <w:r>
                            <w:t>Parnassusplein 5</w:t>
                          </w:r>
                        </w:p>
                        <w:p w14:paraId="341A2E71" w14:textId="77777777" w:rsidR="00CD5856" w:rsidRDefault="00BA1CBD" w:rsidP="00BD2DF1">
                          <w:pPr>
                            <w:pStyle w:val="Huisstijl-Afzendgegevens"/>
                            <w:spacing w:line="180" w:lineRule="atLeast"/>
                            <w:contextualSpacing/>
                          </w:pPr>
                          <w:r>
                            <w:t>2511</w:t>
                          </w:r>
                          <w:r w:rsidR="008D59C5" w:rsidRPr="008D59C5">
                            <w:t xml:space="preserve"> </w:t>
                          </w:r>
                          <w:r>
                            <w:t>VX</w:t>
                          </w:r>
                          <w:r w:rsidR="00E1490C">
                            <w:t xml:space="preserve">  </w:t>
                          </w:r>
                          <w:r w:rsidR="008D59C5" w:rsidRPr="008D59C5">
                            <w:t>Den Haag</w:t>
                          </w:r>
                        </w:p>
                        <w:p w14:paraId="6B746D81" w14:textId="0E1CD09C" w:rsidR="00CD5856" w:rsidRDefault="00BD2DF1" w:rsidP="00BD2DF1">
                          <w:pPr>
                            <w:pStyle w:val="Huisstijl-Afzendgegevens"/>
                            <w:spacing w:line="180" w:lineRule="atLeast"/>
                            <w:contextualSpacing/>
                          </w:pPr>
                          <w:r w:rsidRPr="00BD2DF1">
                            <w:t>www.rijksoverheid.nl</w:t>
                          </w:r>
                          <w:r>
                            <w:br/>
                          </w:r>
                        </w:p>
                        <w:p w14:paraId="17BAAD48" w14:textId="77777777" w:rsidR="00202AA0" w:rsidRDefault="00202AA0" w:rsidP="00BD2DF1">
                          <w:pPr>
                            <w:pStyle w:val="Huisstijl-Afzendgegevens"/>
                            <w:spacing w:line="180" w:lineRule="atLeast"/>
                            <w:contextualSpacing/>
                          </w:pPr>
                        </w:p>
                        <w:p w14:paraId="747262F0" w14:textId="77777777" w:rsidR="00202AA0" w:rsidRDefault="00202AA0" w:rsidP="00BD2DF1">
                          <w:pPr>
                            <w:pStyle w:val="Huisstijl-Afzendgegevens"/>
                            <w:spacing w:line="180" w:lineRule="atLeast"/>
                            <w:contextualSpacing/>
                          </w:pPr>
                        </w:p>
                        <w:p w14:paraId="3AB9291E" w14:textId="77777777" w:rsidR="00202AA0" w:rsidRDefault="00202AA0" w:rsidP="00BD2DF1">
                          <w:pPr>
                            <w:pStyle w:val="Huisstijl-Afzendgegevens"/>
                            <w:spacing w:line="180" w:lineRule="atLeast"/>
                            <w:contextualSpacing/>
                          </w:pPr>
                        </w:p>
                        <w:p w14:paraId="6C99E080" w14:textId="77777777" w:rsidR="00CD5856" w:rsidRDefault="00BA1CBD" w:rsidP="00BD2DF1">
                          <w:pPr>
                            <w:pStyle w:val="Huisstijl-ReferentiegegevenskopW2"/>
                            <w:spacing w:before="0" w:line="180" w:lineRule="atLeast"/>
                            <w:contextualSpacing/>
                          </w:pPr>
                          <w:r w:rsidRPr="008D59C5">
                            <w:t>Kenmerk</w:t>
                          </w:r>
                        </w:p>
                        <w:p w14:paraId="66468B67" w14:textId="424A162D" w:rsidR="00CD5856" w:rsidRDefault="00CD6A8A" w:rsidP="00BD2DF1">
                          <w:pPr>
                            <w:pStyle w:val="Huisstijl-Referentiegegevens"/>
                            <w:spacing w:line="180" w:lineRule="atLeast"/>
                            <w:contextualSpacing/>
                          </w:pPr>
                          <w:bookmarkStart w:id="0" w:name="_Hlk117784077"/>
                          <w:r w:rsidRPr="00CD6A8A">
                            <w:t>4317797-1091885-GMT</w:t>
                          </w:r>
                          <w:r w:rsidR="00BD2DF1">
                            <w:br/>
                          </w:r>
                        </w:p>
                        <w:bookmarkEnd w:id="0"/>
                        <w:p w14:paraId="3B5EE6D4" w14:textId="77777777" w:rsidR="00CD5856" w:rsidRPr="002B504F" w:rsidRDefault="00BA1CBD" w:rsidP="00BD2DF1">
                          <w:pPr>
                            <w:pStyle w:val="Huisstijl-ReferentiegegevenskopW1"/>
                            <w:spacing w:before="0" w:line="180" w:lineRule="atLeast"/>
                            <w:contextualSpacing/>
                          </w:pPr>
                          <w:r w:rsidRPr="008D59C5">
                            <w:t>Bijlage(n)</w:t>
                          </w:r>
                        </w:p>
                        <w:p w14:paraId="1A1F84DB" w14:textId="3F032261" w:rsidR="00BD2DF1" w:rsidRDefault="00202AA0" w:rsidP="00BD2DF1">
                          <w:pPr>
                            <w:pStyle w:val="Huisstijl-Referentiegegevens"/>
                            <w:spacing w:line="180" w:lineRule="atLeast"/>
                            <w:contextualSpacing/>
                          </w:pPr>
                          <w:r>
                            <w:t>4</w:t>
                          </w:r>
                        </w:p>
                        <w:p w14:paraId="099ED688" w14:textId="77777777" w:rsidR="00202AA0" w:rsidRDefault="00202AA0" w:rsidP="00BD2DF1">
                          <w:pPr>
                            <w:pStyle w:val="Huisstijl-Referentiegegevens"/>
                            <w:spacing w:line="180" w:lineRule="atLeast"/>
                            <w:contextualSpacing/>
                          </w:pPr>
                        </w:p>
                        <w:p w14:paraId="133EBEE3" w14:textId="77777777" w:rsidR="00202AA0" w:rsidRDefault="00202AA0" w:rsidP="00BD2DF1">
                          <w:pPr>
                            <w:pStyle w:val="Huisstijl-Referentiegegevens"/>
                            <w:spacing w:line="180" w:lineRule="atLeast"/>
                            <w:contextualSpacing/>
                          </w:pPr>
                        </w:p>
                        <w:p w14:paraId="24DF9922" w14:textId="77777777" w:rsidR="00CD5856" w:rsidRDefault="00BA1CBD" w:rsidP="00BD2DF1">
                          <w:pPr>
                            <w:pStyle w:val="Huisstijl-Algemenevoorwaarden"/>
                            <w:spacing w:before="0" w:line="180" w:lineRule="atLeast"/>
                            <w:contextualSpacing/>
                          </w:pPr>
                          <w:r>
                            <w:t>Correspondentie uitsluitend richten aan het retouradres met vermelding van de datum en het kenmerk van deze brief.</w:t>
                          </w:r>
                        </w:p>
                        <w:p w14:paraId="31027403"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96143F" id="Text Box 30" o:spid="_x0000_s1027"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" strokecolor="white">
              <v:textbox inset="0,0,0,0">
                <w:txbxContent>
                  <w:p w14:paraId="4EA661AE" w14:textId="77777777" w:rsidR="00CD5856" w:rsidRDefault="00BA1CBD" w:rsidP="00BD2DF1">
                    <w:pPr>
                      <w:pStyle w:val="Huisstijl-AfzendgegevensW1"/>
                      <w:spacing w:before="0" w:line="180" w:lineRule="atLeast"/>
                      <w:contextualSpacing/>
                    </w:pPr>
                    <w:r>
                      <w:t>Bezoekadres</w:t>
                    </w:r>
                  </w:p>
                  <w:p w14:paraId="5FFE268F" w14:textId="77777777" w:rsidR="00CD5856" w:rsidRDefault="00BA1CBD" w:rsidP="00BD2DF1">
                    <w:pPr>
                      <w:pStyle w:val="Huisstijl-Afzendgegevens"/>
                      <w:spacing w:line="180" w:lineRule="atLeast"/>
                      <w:contextualSpacing/>
                    </w:pPr>
                    <w:r>
                      <w:t>Parnassusplein 5</w:t>
                    </w:r>
                  </w:p>
                  <w:p w14:paraId="341A2E71" w14:textId="77777777" w:rsidR="00CD5856" w:rsidRDefault="00BA1CBD" w:rsidP="00BD2DF1">
                    <w:pPr>
                      <w:pStyle w:val="Huisstijl-Afzendgegevens"/>
                      <w:spacing w:line="180" w:lineRule="atLeast"/>
                      <w:contextualSpacing/>
                    </w:pPr>
                    <w:r>
                      <w:t>2511</w:t>
                    </w:r>
                    <w:r w:rsidR="008D59C5" w:rsidRPr="008D59C5">
                      <w:t xml:space="preserve"> </w:t>
                    </w:r>
                    <w:r>
                      <w:t>VX</w:t>
                    </w:r>
                    <w:r w:rsidR="00E1490C">
                      <w:t xml:space="preserve">  </w:t>
                    </w:r>
                    <w:r w:rsidR="008D59C5" w:rsidRPr="008D59C5">
                      <w:t>Den Haag</w:t>
                    </w:r>
                  </w:p>
                  <w:p w14:paraId="6B746D81" w14:textId="0E1CD09C" w:rsidR="00CD5856" w:rsidRDefault="00BD2DF1" w:rsidP="00BD2DF1">
                    <w:pPr>
                      <w:pStyle w:val="Huisstijl-Afzendgegevens"/>
                      <w:spacing w:line="180" w:lineRule="atLeast"/>
                      <w:contextualSpacing/>
                    </w:pPr>
                    <w:r w:rsidRPr="00BD2DF1">
                      <w:t>www.rijksoverheid.nl</w:t>
                    </w:r>
                    <w:r>
                      <w:br/>
                    </w:r>
                  </w:p>
                  <w:p w14:paraId="17BAAD48" w14:textId="77777777" w:rsidR="00202AA0" w:rsidRDefault="00202AA0" w:rsidP="00BD2DF1">
                    <w:pPr>
                      <w:pStyle w:val="Huisstijl-Afzendgegevens"/>
                      <w:spacing w:line="180" w:lineRule="atLeast"/>
                      <w:contextualSpacing/>
                    </w:pPr>
                  </w:p>
                  <w:p w14:paraId="747262F0" w14:textId="77777777" w:rsidR="00202AA0" w:rsidRDefault="00202AA0" w:rsidP="00BD2DF1">
                    <w:pPr>
                      <w:pStyle w:val="Huisstijl-Afzendgegevens"/>
                      <w:spacing w:line="180" w:lineRule="atLeast"/>
                      <w:contextualSpacing/>
                    </w:pPr>
                  </w:p>
                  <w:p w14:paraId="3AB9291E" w14:textId="77777777" w:rsidR="00202AA0" w:rsidRDefault="00202AA0" w:rsidP="00BD2DF1">
                    <w:pPr>
                      <w:pStyle w:val="Huisstijl-Afzendgegevens"/>
                      <w:spacing w:line="180" w:lineRule="atLeast"/>
                      <w:contextualSpacing/>
                    </w:pPr>
                  </w:p>
                  <w:p w14:paraId="6C99E080" w14:textId="77777777" w:rsidR="00CD5856" w:rsidRDefault="00BA1CBD" w:rsidP="00BD2DF1">
                    <w:pPr>
                      <w:pStyle w:val="Huisstijl-ReferentiegegevenskopW2"/>
                      <w:spacing w:before="0" w:line="180" w:lineRule="atLeast"/>
                      <w:contextualSpacing/>
                    </w:pPr>
                    <w:r w:rsidRPr="008D59C5">
                      <w:t>Kenmerk</w:t>
                    </w:r>
                  </w:p>
                  <w:p w14:paraId="66468B67" w14:textId="424A162D" w:rsidR="00CD5856" w:rsidRDefault="00CD6A8A" w:rsidP="00BD2DF1">
                    <w:pPr>
                      <w:pStyle w:val="Huisstijl-Referentiegegevens"/>
                      <w:spacing w:line="180" w:lineRule="atLeast"/>
                      <w:contextualSpacing/>
                    </w:pPr>
                    <w:bookmarkStart w:id="1" w:name="_Hlk117784077"/>
                    <w:r w:rsidRPr="00CD6A8A">
                      <w:t>4317797-1091885-GMT</w:t>
                    </w:r>
                    <w:r w:rsidR="00BD2DF1">
                      <w:br/>
                    </w:r>
                  </w:p>
                  <w:bookmarkEnd w:id="1"/>
                  <w:p w14:paraId="3B5EE6D4" w14:textId="77777777" w:rsidR="00CD5856" w:rsidRPr="002B504F" w:rsidRDefault="00BA1CBD" w:rsidP="00BD2DF1">
                    <w:pPr>
                      <w:pStyle w:val="Huisstijl-ReferentiegegevenskopW1"/>
                      <w:spacing w:before="0" w:line="180" w:lineRule="atLeast"/>
                      <w:contextualSpacing/>
                    </w:pPr>
                    <w:r w:rsidRPr="008D59C5">
                      <w:t>Bijlage(n)</w:t>
                    </w:r>
                  </w:p>
                  <w:p w14:paraId="1A1F84DB" w14:textId="3F032261" w:rsidR="00BD2DF1" w:rsidRDefault="00202AA0" w:rsidP="00BD2DF1">
                    <w:pPr>
                      <w:pStyle w:val="Huisstijl-Referentiegegevens"/>
                      <w:spacing w:line="180" w:lineRule="atLeast"/>
                      <w:contextualSpacing/>
                    </w:pPr>
                    <w:r>
                      <w:t>4</w:t>
                    </w:r>
                  </w:p>
                  <w:p w14:paraId="099ED688" w14:textId="77777777" w:rsidR="00202AA0" w:rsidRDefault="00202AA0" w:rsidP="00BD2DF1">
                    <w:pPr>
                      <w:pStyle w:val="Huisstijl-Referentiegegevens"/>
                      <w:spacing w:line="180" w:lineRule="atLeast"/>
                      <w:contextualSpacing/>
                    </w:pPr>
                  </w:p>
                  <w:p w14:paraId="133EBEE3" w14:textId="77777777" w:rsidR="00202AA0" w:rsidRDefault="00202AA0" w:rsidP="00BD2DF1">
                    <w:pPr>
                      <w:pStyle w:val="Huisstijl-Referentiegegevens"/>
                      <w:spacing w:line="180" w:lineRule="atLeast"/>
                      <w:contextualSpacing/>
                    </w:pPr>
                  </w:p>
                  <w:p w14:paraId="24DF9922" w14:textId="77777777" w:rsidR="00CD5856" w:rsidRDefault="00BA1CBD" w:rsidP="00BD2DF1">
                    <w:pPr>
                      <w:pStyle w:val="Huisstijl-Algemenevoorwaarden"/>
                      <w:spacing w:before="0" w:line="180" w:lineRule="atLeast"/>
                      <w:contextualSpacing/>
                    </w:pPr>
                    <w:r>
                      <w:t>Correspondentie uitsluitend richten aan het retouradres met vermelding van de datum en het kenmerk van deze brief.</w:t>
                    </w:r>
                  </w:p>
                  <w:p w14:paraId="31027403" w14:textId="77777777" w:rsidR="00CD5856" w:rsidRDefault="00CD5856"/>
                </w:txbxContent>
              </v:textbox>
              <w10:wrap anchorx="page" anchory="page"/>
            </v:shape>
          </w:pict>
        </mc:Fallback>
      </mc:AlternateContent>
    </w:r>
    <w:r w:rsidR="00B53068">
      <w:rPr>
        <w:noProof/>
        <w:lang w:eastAsia="nl-NL" w:bidi="ar-SA"/>
      </w:rPr>
      <mc:AlternateContent>
        <mc:Choice Requires="wps">
          <w:drawing>
            <wp:anchor distT="0" distB="0" distL="114300" distR="114300" simplePos="0" relativeHeight="251656192" behindDoc="0" locked="0" layoutInCell="1" allowOverlap="1" wp14:anchorId="66C9C170" wp14:editId="1A734F74">
              <wp:simplePos x="0" y="0"/>
              <wp:positionH relativeFrom="page">
                <wp:posOffset>1008380</wp:posOffset>
              </wp:positionH>
              <wp:positionV relativeFrom="page">
                <wp:posOffset>3384550</wp:posOffset>
              </wp:positionV>
              <wp:extent cx="4104005" cy="179705"/>
              <wp:effectExtent l="8255" t="12700" r="12065" b="7620"/>
              <wp:wrapNone/>
              <wp:docPr id="85165371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369EE47E"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C9C170"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369EE47E" w14:textId="77777777" w:rsidR="00CD5856" w:rsidRDefault="00CD5856">
                    <w:pPr>
                      <w:pStyle w:val="Huisstijl-Toezendgegevens"/>
                    </w:pPr>
                  </w:p>
                </w:txbxContent>
              </v:textbox>
              <w10:wrap anchorx="page" anchory="page"/>
            </v:shape>
          </w:pict>
        </mc:Fallback>
      </mc:AlternateContent>
    </w:r>
    <w:r w:rsidR="00B53068">
      <w:rPr>
        <w:noProof/>
        <w:lang w:eastAsia="nl-NL" w:bidi="ar-SA"/>
      </w:rPr>
      <mc:AlternateContent>
        <mc:Choice Requires="wps">
          <w:drawing>
            <wp:anchor distT="0" distB="0" distL="114300" distR="114300" simplePos="0" relativeHeight="251655168" behindDoc="0" locked="0" layoutInCell="1" allowOverlap="1" wp14:anchorId="650ECC1D" wp14:editId="2E48127B">
              <wp:simplePos x="0" y="0"/>
              <wp:positionH relativeFrom="page">
                <wp:posOffset>1008380</wp:posOffset>
              </wp:positionH>
              <wp:positionV relativeFrom="page">
                <wp:posOffset>1944370</wp:posOffset>
              </wp:positionV>
              <wp:extent cx="3347720" cy="1080135"/>
              <wp:effectExtent l="8255" t="10795" r="6350" b="13970"/>
              <wp:wrapNone/>
              <wp:docPr id="142480285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74D655FE" w14:textId="77777777" w:rsidR="00CD5856" w:rsidRDefault="00BA1CBD">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0ECC1D"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74D655FE" w14:textId="77777777" w:rsidR="00CD5856" w:rsidRDefault="00BA1CBD">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B53068">
      <w:rPr>
        <w:noProof/>
        <w:lang w:eastAsia="nl-NL" w:bidi="ar-SA"/>
      </w:rPr>
      <mc:AlternateContent>
        <mc:Choice Requires="wps">
          <w:drawing>
            <wp:anchor distT="0" distB="0" distL="114300" distR="114300" simplePos="0" relativeHeight="251654144" behindDoc="0" locked="1" layoutInCell="1" allowOverlap="1" wp14:anchorId="03B959FE" wp14:editId="7B41BD59">
              <wp:simplePos x="0" y="0"/>
              <wp:positionH relativeFrom="page">
                <wp:posOffset>1008380</wp:posOffset>
              </wp:positionH>
              <wp:positionV relativeFrom="page">
                <wp:posOffset>1713865</wp:posOffset>
              </wp:positionV>
              <wp:extent cx="3590925" cy="144145"/>
              <wp:effectExtent l="8255" t="8890" r="10795" b="8890"/>
              <wp:wrapNone/>
              <wp:docPr id="2081772523"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75BF3F82" w14:textId="77777777" w:rsidR="00CD5856" w:rsidRDefault="00BA1CBD">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B959FE"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75BF3F82" w14:textId="77777777" w:rsidR="00CD5856" w:rsidRDefault="00BA1CBD">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42D8E" w14:textId="74AD68A0" w:rsidR="00CD5856" w:rsidRDefault="00B53068">
    <w:pPr>
      <w:pStyle w:val="Koptekst"/>
    </w:pPr>
    <w:r>
      <w:rPr>
        <w:noProof/>
        <w:lang w:eastAsia="nl-NL" w:bidi="ar-SA"/>
      </w:rPr>
      <mc:AlternateContent>
        <mc:Choice Requires="wps">
          <w:drawing>
            <wp:anchor distT="0" distB="0" distL="114300" distR="114300" simplePos="0" relativeHeight="251659264" behindDoc="0" locked="0" layoutInCell="1" allowOverlap="1" wp14:anchorId="2F72134E" wp14:editId="3EC8F894">
              <wp:simplePos x="0" y="0"/>
              <wp:positionH relativeFrom="page">
                <wp:posOffset>5914960</wp:posOffset>
              </wp:positionH>
              <wp:positionV relativeFrom="margin">
                <wp:align>top</wp:align>
              </wp:positionV>
              <wp:extent cx="1259840" cy="8009890"/>
              <wp:effectExtent l="0" t="0" r="16510" b="10160"/>
              <wp:wrapNone/>
              <wp:docPr id="15524715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906091A" w14:textId="77777777" w:rsidR="00CD5856" w:rsidRDefault="00BA1CBD" w:rsidP="002558E0">
                          <w:pPr>
                            <w:pStyle w:val="Huisstijl-ReferentiegegevenskopW2"/>
                            <w:spacing w:before="0"/>
                          </w:pPr>
                          <w:r w:rsidRPr="008D59C5">
                            <w:t>Kenmerk</w:t>
                          </w:r>
                        </w:p>
                        <w:p w14:paraId="4797EC3C" w14:textId="77777777" w:rsidR="00C95CA9" w:rsidRPr="00C95CA9" w:rsidRDefault="00BA1CBD" w:rsidP="002558E0">
                          <w:pPr>
                            <w:pStyle w:val="Huisstijl-Referentiegegevens"/>
                          </w:pPr>
                          <w:r w:rsidRPr="00C95CA9">
                            <w:t>4317797-1091885-GMT</w:t>
                          </w:r>
                        </w:p>
                        <w:p w14:paraId="2A4E8B35"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72134E" id="_x0000_t202" coordsize="21600,21600" o:spt="202" path="m,l,21600r21600,l21600,xe">
              <v:stroke joinstyle="miter"/>
              <v:path gradientshapeok="t" o:connecttype="rect"/>
            </v:shapetype>
            <v:shape id="Text Box 5" o:spid="_x0000_s1032" type="#_x0000_t202" style="position:absolute;margin-left:465.75pt;margin-top:0;width:99.2pt;height:630.7pt;z-index:251659264;visibility:visible;mso-wrap-style:squar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" strokecolor="white">
              <v:textbox inset="0,0,0,0">
                <w:txbxContent>
                  <w:p w14:paraId="0906091A" w14:textId="77777777" w:rsidR="00CD5856" w:rsidRDefault="00BA1CBD" w:rsidP="002558E0">
                    <w:pPr>
                      <w:pStyle w:val="Huisstijl-ReferentiegegevenskopW2"/>
                      <w:spacing w:before="0"/>
                    </w:pPr>
                    <w:r w:rsidRPr="008D59C5">
                      <w:t>Kenmerk</w:t>
                    </w:r>
                  </w:p>
                  <w:p w14:paraId="4797EC3C" w14:textId="77777777" w:rsidR="00C95CA9" w:rsidRPr="00C95CA9" w:rsidRDefault="00BA1CBD" w:rsidP="002558E0">
                    <w:pPr>
                      <w:pStyle w:val="Huisstijl-Referentiegegevens"/>
                    </w:pPr>
                    <w:r w:rsidRPr="00C95CA9">
                      <w:t>4317797-1091885-GMT</w:t>
                    </w:r>
                  </w:p>
                  <w:p w14:paraId="2A4E8B35" w14:textId="77777777" w:rsidR="00CD5856" w:rsidRDefault="00CD5856">
                    <w:pPr>
                      <w:pStyle w:val="Huisstijl-Referentiegegevens"/>
                    </w:pPr>
                  </w:p>
                </w:txbxContent>
              </v:textbox>
              <w10:wrap anchorx="page" anchory="margin"/>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465B52E7" wp14:editId="4D4C027D">
              <wp:simplePos x="0" y="0"/>
              <wp:positionH relativeFrom="page">
                <wp:posOffset>5922645</wp:posOffset>
              </wp:positionH>
              <wp:positionV relativeFrom="page">
                <wp:posOffset>10225405</wp:posOffset>
              </wp:positionV>
              <wp:extent cx="1259840" cy="213995"/>
              <wp:effectExtent l="7620" t="5080" r="8890" b="9525"/>
              <wp:wrapNone/>
              <wp:docPr id="712178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7032B616" w14:textId="7DE710B6" w:rsidR="00CD5856" w:rsidRDefault="00BA1CBD">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fldSimple w:instr=" SECTIONPAGES  \* Arabic  \* MERGEFORMAT ">
                            <w:r w:rsidR="005E7D3E">
                              <w:rPr>
                                <w:noProof/>
                              </w:rPr>
                              <w:t>9</w:t>
                            </w:r>
                          </w:fldSimple>
                        </w:p>
                        <w:p w14:paraId="64806BEA" w14:textId="77777777" w:rsidR="00CD5856" w:rsidRDefault="00CD5856"/>
                        <w:p w14:paraId="2DB8EF03" w14:textId="77777777" w:rsidR="00CD5856" w:rsidRDefault="00CD5856">
                          <w:pPr>
                            <w:pStyle w:val="Huisstijl-Paginanummer"/>
                          </w:pPr>
                        </w:p>
                        <w:p w14:paraId="2AB61B5C"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5B52E7"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7032B616" w14:textId="7DE710B6" w:rsidR="00CD5856" w:rsidRDefault="00BA1CBD">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fldSimple w:instr=" SECTIONPAGES  \* Arabic  \* MERGEFORMAT ">
                      <w:r w:rsidR="005E7D3E">
                        <w:rPr>
                          <w:noProof/>
                        </w:rPr>
                        <w:t>9</w:t>
                      </w:r>
                    </w:fldSimple>
                  </w:p>
                  <w:p w14:paraId="64806BEA" w14:textId="77777777" w:rsidR="00CD5856" w:rsidRDefault="00CD5856"/>
                  <w:p w14:paraId="2DB8EF03" w14:textId="77777777" w:rsidR="00CD5856" w:rsidRDefault="00CD5856">
                    <w:pPr>
                      <w:pStyle w:val="Huisstijl-Paginanummer"/>
                    </w:pPr>
                  </w:p>
                  <w:p w14:paraId="2AB61B5C"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60664" w14:textId="600FC2FF" w:rsidR="00CD5856" w:rsidRDefault="00B53068">
    <w:pPr>
      <w:pStyle w:val="Koptekst"/>
    </w:pPr>
    <w:r>
      <w:rPr>
        <w:noProof/>
        <w:lang w:eastAsia="nl-NL" w:bidi="ar-SA"/>
      </w:rPr>
      <mc:AlternateContent>
        <mc:Choice Requires="wps">
          <w:drawing>
            <wp:anchor distT="0" distB="0" distL="114300" distR="114300" simplePos="0" relativeHeight="251664384" behindDoc="0" locked="0" layoutInCell="1" allowOverlap="1" wp14:anchorId="38885145" wp14:editId="79D0F339">
              <wp:simplePos x="0" y="0"/>
              <wp:positionH relativeFrom="page">
                <wp:posOffset>1009650</wp:posOffset>
              </wp:positionH>
              <wp:positionV relativeFrom="page">
                <wp:posOffset>3768725</wp:posOffset>
              </wp:positionV>
              <wp:extent cx="4103370" cy="457200"/>
              <wp:effectExtent l="9525" t="6350" r="11430" b="12700"/>
              <wp:wrapTopAndBottom/>
              <wp:docPr id="206262297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0631196A" w14:textId="77777777" w:rsidR="00CD5856" w:rsidRDefault="00BA1CBD">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57477E">
                                <w:t>26 juni 2014</w:t>
                              </w:r>
                            </w:sdtContent>
                          </w:sdt>
                        </w:p>
                        <w:p w14:paraId="24A8AEE2" w14:textId="77777777" w:rsidR="00CD5856" w:rsidRDefault="00BA1CBD">
                          <w:pPr>
                            <w:pStyle w:val="Huisstijl-Datumenbetreft"/>
                            <w:tabs>
                              <w:tab w:val="left" w:pos="-5954"/>
                              <w:tab w:val="left" w:pos="-5670"/>
                            </w:tabs>
                          </w:pPr>
                          <w:r>
                            <w:t>Betreft</w:t>
                          </w:r>
                          <w:r>
                            <w:tab/>
                          </w:r>
                          <w:r w:rsidR="008D59C5">
                            <w:t>BETREFT</w:t>
                          </w:r>
                        </w:p>
                        <w:p w14:paraId="7649D07E"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8885145"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0631196A" w14:textId="77777777" w:rsidR="00CD5856" w:rsidRDefault="00BA1CBD">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57477E">
                          <w:t>26 juni 2014</w:t>
                        </w:r>
                      </w:sdtContent>
                    </w:sdt>
                  </w:p>
                  <w:p w14:paraId="24A8AEE2" w14:textId="77777777" w:rsidR="00CD5856" w:rsidRDefault="00BA1CBD">
                    <w:pPr>
                      <w:pStyle w:val="Huisstijl-Datumenbetreft"/>
                      <w:tabs>
                        <w:tab w:val="left" w:pos="-5954"/>
                        <w:tab w:val="left" w:pos="-5670"/>
                      </w:tabs>
                    </w:pPr>
                    <w:r>
                      <w:t>Betreft</w:t>
                    </w:r>
                    <w:r>
                      <w:tab/>
                    </w:r>
                    <w:r w:rsidR="008D59C5">
                      <w:t>BETREFT</w:t>
                    </w:r>
                  </w:p>
                  <w:p w14:paraId="7649D07E"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60A28660" wp14:editId="560A078F">
          <wp:simplePos x="0" y="0"/>
          <wp:positionH relativeFrom="page">
            <wp:posOffset>3542665</wp:posOffset>
          </wp:positionH>
          <wp:positionV relativeFrom="page">
            <wp:posOffset>0</wp:posOffset>
          </wp:positionV>
          <wp:extent cx="464400" cy="1580400"/>
          <wp:effectExtent l="0" t="0" r="0" b="0"/>
          <wp:wrapNone/>
          <wp:docPr id="1644669014"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59D0EE5C" wp14:editId="3F553177">
          <wp:simplePos x="0" y="0"/>
          <wp:positionH relativeFrom="page">
            <wp:posOffset>4010660</wp:posOffset>
          </wp:positionH>
          <wp:positionV relativeFrom="page">
            <wp:posOffset>0</wp:posOffset>
          </wp:positionV>
          <wp:extent cx="2336400" cy="1580400"/>
          <wp:effectExtent l="0" t="0" r="0" b="0"/>
          <wp:wrapNone/>
          <wp:docPr id="854592487"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4257673D" wp14:editId="7FE44594">
              <wp:simplePos x="0" y="0"/>
              <wp:positionH relativeFrom="page">
                <wp:posOffset>5922645</wp:posOffset>
              </wp:positionH>
              <wp:positionV relativeFrom="page">
                <wp:posOffset>1964690</wp:posOffset>
              </wp:positionV>
              <wp:extent cx="1259840" cy="8009890"/>
              <wp:effectExtent l="7620" t="12065" r="8890" b="7620"/>
              <wp:wrapNone/>
              <wp:docPr id="1617360341"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C41BD24" w14:textId="77777777" w:rsidR="00CD5856" w:rsidRDefault="00BA1CBD">
                          <w:pPr>
                            <w:pStyle w:val="Huisstijl-Afzendgegevens"/>
                          </w:pPr>
                          <w:r w:rsidRPr="008D59C5">
                            <w:t>Rijnstraat 50</w:t>
                          </w:r>
                        </w:p>
                        <w:p w14:paraId="4101E97E" w14:textId="77777777" w:rsidR="00CD5856" w:rsidRDefault="00BA1CBD">
                          <w:pPr>
                            <w:pStyle w:val="Huisstijl-Afzendgegevens"/>
                          </w:pPr>
                          <w:r w:rsidRPr="008D59C5">
                            <w:t>Den Haag</w:t>
                          </w:r>
                        </w:p>
                        <w:p w14:paraId="01675155" w14:textId="77777777" w:rsidR="00CD5856" w:rsidRDefault="00BA1CBD">
                          <w:pPr>
                            <w:pStyle w:val="Huisstijl-Afzendgegevens"/>
                          </w:pPr>
                          <w:r w:rsidRPr="008D59C5">
                            <w:t>www.rijksoverheid.nl</w:t>
                          </w:r>
                        </w:p>
                        <w:p w14:paraId="73A7D316" w14:textId="77777777" w:rsidR="00CD5856" w:rsidRDefault="00BA1CBD">
                          <w:pPr>
                            <w:pStyle w:val="Huisstijl-AfzendgegevenskopW1"/>
                          </w:pPr>
                          <w:r>
                            <w:t>Contactpersoon</w:t>
                          </w:r>
                        </w:p>
                        <w:p w14:paraId="0859EF74" w14:textId="77777777" w:rsidR="00CD5856" w:rsidRDefault="00BA1CBD">
                          <w:pPr>
                            <w:pStyle w:val="Huisstijl-Afzendgegevens"/>
                          </w:pPr>
                          <w:r w:rsidRPr="008D59C5">
                            <w:t>ing. J.A. Ramlal</w:t>
                          </w:r>
                        </w:p>
                        <w:p w14:paraId="7D43E8EA" w14:textId="77777777" w:rsidR="00CD5856" w:rsidRDefault="00BA1CBD">
                          <w:pPr>
                            <w:pStyle w:val="Huisstijl-Afzendgegevens"/>
                          </w:pPr>
                          <w:r w:rsidRPr="008D59C5">
                            <w:t>ja.ramlal@minvws.nl</w:t>
                          </w:r>
                        </w:p>
                        <w:p w14:paraId="314B468E" w14:textId="77777777" w:rsidR="00CD5856" w:rsidRDefault="00BA1CBD">
                          <w:pPr>
                            <w:pStyle w:val="Huisstijl-ReferentiegegevenskopW2"/>
                          </w:pPr>
                          <w:r>
                            <w:t>Ons kenmerk</w:t>
                          </w:r>
                        </w:p>
                        <w:p w14:paraId="2FDE7EA4" w14:textId="77777777" w:rsidR="00CD5856" w:rsidRDefault="00BA1CBD">
                          <w:pPr>
                            <w:pStyle w:val="Huisstijl-Referentiegegevens"/>
                          </w:pPr>
                          <w:r>
                            <w:t>KENMERK</w:t>
                          </w:r>
                        </w:p>
                        <w:p w14:paraId="05AD373E" w14:textId="77777777" w:rsidR="00CD5856" w:rsidRDefault="00BA1CBD">
                          <w:pPr>
                            <w:pStyle w:val="Huisstijl-ReferentiegegevenskopW1"/>
                          </w:pPr>
                          <w:r>
                            <w:t>Uw kenmerk</w:t>
                          </w:r>
                        </w:p>
                        <w:p w14:paraId="612CFAF2" w14:textId="77777777" w:rsidR="00CD5856" w:rsidRDefault="00BA1CBD">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57673D"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3C41BD24" w14:textId="77777777" w:rsidR="00CD5856" w:rsidRDefault="00BA1CBD">
                    <w:pPr>
                      <w:pStyle w:val="Huisstijl-Afzendgegevens"/>
                    </w:pPr>
                    <w:r w:rsidRPr="008D59C5">
                      <w:t>Rijnstraat 50</w:t>
                    </w:r>
                  </w:p>
                  <w:p w14:paraId="4101E97E" w14:textId="77777777" w:rsidR="00CD5856" w:rsidRDefault="00BA1CBD">
                    <w:pPr>
                      <w:pStyle w:val="Huisstijl-Afzendgegevens"/>
                    </w:pPr>
                    <w:r w:rsidRPr="008D59C5">
                      <w:t>Den Haag</w:t>
                    </w:r>
                  </w:p>
                  <w:p w14:paraId="01675155" w14:textId="77777777" w:rsidR="00CD5856" w:rsidRDefault="00BA1CBD">
                    <w:pPr>
                      <w:pStyle w:val="Huisstijl-Afzendgegevens"/>
                    </w:pPr>
                    <w:r w:rsidRPr="008D59C5">
                      <w:t>www.rijksoverheid.nl</w:t>
                    </w:r>
                  </w:p>
                  <w:p w14:paraId="73A7D316" w14:textId="77777777" w:rsidR="00CD5856" w:rsidRDefault="00BA1CBD">
                    <w:pPr>
                      <w:pStyle w:val="Huisstijl-AfzendgegevenskopW1"/>
                    </w:pPr>
                    <w:r>
                      <w:t>Contactpersoon</w:t>
                    </w:r>
                  </w:p>
                  <w:p w14:paraId="0859EF74" w14:textId="77777777" w:rsidR="00CD5856" w:rsidRDefault="00BA1CBD">
                    <w:pPr>
                      <w:pStyle w:val="Huisstijl-Afzendgegevens"/>
                    </w:pPr>
                    <w:r w:rsidRPr="008D59C5">
                      <w:t>ing. J.A. Ramlal</w:t>
                    </w:r>
                  </w:p>
                  <w:p w14:paraId="7D43E8EA" w14:textId="77777777" w:rsidR="00CD5856" w:rsidRDefault="00BA1CBD">
                    <w:pPr>
                      <w:pStyle w:val="Huisstijl-Afzendgegevens"/>
                    </w:pPr>
                    <w:r w:rsidRPr="008D59C5">
                      <w:t>ja.ramlal@minvws.nl</w:t>
                    </w:r>
                  </w:p>
                  <w:p w14:paraId="314B468E" w14:textId="77777777" w:rsidR="00CD5856" w:rsidRDefault="00BA1CBD">
                    <w:pPr>
                      <w:pStyle w:val="Huisstijl-ReferentiegegevenskopW2"/>
                    </w:pPr>
                    <w:r>
                      <w:t>Ons kenmerk</w:t>
                    </w:r>
                  </w:p>
                  <w:p w14:paraId="2FDE7EA4" w14:textId="77777777" w:rsidR="00CD5856" w:rsidRDefault="00BA1CBD">
                    <w:pPr>
                      <w:pStyle w:val="Huisstijl-Referentiegegevens"/>
                    </w:pPr>
                    <w:r>
                      <w:t>KENMERK</w:t>
                    </w:r>
                  </w:p>
                  <w:p w14:paraId="05AD373E" w14:textId="77777777" w:rsidR="00CD5856" w:rsidRDefault="00BA1CBD">
                    <w:pPr>
                      <w:pStyle w:val="Huisstijl-ReferentiegegevenskopW1"/>
                    </w:pPr>
                    <w:r>
                      <w:t>Uw kenmerk</w:t>
                    </w:r>
                  </w:p>
                  <w:p w14:paraId="612CFAF2" w14:textId="77777777" w:rsidR="00CD5856" w:rsidRDefault="00BA1CBD">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2E20742A" wp14:editId="7A69B0DC">
              <wp:simplePos x="0" y="0"/>
              <wp:positionH relativeFrom="page">
                <wp:posOffset>1008380</wp:posOffset>
              </wp:positionH>
              <wp:positionV relativeFrom="page">
                <wp:posOffset>1942465</wp:posOffset>
              </wp:positionV>
              <wp:extent cx="2988310" cy="1080135"/>
              <wp:effectExtent l="8255" t="8890" r="13335" b="6350"/>
              <wp:wrapNone/>
              <wp:docPr id="1893504987"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501FCF08" w14:textId="77777777" w:rsidR="00CD5856" w:rsidRDefault="00BA1CBD">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20742A"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501FCF08" w14:textId="77777777" w:rsidR="00CD5856" w:rsidRDefault="00BA1CBD">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2E154367" wp14:editId="70170DC2">
              <wp:simplePos x="0" y="0"/>
              <wp:positionH relativeFrom="page">
                <wp:posOffset>5922645</wp:posOffset>
              </wp:positionH>
              <wp:positionV relativeFrom="page">
                <wp:posOffset>10224770</wp:posOffset>
              </wp:positionV>
              <wp:extent cx="730885" cy="107950"/>
              <wp:effectExtent l="7620" t="13970" r="13970" b="11430"/>
              <wp:wrapNone/>
              <wp:docPr id="922743484"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5A90774A" w14:textId="77777777" w:rsidR="00CD5856" w:rsidRDefault="00BA1CBD">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fldSimple w:instr=" SECTIONPAGES  \* Arabic  \* MERGEFORMAT ">
                            <w:r w:rsidR="009F419D">
                              <w:rPr>
                                <w:noProof/>
                              </w:rPr>
                              <w:t>2</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154367"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5A90774A" w14:textId="77777777" w:rsidR="00CD5856" w:rsidRDefault="00BA1CBD">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fldSimple w:instr=" SECTIONPAGES  \* Arabic  \* MERGEFORMAT ">
                      <w:r w:rsidR="009F419D">
                        <w:rPr>
                          <w:noProof/>
                        </w:rPr>
                        <w:t>2</w:t>
                      </w:r>
                    </w:fldSimple>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00C79F96" wp14:editId="359E05EC">
              <wp:simplePos x="0" y="0"/>
              <wp:positionH relativeFrom="page">
                <wp:posOffset>1008380</wp:posOffset>
              </wp:positionH>
              <wp:positionV relativeFrom="page">
                <wp:posOffset>3384550</wp:posOffset>
              </wp:positionV>
              <wp:extent cx="4104005" cy="179705"/>
              <wp:effectExtent l="8255" t="12700" r="12065" b="7620"/>
              <wp:wrapNone/>
              <wp:docPr id="2076781155"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10A5BD23"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C79F96"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10A5BD23"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0541F6D1" wp14:editId="75934FF4">
              <wp:simplePos x="0" y="0"/>
              <wp:positionH relativeFrom="page">
                <wp:posOffset>1008380</wp:posOffset>
              </wp:positionH>
              <wp:positionV relativeFrom="page">
                <wp:posOffset>1715135</wp:posOffset>
              </wp:positionV>
              <wp:extent cx="3590925" cy="144145"/>
              <wp:effectExtent l="8255" t="10160" r="10795" b="7620"/>
              <wp:wrapNone/>
              <wp:docPr id="1223332395"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0B270460" w14:textId="77777777" w:rsidR="00CD5856" w:rsidRDefault="00BA1CBD">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41F6D1"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0B270460" w14:textId="77777777" w:rsidR="00CD5856" w:rsidRDefault="00BA1CBD">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0BE"/>
    <w:multiLevelType w:val="hybridMultilevel"/>
    <w:tmpl w:val="ADA4DAD2"/>
    <w:lvl w:ilvl="0" w:tplc="04130001">
      <w:start w:val="1"/>
      <w:numFmt w:val="bullet"/>
      <w:lvlText w:val=""/>
      <w:lvlJc w:val="left"/>
      <w:pPr>
        <w:ind w:left="720" w:hanging="360"/>
      </w:pPr>
      <w:rPr>
        <w:rFonts w:ascii="Symbol" w:hAnsi="Symbol" w:hint="default"/>
      </w:rPr>
    </w:lvl>
    <w:lvl w:ilvl="1" w:tplc="0413000F">
      <w:start w:val="1"/>
      <w:numFmt w:val="decimal"/>
      <w:lvlText w:val="%2."/>
      <w:lvlJc w:val="left"/>
      <w:pPr>
        <w:ind w:left="1440" w:hanging="360"/>
      </w:p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0A2D4C"/>
    <w:multiLevelType w:val="hybridMultilevel"/>
    <w:tmpl w:val="14E86114"/>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62016A1"/>
    <w:multiLevelType w:val="hybridMultilevel"/>
    <w:tmpl w:val="2826C32E"/>
    <w:lvl w:ilvl="0" w:tplc="3B3CBBFC">
      <w:start w:val="1"/>
      <w:numFmt w:val="decimal"/>
      <w:lvlText w:val="%1."/>
      <w:lvlJc w:val="left"/>
      <w:pPr>
        <w:ind w:left="720" w:hanging="360"/>
      </w:pPr>
      <w:rPr>
        <w:rFonts w:hint="default"/>
        <w:i/>
        <w:i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AB0499"/>
    <w:multiLevelType w:val="hybridMultilevel"/>
    <w:tmpl w:val="55CA77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E4657F3"/>
    <w:multiLevelType w:val="hybridMultilevel"/>
    <w:tmpl w:val="A2F4D9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AC651E3"/>
    <w:multiLevelType w:val="hybridMultilevel"/>
    <w:tmpl w:val="A2F4D9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6C3CB1"/>
    <w:multiLevelType w:val="hybridMultilevel"/>
    <w:tmpl w:val="D6F881AA"/>
    <w:lvl w:ilvl="0" w:tplc="F75AD67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462B68"/>
    <w:multiLevelType w:val="hybridMultilevel"/>
    <w:tmpl w:val="0DCA51B6"/>
    <w:lvl w:ilvl="0" w:tplc="FFFFFFFF">
      <w:start w:val="1"/>
      <w:numFmt w:val="bullet"/>
      <w:lvlText w:val=""/>
      <w:lvlJc w:val="left"/>
      <w:pPr>
        <w:ind w:left="720" w:hanging="360"/>
      </w:pPr>
      <w:rPr>
        <w:rFonts w:ascii="Symbol" w:hAnsi="Symbol" w:hint="default"/>
      </w:rPr>
    </w:lvl>
    <w:lvl w:ilvl="1" w:tplc="04130003">
      <w:start w:val="1"/>
      <w:numFmt w:val="bullet"/>
      <w:lvlText w:val="o"/>
      <w:lvlJc w:val="left"/>
      <w:pPr>
        <w:ind w:left="1211"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D4C6F8F"/>
    <w:multiLevelType w:val="hybridMultilevel"/>
    <w:tmpl w:val="88A80710"/>
    <w:lvl w:ilvl="0" w:tplc="F75AD67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953570C"/>
    <w:multiLevelType w:val="hybridMultilevel"/>
    <w:tmpl w:val="2EEEBEF6"/>
    <w:lvl w:ilvl="0" w:tplc="74C67446">
      <w:start w:val="1"/>
      <w:numFmt w:val="decimal"/>
      <w:lvlText w:val="%1."/>
      <w:lvlJc w:val="left"/>
      <w:pPr>
        <w:ind w:left="360" w:hanging="360"/>
      </w:pPr>
      <w:rPr>
        <w:rFonts w:ascii="Verdana" w:eastAsia="DejaVu Sans" w:hAnsi="Verdana" w:cs="Lohit Hindi"/>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0" w15:restartNumberingAfterBreak="0">
    <w:nsid w:val="3C51403A"/>
    <w:multiLevelType w:val="hybridMultilevel"/>
    <w:tmpl w:val="659EEE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D8D69E3"/>
    <w:multiLevelType w:val="hybridMultilevel"/>
    <w:tmpl w:val="F89AEEB6"/>
    <w:lvl w:ilvl="0" w:tplc="F75AD67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06B5CCD"/>
    <w:multiLevelType w:val="hybridMultilevel"/>
    <w:tmpl w:val="02EEE5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4896404"/>
    <w:multiLevelType w:val="hybridMultilevel"/>
    <w:tmpl w:val="7A220498"/>
    <w:lvl w:ilvl="0" w:tplc="F75AD67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58A576F"/>
    <w:multiLevelType w:val="hybridMultilevel"/>
    <w:tmpl w:val="DB8AF5D4"/>
    <w:lvl w:ilvl="0" w:tplc="6EBA6468">
      <w:numFmt w:val="bullet"/>
      <w:lvlText w:val=""/>
      <w:lvlJc w:val="left"/>
      <w:pPr>
        <w:ind w:left="720" w:hanging="360"/>
      </w:pPr>
      <w:rPr>
        <w:rFonts w:ascii="Wingdings" w:eastAsia="DejaVu Sans" w:hAnsi="Wingdings" w:cs="Lohit Hindi" w:hint="default"/>
      </w:rPr>
    </w:lvl>
    <w:lvl w:ilvl="1" w:tplc="41DAC0F2" w:tentative="1">
      <w:start w:val="1"/>
      <w:numFmt w:val="bullet"/>
      <w:lvlText w:val="o"/>
      <w:lvlJc w:val="left"/>
      <w:pPr>
        <w:ind w:left="1440" w:hanging="360"/>
      </w:pPr>
      <w:rPr>
        <w:rFonts w:ascii="Courier New" w:hAnsi="Courier New" w:cs="Courier New" w:hint="default"/>
      </w:rPr>
    </w:lvl>
    <w:lvl w:ilvl="2" w:tplc="AC000EBE" w:tentative="1">
      <w:start w:val="1"/>
      <w:numFmt w:val="bullet"/>
      <w:lvlText w:val=""/>
      <w:lvlJc w:val="left"/>
      <w:pPr>
        <w:ind w:left="2160" w:hanging="360"/>
      </w:pPr>
      <w:rPr>
        <w:rFonts w:ascii="Wingdings" w:hAnsi="Wingdings" w:hint="default"/>
      </w:rPr>
    </w:lvl>
    <w:lvl w:ilvl="3" w:tplc="1264DAE6" w:tentative="1">
      <w:start w:val="1"/>
      <w:numFmt w:val="bullet"/>
      <w:lvlText w:val=""/>
      <w:lvlJc w:val="left"/>
      <w:pPr>
        <w:ind w:left="2880" w:hanging="360"/>
      </w:pPr>
      <w:rPr>
        <w:rFonts w:ascii="Symbol" w:hAnsi="Symbol" w:hint="default"/>
      </w:rPr>
    </w:lvl>
    <w:lvl w:ilvl="4" w:tplc="45F8C216" w:tentative="1">
      <w:start w:val="1"/>
      <w:numFmt w:val="bullet"/>
      <w:lvlText w:val="o"/>
      <w:lvlJc w:val="left"/>
      <w:pPr>
        <w:ind w:left="3600" w:hanging="360"/>
      </w:pPr>
      <w:rPr>
        <w:rFonts w:ascii="Courier New" w:hAnsi="Courier New" w:cs="Courier New" w:hint="default"/>
      </w:rPr>
    </w:lvl>
    <w:lvl w:ilvl="5" w:tplc="682A9440" w:tentative="1">
      <w:start w:val="1"/>
      <w:numFmt w:val="bullet"/>
      <w:lvlText w:val=""/>
      <w:lvlJc w:val="left"/>
      <w:pPr>
        <w:ind w:left="4320" w:hanging="360"/>
      </w:pPr>
      <w:rPr>
        <w:rFonts w:ascii="Wingdings" w:hAnsi="Wingdings" w:hint="default"/>
      </w:rPr>
    </w:lvl>
    <w:lvl w:ilvl="6" w:tplc="C0228E84" w:tentative="1">
      <w:start w:val="1"/>
      <w:numFmt w:val="bullet"/>
      <w:lvlText w:val=""/>
      <w:lvlJc w:val="left"/>
      <w:pPr>
        <w:ind w:left="5040" w:hanging="360"/>
      </w:pPr>
      <w:rPr>
        <w:rFonts w:ascii="Symbol" w:hAnsi="Symbol" w:hint="default"/>
      </w:rPr>
    </w:lvl>
    <w:lvl w:ilvl="7" w:tplc="C1DA635C" w:tentative="1">
      <w:start w:val="1"/>
      <w:numFmt w:val="bullet"/>
      <w:lvlText w:val="o"/>
      <w:lvlJc w:val="left"/>
      <w:pPr>
        <w:ind w:left="5760" w:hanging="360"/>
      </w:pPr>
      <w:rPr>
        <w:rFonts w:ascii="Courier New" w:hAnsi="Courier New" w:cs="Courier New" w:hint="default"/>
      </w:rPr>
    </w:lvl>
    <w:lvl w:ilvl="8" w:tplc="1780DDF2" w:tentative="1">
      <w:start w:val="1"/>
      <w:numFmt w:val="bullet"/>
      <w:lvlText w:val=""/>
      <w:lvlJc w:val="left"/>
      <w:pPr>
        <w:ind w:left="6480" w:hanging="360"/>
      </w:pPr>
      <w:rPr>
        <w:rFonts w:ascii="Wingdings" w:hAnsi="Wingdings" w:hint="default"/>
      </w:rPr>
    </w:lvl>
  </w:abstractNum>
  <w:abstractNum w:abstractNumId="15" w15:restartNumberingAfterBreak="0">
    <w:nsid w:val="731B27DF"/>
    <w:multiLevelType w:val="hybridMultilevel"/>
    <w:tmpl w:val="9E7094C0"/>
    <w:lvl w:ilvl="0" w:tplc="04130003">
      <w:start w:val="1"/>
      <w:numFmt w:val="bullet"/>
      <w:lvlText w:val="o"/>
      <w:lvlJc w:val="left"/>
      <w:pPr>
        <w:ind w:left="1211" w:hanging="360"/>
      </w:pPr>
      <w:rPr>
        <w:rFonts w:ascii="Courier New" w:hAnsi="Courier New" w:cs="Courier New" w:hint="default"/>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16" w15:restartNumberingAfterBreak="0">
    <w:nsid w:val="7DBC6167"/>
    <w:multiLevelType w:val="hybridMultilevel"/>
    <w:tmpl w:val="D820E6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16759870">
    <w:abstractNumId w:val="14"/>
  </w:num>
  <w:num w:numId="2" w16cid:durableId="11621623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8044562">
    <w:abstractNumId w:val="9"/>
  </w:num>
  <w:num w:numId="4" w16cid:durableId="495150530">
    <w:abstractNumId w:val="4"/>
  </w:num>
  <w:num w:numId="5" w16cid:durableId="991100987">
    <w:abstractNumId w:val="11"/>
  </w:num>
  <w:num w:numId="6" w16cid:durableId="1153763560">
    <w:abstractNumId w:val="13"/>
  </w:num>
  <w:num w:numId="7" w16cid:durableId="168721282">
    <w:abstractNumId w:val="6"/>
  </w:num>
  <w:num w:numId="8" w16cid:durableId="1561211530">
    <w:abstractNumId w:val="2"/>
  </w:num>
  <w:num w:numId="9" w16cid:durableId="1112481176">
    <w:abstractNumId w:val="1"/>
  </w:num>
  <w:num w:numId="10" w16cid:durableId="298655306">
    <w:abstractNumId w:val="8"/>
  </w:num>
  <w:num w:numId="11" w16cid:durableId="171920864">
    <w:abstractNumId w:val="12"/>
  </w:num>
  <w:num w:numId="12" w16cid:durableId="1898664444">
    <w:abstractNumId w:val="15"/>
  </w:num>
  <w:num w:numId="13" w16cid:durableId="415129576">
    <w:abstractNumId w:val="0"/>
  </w:num>
  <w:num w:numId="14" w16cid:durableId="1617787396">
    <w:abstractNumId w:val="10"/>
  </w:num>
  <w:num w:numId="15" w16cid:durableId="1167600587">
    <w:abstractNumId w:val="5"/>
  </w:num>
  <w:num w:numId="16" w16cid:durableId="1540967700">
    <w:abstractNumId w:val="3"/>
  </w:num>
  <w:num w:numId="17" w16cid:durableId="676425151">
    <w:abstractNumId w:val="16"/>
  </w:num>
  <w:num w:numId="18" w16cid:durableId="20669064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71B0"/>
    <w:rsid w:val="000075FD"/>
    <w:rsid w:val="00010956"/>
    <w:rsid w:val="0002621B"/>
    <w:rsid w:val="0003405C"/>
    <w:rsid w:val="00034261"/>
    <w:rsid w:val="000344CB"/>
    <w:rsid w:val="00044ABC"/>
    <w:rsid w:val="00050D5B"/>
    <w:rsid w:val="00080FAB"/>
    <w:rsid w:val="0009272C"/>
    <w:rsid w:val="000A6CB9"/>
    <w:rsid w:val="000B16EA"/>
    <w:rsid w:val="000B1832"/>
    <w:rsid w:val="000B45B1"/>
    <w:rsid w:val="000B6B9E"/>
    <w:rsid w:val="000C29E1"/>
    <w:rsid w:val="000C7942"/>
    <w:rsid w:val="000D0CCB"/>
    <w:rsid w:val="000D3B1B"/>
    <w:rsid w:val="000D6D8A"/>
    <w:rsid w:val="000E2F12"/>
    <w:rsid w:val="000E54B6"/>
    <w:rsid w:val="000F39AA"/>
    <w:rsid w:val="000F5286"/>
    <w:rsid w:val="000F7767"/>
    <w:rsid w:val="001131E6"/>
    <w:rsid w:val="00113778"/>
    <w:rsid w:val="001172BB"/>
    <w:rsid w:val="00125BDF"/>
    <w:rsid w:val="00140732"/>
    <w:rsid w:val="00141722"/>
    <w:rsid w:val="001479A0"/>
    <w:rsid w:val="00153DAE"/>
    <w:rsid w:val="00155D0B"/>
    <w:rsid w:val="00165B33"/>
    <w:rsid w:val="00166466"/>
    <w:rsid w:val="00172CD9"/>
    <w:rsid w:val="0018469E"/>
    <w:rsid w:val="00193AFF"/>
    <w:rsid w:val="0019476A"/>
    <w:rsid w:val="001B41E1"/>
    <w:rsid w:val="001B7303"/>
    <w:rsid w:val="001C0B7D"/>
    <w:rsid w:val="001C16C4"/>
    <w:rsid w:val="001E3607"/>
    <w:rsid w:val="001E5C66"/>
    <w:rsid w:val="001E7DC6"/>
    <w:rsid w:val="001F2CCB"/>
    <w:rsid w:val="001F5C25"/>
    <w:rsid w:val="00202AA0"/>
    <w:rsid w:val="00212A84"/>
    <w:rsid w:val="00214A9C"/>
    <w:rsid w:val="00215CB5"/>
    <w:rsid w:val="002163EE"/>
    <w:rsid w:val="00221474"/>
    <w:rsid w:val="0022705C"/>
    <w:rsid w:val="00230980"/>
    <w:rsid w:val="00232FD0"/>
    <w:rsid w:val="00233D83"/>
    <w:rsid w:val="002342ED"/>
    <w:rsid w:val="00235AED"/>
    <w:rsid w:val="0024117F"/>
    <w:rsid w:val="00241BB9"/>
    <w:rsid w:val="00242C88"/>
    <w:rsid w:val="00252D00"/>
    <w:rsid w:val="002558E0"/>
    <w:rsid w:val="00256864"/>
    <w:rsid w:val="00282EFB"/>
    <w:rsid w:val="00294AF2"/>
    <w:rsid w:val="00297795"/>
    <w:rsid w:val="002A0BF7"/>
    <w:rsid w:val="002A6C12"/>
    <w:rsid w:val="002A7DC8"/>
    <w:rsid w:val="002B1D9F"/>
    <w:rsid w:val="002B504F"/>
    <w:rsid w:val="002C2AAB"/>
    <w:rsid w:val="002E7DDA"/>
    <w:rsid w:val="002F4886"/>
    <w:rsid w:val="00310D8A"/>
    <w:rsid w:val="00310FCC"/>
    <w:rsid w:val="003221C2"/>
    <w:rsid w:val="003271FF"/>
    <w:rsid w:val="00334C45"/>
    <w:rsid w:val="003352CC"/>
    <w:rsid w:val="0034394B"/>
    <w:rsid w:val="003451E2"/>
    <w:rsid w:val="00347F1B"/>
    <w:rsid w:val="0036603C"/>
    <w:rsid w:val="003663E0"/>
    <w:rsid w:val="003674E4"/>
    <w:rsid w:val="00381BEA"/>
    <w:rsid w:val="003872C1"/>
    <w:rsid w:val="003B287C"/>
    <w:rsid w:val="003B48D4"/>
    <w:rsid w:val="003C472B"/>
    <w:rsid w:val="003C6ED5"/>
    <w:rsid w:val="003C700C"/>
    <w:rsid w:val="003C7014"/>
    <w:rsid w:val="003C7185"/>
    <w:rsid w:val="003D27F8"/>
    <w:rsid w:val="003D3C05"/>
    <w:rsid w:val="003D7B4D"/>
    <w:rsid w:val="003F3A47"/>
    <w:rsid w:val="003F42E7"/>
    <w:rsid w:val="0041434D"/>
    <w:rsid w:val="00416EC7"/>
    <w:rsid w:val="004240DE"/>
    <w:rsid w:val="004262A3"/>
    <w:rsid w:val="00432577"/>
    <w:rsid w:val="0043480A"/>
    <w:rsid w:val="00437B5F"/>
    <w:rsid w:val="00437DB1"/>
    <w:rsid w:val="004509BE"/>
    <w:rsid w:val="0045486D"/>
    <w:rsid w:val="004615E9"/>
    <w:rsid w:val="00463DBC"/>
    <w:rsid w:val="00464274"/>
    <w:rsid w:val="004655B4"/>
    <w:rsid w:val="0047103D"/>
    <w:rsid w:val="00487D3A"/>
    <w:rsid w:val="00491775"/>
    <w:rsid w:val="004934A8"/>
    <w:rsid w:val="004972E8"/>
    <w:rsid w:val="004B31DA"/>
    <w:rsid w:val="004B653D"/>
    <w:rsid w:val="004C436A"/>
    <w:rsid w:val="004C51DD"/>
    <w:rsid w:val="004C7656"/>
    <w:rsid w:val="004E46E7"/>
    <w:rsid w:val="004F069E"/>
    <w:rsid w:val="004F0B09"/>
    <w:rsid w:val="00513D9C"/>
    <w:rsid w:val="00515A44"/>
    <w:rsid w:val="00516D6A"/>
    <w:rsid w:val="00523C02"/>
    <w:rsid w:val="00524DF8"/>
    <w:rsid w:val="00527510"/>
    <w:rsid w:val="00531307"/>
    <w:rsid w:val="005322AE"/>
    <w:rsid w:val="00541864"/>
    <w:rsid w:val="00544135"/>
    <w:rsid w:val="00544675"/>
    <w:rsid w:val="005600D7"/>
    <w:rsid w:val="00561DBC"/>
    <w:rsid w:val="00566BB1"/>
    <w:rsid w:val="005677D6"/>
    <w:rsid w:val="0057477E"/>
    <w:rsid w:val="00582E97"/>
    <w:rsid w:val="00587714"/>
    <w:rsid w:val="005959C6"/>
    <w:rsid w:val="00597BC4"/>
    <w:rsid w:val="005A0377"/>
    <w:rsid w:val="005B0B81"/>
    <w:rsid w:val="005C0063"/>
    <w:rsid w:val="005C1BA5"/>
    <w:rsid w:val="005C2731"/>
    <w:rsid w:val="005C3CD4"/>
    <w:rsid w:val="005D327A"/>
    <w:rsid w:val="005E15D5"/>
    <w:rsid w:val="005E30E8"/>
    <w:rsid w:val="005E7D3E"/>
    <w:rsid w:val="006048A1"/>
    <w:rsid w:val="006233C5"/>
    <w:rsid w:val="006250A3"/>
    <w:rsid w:val="00627E56"/>
    <w:rsid w:val="0063555A"/>
    <w:rsid w:val="0065483E"/>
    <w:rsid w:val="00666B23"/>
    <w:rsid w:val="0068153C"/>
    <w:rsid w:val="00686885"/>
    <w:rsid w:val="006922AC"/>
    <w:rsid w:val="00692B4B"/>
    <w:rsid w:val="00697032"/>
    <w:rsid w:val="006A05A2"/>
    <w:rsid w:val="006A2678"/>
    <w:rsid w:val="006A7EC6"/>
    <w:rsid w:val="006B16C1"/>
    <w:rsid w:val="006C6D16"/>
    <w:rsid w:val="006D26D4"/>
    <w:rsid w:val="006D635A"/>
    <w:rsid w:val="006E0724"/>
    <w:rsid w:val="006E48F5"/>
    <w:rsid w:val="006F10FD"/>
    <w:rsid w:val="006F482A"/>
    <w:rsid w:val="006F497D"/>
    <w:rsid w:val="006F77CB"/>
    <w:rsid w:val="00703BFF"/>
    <w:rsid w:val="007075B4"/>
    <w:rsid w:val="00715279"/>
    <w:rsid w:val="00724BFC"/>
    <w:rsid w:val="00732DE9"/>
    <w:rsid w:val="00741BE1"/>
    <w:rsid w:val="0074278D"/>
    <w:rsid w:val="0074764C"/>
    <w:rsid w:val="00753C25"/>
    <w:rsid w:val="00761C09"/>
    <w:rsid w:val="00763917"/>
    <w:rsid w:val="00763E81"/>
    <w:rsid w:val="00776965"/>
    <w:rsid w:val="0079465B"/>
    <w:rsid w:val="00795C12"/>
    <w:rsid w:val="007A4F37"/>
    <w:rsid w:val="007B028B"/>
    <w:rsid w:val="007B13F5"/>
    <w:rsid w:val="007B5DFE"/>
    <w:rsid w:val="007B6A41"/>
    <w:rsid w:val="007C5514"/>
    <w:rsid w:val="007D0F21"/>
    <w:rsid w:val="007D23C6"/>
    <w:rsid w:val="007D4864"/>
    <w:rsid w:val="007E36BA"/>
    <w:rsid w:val="007F380D"/>
    <w:rsid w:val="007F42DA"/>
    <w:rsid w:val="007F4A98"/>
    <w:rsid w:val="00811072"/>
    <w:rsid w:val="00816835"/>
    <w:rsid w:val="00823C4F"/>
    <w:rsid w:val="00845981"/>
    <w:rsid w:val="008559A3"/>
    <w:rsid w:val="00872289"/>
    <w:rsid w:val="0087691C"/>
    <w:rsid w:val="0088260A"/>
    <w:rsid w:val="00893C24"/>
    <w:rsid w:val="008A21F4"/>
    <w:rsid w:val="008A49DF"/>
    <w:rsid w:val="008C68DF"/>
    <w:rsid w:val="008D59C5"/>
    <w:rsid w:val="008D618A"/>
    <w:rsid w:val="008E210E"/>
    <w:rsid w:val="008E4B89"/>
    <w:rsid w:val="008E617E"/>
    <w:rsid w:val="008F33AD"/>
    <w:rsid w:val="009000FA"/>
    <w:rsid w:val="00914E7A"/>
    <w:rsid w:val="00937AA0"/>
    <w:rsid w:val="00947FE2"/>
    <w:rsid w:val="009526E3"/>
    <w:rsid w:val="009606D4"/>
    <w:rsid w:val="00960E2B"/>
    <w:rsid w:val="00961280"/>
    <w:rsid w:val="00966792"/>
    <w:rsid w:val="00967087"/>
    <w:rsid w:val="00984988"/>
    <w:rsid w:val="00985A65"/>
    <w:rsid w:val="00985C31"/>
    <w:rsid w:val="00986B66"/>
    <w:rsid w:val="009A31BF"/>
    <w:rsid w:val="009A542A"/>
    <w:rsid w:val="009B05E1"/>
    <w:rsid w:val="009B2459"/>
    <w:rsid w:val="009C3DA1"/>
    <w:rsid w:val="009C4777"/>
    <w:rsid w:val="009D3C77"/>
    <w:rsid w:val="009D4448"/>
    <w:rsid w:val="009D7D63"/>
    <w:rsid w:val="009F1CB6"/>
    <w:rsid w:val="009F2C12"/>
    <w:rsid w:val="009F419D"/>
    <w:rsid w:val="00A05C21"/>
    <w:rsid w:val="00A10DB8"/>
    <w:rsid w:val="00A12801"/>
    <w:rsid w:val="00A14A3B"/>
    <w:rsid w:val="00A240FA"/>
    <w:rsid w:val="00A3199C"/>
    <w:rsid w:val="00A40306"/>
    <w:rsid w:val="00A52DBE"/>
    <w:rsid w:val="00A575F0"/>
    <w:rsid w:val="00A62950"/>
    <w:rsid w:val="00A642FF"/>
    <w:rsid w:val="00A73896"/>
    <w:rsid w:val="00A811D2"/>
    <w:rsid w:val="00A83BE3"/>
    <w:rsid w:val="00AA61EA"/>
    <w:rsid w:val="00AA6A63"/>
    <w:rsid w:val="00AB0A3D"/>
    <w:rsid w:val="00AC4CB3"/>
    <w:rsid w:val="00AC6AD2"/>
    <w:rsid w:val="00AD16E6"/>
    <w:rsid w:val="00AD3393"/>
    <w:rsid w:val="00AD3867"/>
    <w:rsid w:val="00AD75D4"/>
    <w:rsid w:val="00AE3A42"/>
    <w:rsid w:val="00AE7F4F"/>
    <w:rsid w:val="00AF618C"/>
    <w:rsid w:val="00AF6BEC"/>
    <w:rsid w:val="00B12E4F"/>
    <w:rsid w:val="00B157F7"/>
    <w:rsid w:val="00B16DB6"/>
    <w:rsid w:val="00B264B9"/>
    <w:rsid w:val="00B53068"/>
    <w:rsid w:val="00B63D5D"/>
    <w:rsid w:val="00B64F4D"/>
    <w:rsid w:val="00B748C6"/>
    <w:rsid w:val="00B813A0"/>
    <w:rsid w:val="00B8296E"/>
    <w:rsid w:val="00B82F43"/>
    <w:rsid w:val="00BA1CBD"/>
    <w:rsid w:val="00BA7566"/>
    <w:rsid w:val="00BA7814"/>
    <w:rsid w:val="00BB3B7C"/>
    <w:rsid w:val="00BB551C"/>
    <w:rsid w:val="00BC26F0"/>
    <w:rsid w:val="00BC481F"/>
    <w:rsid w:val="00BC5CDD"/>
    <w:rsid w:val="00BD0AFC"/>
    <w:rsid w:val="00BD17A7"/>
    <w:rsid w:val="00BD2DF1"/>
    <w:rsid w:val="00BD42B9"/>
    <w:rsid w:val="00BD532C"/>
    <w:rsid w:val="00BD75C1"/>
    <w:rsid w:val="00C0637F"/>
    <w:rsid w:val="00C10C94"/>
    <w:rsid w:val="00C20BA3"/>
    <w:rsid w:val="00C3438D"/>
    <w:rsid w:val="00C35833"/>
    <w:rsid w:val="00C41747"/>
    <w:rsid w:val="00C44AB4"/>
    <w:rsid w:val="00C54352"/>
    <w:rsid w:val="00C6201C"/>
    <w:rsid w:val="00C62B6C"/>
    <w:rsid w:val="00C81260"/>
    <w:rsid w:val="00C9289C"/>
    <w:rsid w:val="00C95CA9"/>
    <w:rsid w:val="00C9711A"/>
    <w:rsid w:val="00CA061B"/>
    <w:rsid w:val="00CA6438"/>
    <w:rsid w:val="00CB1640"/>
    <w:rsid w:val="00CB1E87"/>
    <w:rsid w:val="00CB2D14"/>
    <w:rsid w:val="00CC7FBC"/>
    <w:rsid w:val="00CD4AED"/>
    <w:rsid w:val="00CD5856"/>
    <w:rsid w:val="00CD6A8A"/>
    <w:rsid w:val="00CF0F2E"/>
    <w:rsid w:val="00CF3E82"/>
    <w:rsid w:val="00CF657E"/>
    <w:rsid w:val="00D168ED"/>
    <w:rsid w:val="00D35BE1"/>
    <w:rsid w:val="00D44E02"/>
    <w:rsid w:val="00D4643C"/>
    <w:rsid w:val="00D54679"/>
    <w:rsid w:val="00D62C64"/>
    <w:rsid w:val="00D67BAF"/>
    <w:rsid w:val="00D71864"/>
    <w:rsid w:val="00D87FC6"/>
    <w:rsid w:val="00D94BBD"/>
    <w:rsid w:val="00DA15A1"/>
    <w:rsid w:val="00DC7639"/>
    <w:rsid w:val="00DD6C10"/>
    <w:rsid w:val="00DE11A2"/>
    <w:rsid w:val="00DE5CC7"/>
    <w:rsid w:val="00E02017"/>
    <w:rsid w:val="00E05775"/>
    <w:rsid w:val="00E11DE5"/>
    <w:rsid w:val="00E1490C"/>
    <w:rsid w:val="00E24B48"/>
    <w:rsid w:val="00E37122"/>
    <w:rsid w:val="00E715BA"/>
    <w:rsid w:val="00E739B9"/>
    <w:rsid w:val="00E75580"/>
    <w:rsid w:val="00E75BB0"/>
    <w:rsid w:val="00E85195"/>
    <w:rsid w:val="00E94B59"/>
    <w:rsid w:val="00EA275E"/>
    <w:rsid w:val="00EA4BA6"/>
    <w:rsid w:val="00EA6FBD"/>
    <w:rsid w:val="00EB7B30"/>
    <w:rsid w:val="00EB7C25"/>
    <w:rsid w:val="00EC60CC"/>
    <w:rsid w:val="00EE23CE"/>
    <w:rsid w:val="00EE2A9D"/>
    <w:rsid w:val="00EF50F5"/>
    <w:rsid w:val="00F140A0"/>
    <w:rsid w:val="00F144A4"/>
    <w:rsid w:val="00F163CA"/>
    <w:rsid w:val="00F17107"/>
    <w:rsid w:val="00F2011B"/>
    <w:rsid w:val="00F32EA9"/>
    <w:rsid w:val="00F55439"/>
    <w:rsid w:val="00F56EBE"/>
    <w:rsid w:val="00F6130F"/>
    <w:rsid w:val="00F719AC"/>
    <w:rsid w:val="00F72360"/>
    <w:rsid w:val="00F800AC"/>
    <w:rsid w:val="00F828E7"/>
    <w:rsid w:val="00F847BF"/>
    <w:rsid w:val="00F84DD8"/>
    <w:rsid w:val="00F87E88"/>
    <w:rsid w:val="00FA3A05"/>
    <w:rsid w:val="00FB37D8"/>
    <w:rsid w:val="00FC0985"/>
    <w:rsid w:val="00FC5A67"/>
    <w:rsid w:val="00FC776C"/>
    <w:rsid w:val="00FC7C15"/>
    <w:rsid w:val="00FD036B"/>
    <w:rsid w:val="00FD6CD6"/>
    <w:rsid w:val="00FD7798"/>
    <w:rsid w:val="00FE4200"/>
    <w:rsid w:val="00FE47D8"/>
    <w:rsid w:val="00FF64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29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3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57477E"/>
    <w:pPr>
      <w:widowControl/>
      <w:suppressAutoHyphens w:val="0"/>
      <w:spacing w:line="240" w:lineRule="auto"/>
      <w:textAlignment w:val="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57477E"/>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57477E"/>
    <w:rPr>
      <w:vertAlign w:val="superscript"/>
    </w:rPr>
  </w:style>
  <w:style w:type="character" w:styleId="Hyperlink">
    <w:name w:val="Hyperlink"/>
    <w:basedOn w:val="Standaardalinea-lettertype"/>
    <w:uiPriority w:val="99"/>
    <w:unhideWhenUsed/>
    <w:rsid w:val="00BD2DF1"/>
    <w:rPr>
      <w:color w:val="0000FF" w:themeColor="hyperlink"/>
      <w:u w:val="single"/>
    </w:rPr>
  </w:style>
  <w:style w:type="character" w:styleId="Onopgelostemelding">
    <w:name w:val="Unresolved Mention"/>
    <w:basedOn w:val="Standaardalinea-lettertype"/>
    <w:uiPriority w:val="99"/>
    <w:semiHidden/>
    <w:unhideWhenUsed/>
    <w:rsid w:val="00BD2DF1"/>
    <w:rPr>
      <w:color w:val="605E5C"/>
      <w:shd w:val="clear" w:color="auto" w:fill="E1DFDD"/>
    </w:rPr>
  </w:style>
  <w:style w:type="paragraph" w:styleId="Lijstalinea">
    <w:name w:val="List Paragraph"/>
    <w:basedOn w:val="Standaard"/>
    <w:uiPriority w:val="34"/>
    <w:qFormat/>
    <w:rsid w:val="00F2011B"/>
    <w:pPr>
      <w:ind w:left="720"/>
      <w:contextualSpacing/>
    </w:pPr>
    <w:rPr>
      <w:rFonts w:cs="Mangal"/>
    </w:rPr>
  </w:style>
  <w:style w:type="character" w:styleId="Verwijzingopmerking">
    <w:name w:val="annotation reference"/>
    <w:basedOn w:val="Standaardalinea-lettertype"/>
    <w:uiPriority w:val="99"/>
    <w:semiHidden/>
    <w:unhideWhenUsed/>
    <w:rsid w:val="00166466"/>
    <w:rPr>
      <w:sz w:val="16"/>
      <w:szCs w:val="16"/>
    </w:rPr>
  </w:style>
  <w:style w:type="paragraph" w:styleId="Tekstopmerking">
    <w:name w:val="annotation text"/>
    <w:basedOn w:val="Standaard"/>
    <w:link w:val="TekstopmerkingChar"/>
    <w:uiPriority w:val="99"/>
    <w:unhideWhenUsed/>
    <w:rsid w:val="00166466"/>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166466"/>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166466"/>
    <w:rPr>
      <w:b/>
      <w:bCs/>
    </w:rPr>
  </w:style>
  <w:style w:type="character" w:customStyle="1" w:styleId="OnderwerpvanopmerkingChar">
    <w:name w:val="Onderwerp van opmerking Char"/>
    <w:basedOn w:val="TekstopmerkingChar"/>
    <w:link w:val="Onderwerpvanopmerking"/>
    <w:uiPriority w:val="99"/>
    <w:semiHidden/>
    <w:rsid w:val="00166466"/>
    <w:rPr>
      <w:rFonts w:ascii="Verdana" w:hAnsi="Verdana" w:cs="Mangal"/>
      <w:b/>
      <w:bCs/>
      <w:sz w:val="20"/>
      <w:szCs w:val="18"/>
    </w:rPr>
  </w:style>
  <w:style w:type="paragraph" w:styleId="Revisie">
    <w:name w:val="Revision"/>
    <w:hidden/>
    <w:uiPriority w:val="99"/>
    <w:semiHidden/>
    <w:rsid w:val="00F6130F"/>
    <w:pPr>
      <w:widowControl/>
      <w:suppressAutoHyphens w:val="0"/>
      <w:autoSpaceDN/>
      <w:textAlignment w:val="auto"/>
    </w:pPr>
    <w:rPr>
      <w:rFonts w:ascii="Verdana" w:hAnsi="Verdana" w:cs="Mangal"/>
      <w:sz w:val="18"/>
    </w:rPr>
  </w:style>
  <w:style w:type="paragraph" w:customStyle="1" w:styleId="Default">
    <w:name w:val="Default"/>
    <w:rsid w:val="0009272C"/>
    <w:pPr>
      <w:widowControl/>
      <w:suppressAutoHyphens w:val="0"/>
      <w:autoSpaceDE w:val="0"/>
      <w:adjustRightInd w:val="0"/>
      <w:textAlignment w:val="auto"/>
    </w:pPr>
    <w:rPr>
      <w:rFonts w:ascii="Lato" w:hAnsi="Lato" w:cs="Lato"/>
      <w:color w:val="000000"/>
      <w:kern w:val="0"/>
      <w:lang w:bidi="ar-SA"/>
    </w:rPr>
  </w:style>
  <w:style w:type="character" w:styleId="GevolgdeHyperlink">
    <w:name w:val="FollowedHyperlink"/>
    <w:basedOn w:val="Standaardalinea-lettertype"/>
    <w:uiPriority w:val="99"/>
    <w:semiHidden/>
    <w:unhideWhenUsed/>
    <w:rsid w:val="004655B4"/>
    <w:rPr>
      <w:color w:val="800080" w:themeColor="followedHyperlink"/>
      <w:u w:val="single"/>
    </w:rPr>
  </w:style>
  <w:style w:type="paragraph" w:styleId="Eindnoottekst">
    <w:name w:val="endnote text"/>
    <w:basedOn w:val="Standaard"/>
    <w:link w:val="EindnoottekstChar"/>
    <w:uiPriority w:val="99"/>
    <w:semiHidden/>
    <w:unhideWhenUsed/>
    <w:rsid w:val="009D4448"/>
    <w:pPr>
      <w:spacing w:line="240" w:lineRule="auto"/>
    </w:pPr>
    <w:rPr>
      <w:rFonts w:cs="Mangal"/>
      <w:sz w:val="20"/>
      <w:szCs w:val="18"/>
    </w:rPr>
  </w:style>
  <w:style w:type="character" w:customStyle="1" w:styleId="EindnoottekstChar">
    <w:name w:val="Eindnoottekst Char"/>
    <w:basedOn w:val="Standaardalinea-lettertype"/>
    <w:link w:val="Eindnoottekst"/>
    <w:uiPriority w:val="99"/>
    <w:semiHidden/>
    <w:rsid w:val="009D4448"/>
    <w:rPr>
      <w:rFonts w:ascii="Verdana" w:hAnsi="Verdana" w:cs="Mangal"/>
      <w:sz w:val="20"/>
      <w:szCs w:val="18"/>
    </w:rPr>
  </w:style>
  <w:style w:type="character" w:styleId="Eindnootmarkering">
    <w:name w:val="endnote reference"/>
    <w:basedOn w:val="Standaardalinea-lettertype"/>
    <w:uiPriority w:val="99"/>
    <w:semiHidden/>
    <w:unhideWhenUsed/>
    <w:rsid w:val="009D44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278506">
      <w:bodyDiv w:val="1"/>
      <w:marLeft w:val="0"/>
      <w:marRight w:val="0"/>
      <w:marTop w:val="0"/>
      <w:marBottom w:val="0"/>
      <w:divBdr>
        <w:top w:val="none" w:sz="0" w:space="0" w:color="auto"/>
        <w:left w:val="none" w:sz="0" w:space="0" w:color="auto"/>
        <w:bottom w:val="none" w:sz="0" w:space="0" w:color="auto"/>
        <w:right w:val="none" w:sz="0" w:space="0" w:color="auto"/>
      </w:divBdr>
    </w:div>
    <w:div w:id="614025507">
      <w:bodyDiv w:val="1"/>
      <w:marLeft w:val="0"/>
      <w:marRight w:val="0"/>
      <w:marTop w:val="0"/>
      <w:marBottom w:val="0"/>
      <w:divBdr>
        <w:top w:val="none" w:sz="0" w:space="0" w:color="auto"/>
        <w:left w:val="none" w:sz="0" w:space="0" w:color="auto"/>
        <w:bottom w:val="none" w:sz="0" w:space="0" w:color="auto"/>
        <w:right w:val="none" w:sz="0" w:space="0" w:color="auto"/>
      </w:divBdr>
    </w:div>
    <w:div w:id="977342106">
      <w:bodyDiv w:val="1"/>
      <w:marLeft w:val="0"/>
      <w:marRight w:val="0"/>
      <w:marTop w:val="0"/>
      <w:marBottom w:val="0"/>
      <w:divBdr>
        <w:top w:val="none" w:sz="0" w:space="0" w:color="auto"/>
        <w:left w:val="none" w:sz="0" w:space="0" w:color="auto"/>
        <w:bottom w:val="none" w:sz="0" w:space="0" w:color="auto"/>
        <w:right w:val="none" w:sz="0" w:space="0" w:color="auto"/>
      </w:divBdr>
    </w:div>
    <w:div w:id="998928004">
      <w:bodyDiv w:val="1"/>
      <w:marLeft w:val="0"/>
      <w:marRight w:val="0"/>
      <w:marTop w:val="0"/>
      <w:marBottom w:val="0"/>
      <w:divBdr>
        <w:top w:val="none" w:sz="0" w:space="0" w:color="auto"/>
        <w:left w:val="none" w:sz="0" w:space="0" w:color="auto"/>
        <w:bottom w:val="none" w:sz="0" w:space="0" w:color="auto"/>
        <w:right w:val="none" w:sz="0" w:space="0" w:color="auto"/>
      </w:divBdr>
    </w:div>
    <w:div w:id="1270042821">
      <w:bodyDiv w:val="1"/>
      <w:marLeft w:val="0"/>
      <w:marRight w:val="0"/>
      <w:marTop w:val="0"/>
      <w:marBottom w:val="0"/>
      <w:divBdr>
        <w:top w:val="none" w:sz="0" w:space="0" w:color="auto"/>
        <w:left w:val="none" w:sz="0" w:space="0" w:color="auto"/>
        <w:bottom w:val="none" w:sz="0" w:space="0" w:color="auto"/>
        <w:right w:val="none" w:sz="0" w:space="0" w:color="auto"/>
      </w:divBdr>
    </w:div>
    <w:div w:id="1360400908">
      <w:bodyDiv w:val="1"/>
      <w:marLeft w:val="0"/>
      <w:marRight w:val="0"/>
      <w:marTop w:val="0"/>
      <w:marBottom w:val="0"/>
      <w:divBdr>
        <w:top w:val="none" w:sz="0" w:space="0" w:color="auto"/>
        <w:left w:val="none" w:sz="0" w:space="0" w:color="auto"/>
        <w:bottom w:val="none" w:sz="0" w:space="0" w:color="auto"/>
        <w:right w:val="none" w:sz="0" w:space="0" w:color="auto"/>
      </w:divBdr>
    </w:div>
    <w:div w:id="1508246519">
      <w:bodyDiv w:val="1"/>
      <w:marLeft w:val="0"/>
      <w:marRight w:val="0"/>
      <w:marTop w:val="0"/>
      <w:marBottom w:val="0"/>
      <w:divBdr>
        <w:top w:val="none" w:sz="0" w:space="0" w:color="auto"/>
        <w:left w:val="none" w:sz="0" w:space="0" w:color="auto"/>
        <w:bottom w:val="none" w:sz="0" w:space="0" w:color="auto"/>
        <w:right w:val="none" w:sz="0" w:space="0" w:color="auto"/>
      </w:divBdr>
    </w:div>
    <w:div w:id="1853951179">
      <w:bodyDiv w:val="1"/>
      <w:marLeft w:val="0"/>
      <w:marRight w:val="0"/>
      <w:marTop w:val="0"/>
      <w:marBottom w:val="0"/>
      <w:divBdr>
        <w:top w:val="none" w:sz="0" w:space="0" w:color="auto"/>
        <w:left w:val="none" w:sz="0" w:space="0" w:color="auto"/>
        <w:bottom w:val="none" w:sz="0" w:space="0" w:color="auto"/>
        <w:right w:val="none" w:sz="0" w:space="0" w:color="auto"/>
      </w:divBdr>
    </w:div>
    <w:div w:id="21019499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kcbr.nl/ontwikkelen-beleid-en-regelgeving/beleidskompas" TargetMode="External"/><Relationship Id="rId2" Type="http://schemas.openxmlformats.org/officeDocument/2006/relationships/hyperlink" Target="https://www.kcbr.nl/sites/default/files/2024-09/Beleidscyclus_Webtoegankelijk.pdf" TargetMode="External"/><Relationship Id="rId1" Type="http://schemas.openxmlformats.org/officeDocument/2006/relationships/hyperlink" Target="https://www.rijksoverheid.nl/onderwerpen/coronavirus-tijdlij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3899</ap:Words>
  <ap:Characters>21449</ap:Characters>
  <ap:DocSecurity>0</ap:DocSecurity>
  <ap:Lines>178</ap:Lines>
  <ap:Paragraphs>50</ap:Paragraphs>
  <ap:ScaleCrop>false</ap:ScaleCrop>
  <ap:LinksUpToDate>false</ap:LinksUpToDate>
  <ap:CharactersWithSpaces>25298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2026-04-10T10:20:00.0000000Z</dcterms:created>
  <dcterms:modified xsi:type="dcterms:W3CDTF">2026-04-10T10:20:00.0000000Z</dcterms:modified>
  <dc:description>------------------------</dc:description>
  <dc:subject/>
  <dc:title/>
  <keywords/>
  <version/>
  <category/>
</coreProperties>
</file>