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E04B6" w14:paraId="00530AFE" w14:textId="77777777"/>
    <w:p w:rsidR="006E04B6" w:rsidP="006E04B6" w14:paraId="0CD96DB2" w14:textId="77777777">
      <w:r>
        <w:t xml:space="preserve">In het recente (commissie)debat over de Digitaliserende Overheid d.d. 29 januari 2026 </w:t>
      </w:r>
      <w:r w:rsidR="00F9296E">
        <w:t>is</w:t>
      </w:r>
      <w:r>
        <w:t xml:space="preserve"> u toegezegd om een </w:t>
      </w:r>
      <w:r w:rsidRPr="006E04B6">
        <w:t xml:space="preserve">overzicht </w:t>
      </w:r>
      <w:r>
        <w:t xml:space="preserve">te geven </w:t>
      </w:r>
      <w:r w:rsidRPr="006E04B6">
        <w:t xml:space="preserve">van grote IT-contracten vanuit het Rijkscontractenregister die binnen </w:t>
      </w:r>
      <w:r w:rsidR="000F0915">
        <w:t>twee</w:t>
      </w:r>
      <w:r w:rsidRPr="006E04B6">
        <w:t xml:space="preserve"> jaar zullen aflopen</w:t>
      </w:r>
      <w:r>
        <w:t xml:space="preserve">, met uw referentie TZ202601-116. </w:t>
      </w:r>
    </w:p>
    <w:p w:rsidR="006E04B6" w:rsidP="006E04B6" w14:paraId="0C51FAB8" w14:textId="77777777"/>
    <w:p w:rsidR="00542768" w14:paraId="400C1769" w14:textId="77777777">
      <w:pPr>
        <w:spacing w:line="240" w:lineRule="auto"/>
      </w:pPr>
      <w:r>
        <w:t>Het register</w:t>
      </w:r>
      <w:r>
        <w:rPr>
          <w:rStyle w:val="FootnoteReference"/>
        </w:rPr>
        <w:footnoteReference w:id="2"/>
      </w:r>
      <w:r>
        <w:t xml:space="preserve"> </w:t>
      </w:r>
      <w:r w:rsidRPr="007D27F9">
        <w:t xml:space="preserve">bevat gegevens over de Rijkscontracten, die onder regie van </w:t>
      </w:r>
      <w:r w:rsidR="002E16BF">
        <w:t xml:space="preserve">het </w:t>
      </w:r>
      <w:r w:rsidRPr="007D27F9">
        <w:t xml:space="preserve">Categoriemanagement Rijk zijn afgesloten. Met </w:t>
      </w:r>
      <w:r w:rsidR="002E16BF">
        <w:t>di</w:t>
      </w:r>
      <w:r w:rsidRPr="007D27F9">
        <w:t xml:space="preserve">t overzicht </w:t>
      </w:r>
      <w:r>
        <w:t>wordt aangegeven</w:t>
      </w:r>
      <w:r w:rsidRPr="007D27F9">
        <w:t xml:space="preserve">, per categorie, welke Rijkscontracten wanneer zijn afgesloten, eindigen of kunnen worden verlengd. </w:t>
      </w:r>
      <w:r w:rsidR="00B70BB7">
        <w:t xml:space="preserve">Instrumenten als het </w:t>
      </w:r>
      <w:r w:rsidR="00615F27">
        <w:t>R</w:t>
      </w:r>
      <w:r w:rsidR="00B70BB7">
        <w:t>ijksbreed</w:t>
      </w:r>
      <w:r w:rsidR="00B70BB7">
        <w:t xml:space="preserve"> categoriemanagement (voor inkoop van IT-dienstverlening) en het</w:t>
      </w:r>
      <w:r w:rsidR="00615F27">
        <w:t xml:space="preserve"> </w:t>
      </w:r>
      <w:r w:rsidR="00615F27">
        <w:t>R</w:t>
      </w:r>
      <w:r w:rsidR="00B70BB7">
        <w:t>ijksinkoopregister</w:t>
      </w:r>
      <w:r w:rsidR="00B70BB7">
        <w:t xml:space="preserve">  worden</w:t>
      </w:r>
      <w:r w:rsidR="00B70BB7">
        <w:t xml:space="preserve"> doorontwikkeld om sterker bij te dragen aan de gewenste slagvaardige overheid. </w:t>
      </w:r>
    </w:p>
    <w:p w:rsidR="00542768" w14:paraId="2AEAF908" w14:textId="77777777">
      <w:pPr>
        <w:spacing w:line="240" w:lineRule="auto"/>
      </w:pPr>
    </w:p>
    <w:p w:rsidR="007D27F9" w14:paraId="13606B58" w14:textId="77777777">
      <w:pPr>
        <w:spacing w:line="240" w:lineRule="auto"/>
      </w:pPr>
      <w:r>
        <w:t xml:space="preserve">Voor het beantwoorden van de gestelde vraag is een selectie gedaan naar de inkoop categorieën van het ICT-portfolio: </w:t>
      </w:r>
      <w:r>
        <w:t>ICT professionals</w:t>
      </w:r>
      <w:r>
        <w:t>, Software Rijk, ICT werkomgeving Rijk, Datacenters en Connectiviteit. Verder is zoals gevraag</w:t>
      </w:r>
      <w:r w:rsidR="00DB3CD8">
        <w:t>d</w:t>
      </w:r>
      <w:r>
        <w:t xml:space="preserve"> geselecteerd</w:t>
      </w:r>
      <w:r w:rsidR="00DE3BC8">
        <w:t xml:space="preserve"> op</w:t>
      </w:r>
      <w:r>
        <w:t xml:space="preserve"> de contracten die in de komende twee jaar aflopen. </w:t>
      </w:r>
    </w:p>
    <w:p w:rsidR="00542768" w14:paraId="7502D4B9" w14:textId="77777777">
      <w:pPr>
        <w:spacing w:line="240" w:lineRule="auto"/>
      </w:pPr>
    </w:p>
    <w:p w:rsidR="006E04B6" w:rsidP="00C92663" w14:paraId="08A7C189" w14:textId="77777777">
      <w:pPr>
        <w:spacing w:after="120"/>
      </w:pPr>
      <w:r>
        <w:t xml:space="preserve">De </w:t>
      </w:r>
      <w:r w:rsidR="000727AA">
        <w:t>R</w:t>
      </w:r>
      <w:r>
        <w:t>ijksbrede</w:t>
      </w:r>
      <w:r>
        <w:t xml:space="preserve"> inkoopcategorie ICT Professionals heeft </w:t>
      </w:r>
      <w:r w:rsidR="00542768">
        <w:t>64</w:t>
      </w:r>
      <w:r>
        <w:t xml:space="preserve"> contracten die in de komende twee jaar zullen aflopen. Dit zijn contracten voor </w:t>
      </w:r>
      <w:r w:rsidRPr="00542768" w:rsidR="00542768">
        <w:t>resultaatverplichte</w:t>
      </w:r>
      <w:r w:rsidRPr="00542768" w:rsidR="00542768">
        <w:t xml:space="preserve"> ICT-opdrachten</w:t>
      </w:r>
      <w:r>
        <w:t>, ICT inhuur en strategisch ICT maatwerk</w:t>
      </w:r>
      <w:r w:rsidR="00DE3BC8">
        <w:t>-</w:t>
      </w:r>
      <w:r>
        <w:t xml:space="preserve">advies. De contracten zijn aangegaan met deze partijen: </w:t>
      </w:r>
    </w:p>
    <w:p w:rsidRPr="004F7EE6" w:rsidR="00542768" w:rsidP="00542768" w14:paraId="26B84FDB" w14:textId="77777777">
      <w:pPr>
        <w:tabs>
          <w:tab w:val="left" w:pos="3402"/>
        </w:tabs>
      </w:pPr>
      <w:r w:rsidRPr="004F7EE6">
        <w:t>Atos</w:t>
      </w:r>
      <w:r w:rsidRPr="004F7EE6">
        <w:t xml:space="preserve"> Nederland B.V.</w:t>
      </w:r>
      <w:r w:rsidRPr="004F7EE6">
        <w:tab/>
      </w:r>
      <w:r w:rsidRPr="004F7EE6">
        <w:t>ItaQ</w:t>
      </w:r>
    </w:p>
    <w:p w:rsidRPr="00542768" w:rsidR="00542768" w:rsidP="00542768" w14:paraId="07DC490C" w14:textId="77777777">
      <w:pPr>
        <w:tabs>
          <w:tab w:val="left" w:pos="3402"/>
        </w:tabs>
        <w:rPr>
          <w:lang w:val="en-GB"/>
        </w:rPr>
      </w:pPr>
      <w:r w:rsidRPr="00542768">
        <w:rPr>
          <w:lang w:val="en-GB"/>
        </w:rPr>
        <w:t>BDO Advisory B.V.</w:t>
      </w:r>
      <w:r w:rsidRPr="00542768">
        <w:rPr>
          <w:lang w:val="en-GB"/>
        </w:rPr>
        <w:tab/>
        <w:t>KPMG Advisory N.V.</w:t>
      </w:r>
    </w:p>
    <w:p w:rsidR="00542768" w:rsidP="00542768" w14:paraId="28EB0596" w14:textId="77777777">
      <w:pPr>
        <w:tabs>
          <w:tab w:val="left" w:pos="3402"/>
        </w:tabs>
      </w:pPr>
      <w:r>
        <w:t>Between</w:t>
      </w:r>
      <w:r>
        <w:t xml:space="preserve"> </w:t>
      </w:r>
      <w:r>
        <w:t>Staffing</w:t>
      </w:r>
      <w:r>
        <w:t xml:space="preserve"> BV</w:t>
      </w:r>
      <w:r>
        <w:tab/>
      </w:r>
      <w:r>
        <w:t>Linkit</w:t>
      </w:r>
      <w:r>
        <w:t xml:space="preserve"> BV</w:t>
      </w:r>
    </w:p>
    <w:p w:rsidR="00542768" w:rsidP="00542768" w14:paraId="5B42161F" w14:textId="77777777">
      <w:pPr>
        <w:tabs>
          <w:tab w:val="left" w:pos="3402"/>
        </w:tabs>
        <w:ind w:right="-823"/>
      </w:pPr>
      <w:r>
        <w:t>Caesar Accounts</w:t>
      </w:r>
      <w:r>
        <w:tab/>
        <w:t>Nederlands Centrum voor Informatie Management</w:t>
      </w:r>
    </w:p>
    <w:p w:rsidRPr="00542768" w:rsidR="00542768" w:rsidP="00542768" w14:paraId="115779CF" w14:textId="77777777">
      <w:pPr>
        <w:tabs>
          <w:tab w:val="left" w:pos="3402"/>
        </w:tabs>
        <w:rPr>
          <w:lang w:val="en-GB"/>
        </w:rPr>
      </w:pPr>
      <w:r w:rsidRPr="00542768">
        <w:rPr>
          <w:lang w:val="en-GB"/>
        </w:rPr>
        <w:t>Capgemini Nederland B.V.</w:t>
      </w:r>
      <w:r w:rsidRPr="00542768">
        <w:rPr>
          <w:lang w:val="en-GB"/>
        </w:rPr>
        <w:tab/>
        <w:t>Need Staffing IT B.V.</w:t>
      </w:r>
    </w:p>
    <w:p w:rsidR="00542768" w:rsidP="00542768" w14:paraId="63E8A5CE" w14:textId="77777777">
      <w:pPr>
        <w:tabs>
          <w:tab w:val="left" w:pos="3402"/>
        </w:tabs>
      </w:pPr>
      <w:r>
        <w:t>CGI Nederland bv</w:t>
      </w:r>
      <w:r>
        <w:tab/>
        <w:t>Ordina Nederland B.V.</w:t>
      </w:r>
    </w:p>
    <w:p w:rsidRPr="00542768" w:rsidR="00542768" w:rsidP="00542768" w14:paraId="6F2DC519" w14:textId="77777777">
      <w:pPr>
        <w:tabs>
          <w:tab w:val="left" w:pos="3402"/>
        </w:tabs>
        <w:rPr>
          <w:lang w:val="en-GB"/>
        </w:rPr>
      </w:pPr>
      <w:r w:rsidRPr="00542768">
        <w:rPr>
          <w:lang w:val="en-GB"/>
        </w:rPr>
        <w:t>Cimsolutions</w:t>
      </w:r>
      <w:r w:rsidRPr="00542768">
        <w:rPr>
          <w:lang w:val="en-GB"/>
        </w:rPr>
        <w:tab/>
      </w:r>
      <w:r w:rsidRPr="00542768">
        <w:rPr>
          <w:lang w:val="en-GB"/>
        </w:rPr>
        <w:t>Pricewaterhousecoopers</w:t>
      </w:r>
      <w:r w:rsidRPr="00542768">
        <w:rPr>
          <w:lang w:val="en-GB"/>
        </w:rPr>
        <w:t xml:space="preserve"> Advisory N.V.</w:t>
      </w:r>
    </w:p>
    <w:p w:rsidRPr="00542768" w:rsidR="00542768" w:rsidP="00542768" w14:paraId="49EF3430" w14:textId="77777777">
      <w:pPr>
        <w:tabs>
          <w:tab w:val="left" w:pos="3402"/>
        </w:tabs>
        <w:rPr>
          <w:lang w:val="en-GB"/>
        </w:rPr>
      </w:pPr>
      <w:r w:rsidRPr="00542768">
        <w:rPr>
          <w:lang w:val="en-GB"/>
        </w:rPr>
        <w:t>De Staffing Groep (</w:t>
      </w:r>
      <w:r w:rsidRPr="00542768">
        <w:rPr>
          <w:lang w:val="en-GB"/>
        </w:rPr>
        <w:t>h.o.d.n</w:t>
      </w:r>
      <w:r w:rsidRPr="00542768">
        <w:rPr>
          <w:lang w:val="en-GB"/>
        </w:rPr>
        <w:t>. Circle8)</w:t>
      </w:r>
      <w:r w:rsidRPr="00542768">
        <w:rPr>
          <w:lang w:val="en-GB"/>
        </w:rPr>
        <w:tab/>
        <w:t>Secura B.V.</w:t>
      </w:r>
    </w:p>
    <w:p w:rsidRPr="00542768" w:rsidR="00542768" w:rsidP="00542768" w14:paraId="78B1E2AF" w14:textId="77777777">
      <w:pPr>
        <w:tabs>
          <w:tab w:val="left" w:pos="3402"/>
        </w:tabs>
        <w:rPr>
          <w:lang w:val="en-GB"/>
        </w:rPr>
      </w:pPr>
      <w:r w:rsidRPr="00542768">
        <w:rPr>
          <w:lang w:val="en-GB"/>
        </w:rPr>
        <w:t>DiVetro</w:t>
      </w:r>
      <w:r w:rsidRPr="00542768">
        <w:rPr>
          <w:lang w:val="en-GB"/>
        </w:rPr>
        <w:t xml:space="preserve"> B.V.</w:t>
      </w:r>
      <w:r w:rsidRPr="00542768">
        <w:rPr>
          <w:lang w:val="en-GB"/>
        </w:rPr>
        <w:tab/>
        <w:t>Seven Stars BV</w:t>
      </w:r>
    </w:p>
    <w:p w:rsidRPr="00542768" w:rsidR="00542768" w:rsidP="00542768" w14:paraId="5B525E31" w14:textId="77777777">
      <w:pPr>
        <w:tabs>
          <w:tab w:val="left" w:pos="3402"/>
        </w:tabs>
        <w:rPr>
          <w:lang w:val="de-DE"/>
        </w:rPr>
      </w:pPr>
      <w:r w:rsidRPr="00542768">
        <w:rPr>
          <w:lang w:val="de-DE"/>
        </w:rPr>
        <w:t>Experis</w:t>
      </w:r>
      <w:r w:rsidRPr="00542768">
        <w:rPr>
          <w:lang w:val="de-DE"/>
        </w:rPr>
        <w:t xml:space="preserve"> Professionals</w:t>
      </w:r>
      <w:r w:rsidRPr="00542768">
        <w:rPr>
          <w:lang w:val="de-DE"/>
        </w:rPr>
        <w:tab/>
      </w:r>
      <w:r w:rsidRPr="00542768">
        <w:rPr>
          <w:lang w:val="de-DE"/>
        </w:rPr>
        <w:t>Sogeti</w:t>
      </w:r>
      <w:r w:rsidRPr="00542768">
        <w:rPr>
          <w:lang w:val="de-DE"/>
        </w:rPr>
        <w:t xml:space="preserve"> </w:t>
      </w:r>
      <w:r w:rsidRPr="00542768">
        <w:rPr>
          <w:lang w:val="de-DE"/>
        </w:rPr>
        <w:t>Nederland</w:t>
      </w:r>
      <w:r w:rsidRPr="00542768">
        <w:rPr>
          <w:lang w:val="de-DE"/>
        </w:rPr>
        <w:t xml:space="preserve"> B.V.</w:t>
      </w:r>
    </w:p>
    <w:p w:rsidRPr="00542768" w:rsidR="00542768" w:rsidP="00542768" w14:paraId="01F45924" w14:textId="77777777">
      <w:pPr>
        <w:tabs>
          <w:tab w:val="left" w:pos="3402"/>
        </w:tabs>
        <w:rPr>
          <w:lang w:val="en-GB"/>
        </w:rPr>
      </w:pPr>
      <w:r w:rsidRPr="00542768">
        <w:rPr>
          <w:lang w:val="en-GB"/>
        </w:rPr>
        <w:t>FlexValue</w:t>
      </w:r>
      <w:r w:rsidRPr="00542768">
        <w:rPr>
          <w:lang w:val="en-GB"/>
        </w:rPr>
        <w:t xml:space="preserve"> B.V.</w:t>
      </w:r>
      <w:r w:rsidRPr="00542768">
        <w:rPr>
          <w:lang w:val="en-GB"/>
        </w:rPr>
        <w:tab/>
        <w:t>SQL Integrator B.V.</w:t>
      </w:r>
    </w:p>
    <w:p w:rsidRPr="00542768" w:rsidR="00542768" w:rsidP="00542768" w14:paraId="160C7DAB" w14:textId="77777777">
      <w:pPr>
        <w:tabs>
          <w:tab w:val="left" w:pos="3402"/>
        </w:tabs>
        <w:rPr>
          <w:lang w:val="en-GB"/>
        </w:rPr>
      </w:pPr>
      <w:r w:rsidRPr="00542768">
        <w:rPr>
          <w:lang w:val="en-GB"/>
        </w:rPr>
        <w:t xml:space="preserve">Get There Holding </w:t>
      </w:r>
      <w:r w:rsidRPr="00542768">
        <w:rPr>
          <w:lang w:val="en-GB"/>
        </w:rPr>
        <w:t>bv</w:t>
      </w:r>
      <w:r w:rsidRPr="00542768">
        <w:rPr>
          <w:lang w:val="en-GB"/>
        </w:rPr>
        <w:tab/>
      </w:r>
      <w:r w:rsidRPr="00542768">
        <w:rPr>
          <w:lang w:val="en-GB"/>
        </w:rPr>
        <w:t>Synprofs</w:t>
      </w:r>
    </w:p>
    <w:p w:rsidRPr="00542768" w:rsidR="00542768" w:rsidP="00542768" w14:paraId="783DB674" w14:textId="77777777">
      <w:pPr>
        <w:tabs>
          <w:tab w:val="left" w:pos="3402"/>
        </w:tabs>
        <w:rPr>
          <w:lang w:val="en-GB"/>
        </w:rPr>
      </w:pPr>
      <w:r w:rsidRPr="00542768">
        <w:rPr>
          <w:lang w:val="en-GB"/>
        </w:rPr>
        <w:t xml:space="preserve">Headfirst </w:t>
      </w:r>
      <w:r w:rsidRPr="00542768">
        <w:rPr>
          <w:lang w:val="en-GB"/>
        </w:rPr>
        <w:t>bv</w:t>
      </w:r>
      <w:r w:rsidRPr="00542768">
        <w:rPr>
          <w:lang w:val="en-GB"/>
        </w:rPr>
        <w:tab/>
      </w:r>
      <w:r w:rsidRPr="00542768">
        <w:rPr>
          <w:lang w:val="en-GB"/>
        </w:rPr>
        <w:t>Ukomst</w:t>
      </w:r>
      <w:r w:rsidRPr="00542768">
        <w:rPr>
          <w:lang w:val="en-GB"/>
        </w:rPr>
        <w:t xml:space="preserve"> </w:t>
      </w:r>
      <w:r w:rsidRPr="00542768">
        <w:rPr>
          <w:lang w:val="en-GB"/>
        </w:rPr>
        <w:t>bv</w:t>
      </w:r>
    </w:p>
    <w:p w:rsidR="00542768" w:rsidP="00542768" w14:paraId="728D6CDC" w14:textId="77777777">
      <w:pPr>
        <w:tabs>
          <w:tab w:val="left" w:pos="3402"/>
        </w:tabs>
      </w:pPr>
      <w:r>
        <w:t>Hero Interim Professionals</w:t>
      </w:r>
      <w:r>
        <w:tab/>
      </w:r>
      <w:r>
        <w:t>Verdonck</w:t>
      </w:r>
      <w:r>
        <w:t xml:space="preserve">, Klooster &amp; </w:t>
      </w:r>
      <w:r>
        <w:t>Associates</w:t>
      </w:r>
      <w:r>
        <w:t xml:space="preserve"> B.V.</w:t>
      </w:r>
    </w:p>
    <w:p w:rsidR="00542768" w:rsidP="00C92663" w14:paraId="36962357" w14:textId="77777777">
      <w:pPr>
        <w:tabs>
          <w:tab w:val="left" w:pos="3402"/>
        </w:tabs>
        <w:spacing w:after="120"/>
      </w:pPr>
      <w:r>
        <w:t>IlionX</w:t>
      </w:r>
      <w:r>
        <w:t xml:space="preserve"> Group B.V.</w:t>
      </w:r>
      <w:r>
        <w:tab/>
        <w:t>Yacht B.V.</w:t>
      </w:r>
    </w:p>
    <w:p w:rsidR="006E04B6" w:rsidP="00C92663" w14:paraId="38D69E57" w14:textId="77777777">
      <w:pPr>
        <w:spacing w:after="120"/>
      </w:pPr>
      <w:r>
        <w:t xml:space="preserve">De </w:t>
      </w:r>
      <w:r w:rsidR="000727AA">
        <w:t>R</w:t>
      </w:r>
      <w:r>
        <w:t>ijksbrede</w:t>
      </w:r>
      <w:r>
        <w:t xml:space="preserve"> inkoopcategorie Software Rijk heeft twaalf contracten die in de komende twee jaar zullen aflopen. Dit zijn contracten onder de noemer Europese Aanbesteding Programmatuur (EAP) voor de levering van standaardprogrammatuur en de daaraan gerelateerde dienstverlening. De contracten zijn aangegaan met deze partijen: </w:t>
      </w:r>
    </w:p>
    <w:p w:rsidR="006E04B6" w:rsidP="00542768" w14:paraId="1C85525D" w14:textId="77777777">
      <w:pPr>
        <w:ind w:left="708"/>
      </w:pPr>
      <w:r>
        <w:t>Centralpoint B.V.</w:t>
      </w:r>
    </w:p>
    <w:p w:rsidRPr="006E04B6" w:rsidR="006E04B6" w:rsidP="00542768" w14:paraId="41B57CB2" w14:textId="77777777">
      <w:pPr>
        <w:ind w:left="708"/>
        <w:rPr>
          <w:lang w:val="en-GB"/>
        </w:rPr>
      </w:pPr>
      <w:r w:rsidRPr="006E04B6">
        <w:rPr>
          <w:lang w:val="en-GB"/>
        </w:rPr>
        <w:t>Crayon B.V.</w:t>
      </w:r>
    </w:p>
    <w:p w:rsidRPr="006E04B6" w:rsidR="006E04B6" w:rsidP="00542768" w14:paraId="6A7D9A5E" w14:textId="77777777">
      <w:pPr>
        <w:ind w:left="708"/>
        <w:rPr>
          <w:lang w:val="en-GB"/>
        </w:rPr>
      </w:pPr>
      <w:r w:rsidRPr="006E04B6">
        <w:rPr>
          <w:lang w:val="en-GB"/>
        </w:rPr>
        <w:t>Insight Enterprises Netherlands B.V.</w:t>
      </w:r>
    </w:p>
    <w:p w:rsidRPr="006E04B6" w:rsidR="006E04B6" w:rsidP="00542768" w14:paraId="6F9802F4" w14:textId="77777777">
      <w:pPr>
        <w:ind w:left="708"/>
        <w:rPr>
          <w:lang w:val="en-GB"/>
        </w:rPr>
      </w:pPr>
      <w:r w:rsidRPr="006E04B6">
        <w:rPr>
          <w:lang w:val="en-GB"/>
        </w:rPr>
        <w:t>Protinus</w:t>
      </w:r>
      <w:r w:rsidRPr="006E04B6">
        <w:rPr>
          <w:lang w:val="en-GB"/>
        </w:rPr>
        <w:t xml:space="preserve"> IT B.V.</w:t>
      </w:r>
    </w:p>
    <w:p w:rsidR="006E04B6" w:rsidP="00C92663" w14:paraId="35B63FAE" w14:textId="77777777">
      <w:pPr>
        <w:spacing w:after="120"/>
        <w:ind w:left="709"/>
      </w:pPr>
      <w:r>
        <w:t>SoftwareONE</w:t>
      </w:r>
      <w:r>
        <w:t xml:space="preserve"> Netherlands B.V</w:t>
      </w:r>
    </w:p>
    <w:p w:rsidR="006E04B6" w:rsidP="00C92663" w14:paraId="2BB5C590" w14:textId="77777777">
      <w:pPr>
        <w:spacing w:after="120"/>
      </w:pPr>
      <w:r>
        <w:t xml:space="preserve">De </w:t>
      </w:r>
      <w:r w:rsidR="000727AA">
        <w:t>R</w:t>
      </w:r>
      <w:r>
        <w:t>ijksbrede</w:t>
      </w:r>
      <w:r>
        <w:t xml:space="preserve"> inkoopcategorie ICT Werkomgeving Rijk heeft vier contracten die in de komende twee jaar zullen aflopen. Dit zijn contracten voor het kopen of huren van werkplek apparatuur en daaraan gerelateerde dienstverlening plus contracten voor audiovisuele middelen. De contracten zijn aangegaan met deze partijen: </w:t>
      </w:r>
    </w:p>
    <w:p w:rsidR="006E04B6" w:rsidP="00542768" w14:paraId="7768E67F" w14:textId="77777777">
      <w:pPr>
        <w:ind w:left="708"/>
      </w:pPr>
      <w:r>
        <w:t xml:space="preserve">BIS </w:t>
      </w:r>
      <w:r>
        <w:t>Bedrijfs</w:t>
      </w:r>
      <w:r>
        <w:t xml:space="preserve"> Informatie Systemen B.V.</w:t>
      </w:r>
    </w:p>
    <w:p w:rsidR="006E04B6" w:rsidP="00542768" w14:paraId="0E5F9764" w14:textId="77777777">
      <w:pPr>
        <w:ind w:left="708"/>
      </w:pPr>
      <w:r>
        <w:t xml:space="preserve">De Lage Landen </w:t>
      </w:r>
      <w:r>
        <w:t>Vendorlease</w:t>
      </w:r>
      <w:r>
        <w:t xml:space="preserve"> B.V.</w:t>
      </w:r>
    </w:p>
    <w:p w:rsidR="006E04B6" w:rsidP="00542768" w14:paraId="043F978C" w14:textId="77777777">
      <w:pPr>
        <w:ind w:left="708"/>
      </w:pPr>
      <w:r>
        <w:t>NFGD Zoetermeer B.V.</w:t>
      </w:r>
    </w:p>
    <w:p w:rsidR="006E04B6" w:rsidP="00C92663" w14:paraId="16A57C86" w14:textId="77777777">
      <w:pPr>
        <w:spacing w:after="120"/>
        <w:ind w:left="709"/>
      </w:pPr>
      <w:r>
        <w:t>Pro Warehouse</w:t>
      </w:r>
    </w:p>
    <w:p w:rsidR="006E04B6" w:rsidP="00C92663" w14:paraId="65A6F007" w14:textId="77777777">
      <w:pPr>
        <w:spacing w:after="120"/>
      </w:pPr>
      <w:r>
        <w:t xml:space="preserve">De </w:t>
      </w:r>
      <w:r w:rsidR="000727AA">
        <w:t>R</w:t>
      </w:r>
      <w:r>
        <w:t>ijksbrede</w:t>
      </w:r>
      <w:r>
        <w:t xml:space="preserve"> inkoopcategorie Datacenters heeft zes contracten die in de komende twee jaar zullen aflopen. Dit zijn contracten onder de noemer Rijks Overheid Aanbesteding Datacenters (ROAD) voor het op duurzame en veilige wijze inrichten, uitbreiden en onderhouden van de datacenter oplossingen. De contracten zijn aangegaan met deze partijen: </w:t>
      </w:r>
    </w:p>
    <w:p w:rsidR="006E04B6" w:rsidP="00542768" w14:paraId="50532418" w14:textId="77777777">
      <w:pPr>
        <w:ind w:left="708"/>
      </w:pPr>
      <w:r>
        <w:t>Centralpoint Nijmegen B.V.</w:t>
      </w:r>
    </w:p>
    <w:p w:rsidRPr="006E04B6" w:rsidR="006E04B6" w:rsidP="00542768" w14:paraId="209C879C" w14:textId="77777777">
      <w:pPr>
        <w:ind w:left="708"/>
        <w:rPr>
          <w:lang w:val="en-GB"/>
        </w:rPr>
      </w:pPr>
      <w:r w:rsidRPr="006E04B6">
        <w:rPr>
          <w:lang w:val="en-GB"/>
        </w:rPr>
        <w:t>Protinus</w:t>
      </w:r>
      <w:r w:rsidRPr="006E04B6">
        <w:rPr>
          <w:lang w:val="en-GB"/>
        </w:rPr>
        <w:t xml:space="preserve"> IT B.V.</w:t>
      </w:r>
    </w:p>
    <w:p w:rsidRPr="006E04B6" w:rsidR="006E04B6" w:rsidP="00542768" w14:paraId="300B2BD0" w14:textId="77777777">
      <w:pPr>
        <w:ind w:left="708"/>
        <w:rPr>
          <w:lang w:val="en-GB"/>
        </w:rPr>
      </w:pPr>
      <w:r w:rsidRPr="006E04B6">
        <w:rPr>
          <w:lang w:val="en-GB"/>
        </w:rPr>
        <w:t>SLTN IT Products B.V.</w:t>
      </w:r>
    </w:p>
    <w:p w:rsidR="006E04B6" w:rsidP="00C92663" w14:paraId="379C909F" w14:textId="77777777">
      <w:pPr>
        <w:spacing w:after="120"/>
        <w:ind w:left="709"/>
      </w:pPr>
      <w:r>
        <w:t>Telindus-ISIT B.V.</w:t>
      </w:r>
    </w:p>
    <w:p w:rsidR="00A72845" w:rsidP="006E04B6" w14:paraId="0C64F73C" w14:textId="77777777">
      <w:r>
        <w:t xml:space="preserve">De </w:t>
      </w:r>
      <w:r w:rsidR="000727AA">
        <w:t>R</w:t>
      </w:r>
      <w:r>
        <w:t>ijksbrede</w:t>
      </w:r>
      <w:r>
        <w:t xml:space="preserve"> inkoopcategorie Connectiviteit heeft contracten die langer doorlopen dan de komende twee jaar. Dit zijn contracten voor onder andere vaste dataverbindingen en internet plus het leveren van mobiele connectiviteit voor spraak en data ten behoeve van persoonsgebonden apparatuur.</w:t>
      </w:r>
    </w:p>
    <w:p w:rsidR="00A72845" w14:paraId="186D799D" w14:textId="77777777"/>
    <w:p w:rsidR="00DB3CD8" w14:paraId="3ADF3415" w14:textId="77777777">
      <w:r>
        <w:t>Verder</w:t>
      </w:r>
      <w:r w:rsidR="00C15295">
        <w:t>e</w:t>
      </w:r>
      <w:r>
        <w:t xml:space="preserve"> </w:t>
      </w:r>
      <w:r w:rsidR="00C15295">
        <w:t xml:space="preserve">toelichting over de </w:t>
      </w:r>
      <w:r w:rsidR="000727AA">
        <w:t>R</w:t>
      </w:r>
      <w:r w:rsidR="00C15295">
        <w:t>ijksbrede</w:t>
      </w:r>
      <w:r w:rsidR="00C15295">
        <w:t xml:space="preserve"> inkoop is verwoord in de verzamelbrief digitalisering</w:t>
      </w:r>
      <w:r>
        <w:rPr>
          <w:rStyle w:val="FootnoteReference"/>
        </w:rPr>
        <w:footnoteReference w:id="3"/>
      </w:r>
      <w:r w:rsidR="00C15295">
        <w:t xml:space="preserve"> bij de toezegging</w:t>
      </w:r>
      <w:r>
        <w:rPr>
          <w:rStyle w:val="FootnoteReference"/>
        </w:rPr>
        <w:footnoteReference w:id="4"/>
      </w:r>
      <w:r w:rsidR="00C15295">
        <w:t xml:space="preserve"> over inzicht in financiële waarde van IT-contracten (blz.27). Ik hoop u hiermee voldoende te hebben geïnformeerd. </w:t>
      </w:r>
    </w:p>
    <w:p w:rsidR="00A72845" w14:paraId="1FDDDE60" w14:textId="77777777">
      <w:r>
        <w:br/>
      </w:r>
    </w:p>
    <w:p w:rsidR="00A72845" w14:paraId="1DA8CD10" w14:textId="77777777">
      <w:r>
        <w:t xml:space="preserve">De </w:t>
      </w:r>
      <w:r w:rsidR="00DE3BC8">
        <w:t>s</w:t>
      </w:r>
      <w:r>
        <w:t>taatssecretaris van Binnenlandse Zaken en Koninkrijksrelaties</w:t>
      </w:r>
      <w:r>
        <w:rPr>
          <w:i/>
        </w:rPr>
        <w:t>,</w:t>
      </w:r>
    </w:p>
    <w:p w:rsidR="00A72845" w14:paraId="6FCF9D86" w14:textId="77777777"/>
    <w:p w:rsidR="00C92663" w14:paraId="0ADB1F29" w14:textId="77777777"/>
    <w:p w:rsidR="00C92663" w14:paraId="13471694" w14:textId="77777777"/>
    <w:p w:rsidR="00C92663" w14:paraId="2939E576" w14:textId="77777777"/>
    <w:p w:rsidR="00A72845" w14:paraId="2D24B476" w14:textId="77777777">
      <w:r w:rsidRPr="00822BD5">
        <w:t>Eric van der Burg</w:t>
      </w: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845" w14:paraId="54F5EF60"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2F05" w14:paraId="05C1D033" w14:textId="77777777">
      <w:pPr>
        <w:spacing w:line="240" w:lineRule="auto"/>
      </w:pPr>
      <w:r>
        <w:separator/>
      </w:r>
    </w:p>
  </w:footnote>
  <w:footnote w:type="continuationSeparator" w:id="1">
    <w:p w:rsidR="00792F05" w14:paraId="40F58EC7" w14:textId="77777777">
      <w:pPr>
        <w:spacing w:line="240" w:lineRule="auto"/>
      </w:pPr>
      <w:r>
        <w:continuationSeparator/>
      </w:r>
    </w:p>
  </w:footnote>
  <w:footnote w:id="2">
    <w:p w:rsidR="007D27F9" w14:paraId="24A98B44" w14:textId="77777777">
      <w:pPr>
        <w:pStyle w:val="FootnoteText"/>
      </w:pPr>
      <w:r>
        <w:rPr>
          <w:rStyle w:val="FootnoteReference"/>
        </w:rPr>
        <w:footnoteRef/>
      </w:r>
      <w:r>
        <w:t xml:space="preserve"> </w:t>
      </w:r>
      <w:r w:rsidRPr="007D27F9">
        <w:rPr>
          <w:sz w:val="16"/>
          <w:szCs w:val="16"/>
        </w:rPr>
        <w:t>https://www.rijksoverheid.nl/documenten/publicaties/2018/12/06/rijkscontracten</w:t>
      </w:r>
    </w:p>
  </w:footnote>
  <w:footnote w:id="3">
    <w:p w:rsidR="00C15295" w14:paraId="17506A3A" w14:textId="77777777">
      <w:pPr>
        <w:pStyle w:val="FootnoteText"/>
      </w:pPr>
      <w:r>
        <w:rPr>
          <w:rStyle w:val="FootnoteReference"/>
        </w:rPr>
        <w:footnoteRef/>
      </w:r>
      <w:r>
        <w:t xml:space="preserve"> </w:t>
      </w:r>
      <w:r w:rsidRPr="00C15295">
        <w:rPr>
          <w:sz w:val="16"/>
          <w:szCs w:val="16"/>
        </w:rPr>
        <w:t>Tweede Kamer, vergaderjaar 2025–2026, 26 643, nr. 1450</w:t>
      </w:r>
    </w:p>
  </w:footnote>
  <w:footnote w:id="4">
    <w:p w:rsidR="00C15295" w14:paraId="0307E13B" w14:textId="77777777">
      <w:pPr>
        <w:pStyle w:val="FootnoteText"/>
      </w:pPr>
      <w:r>
        <w:rPr>
          <w:rStyle w:val="FootnoteReference"/>
        </w:rPr>
        <w:footnoteRef/>
      </w:r>
      <w:r>
        <w:t xml:space="preserve"> </w:t>
      </w:r>
      <w:r w:rsidRPr="00C15295">
        <w:rPr>
          <w:sz w:val="16"/>
          <w:szCs w:val="16"/>
        </w:rPr>
        <w:t>TZ202506-47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845" w14:paraId="6DE76B6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E04B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E04B6" w14:paraId="352A8E90"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72845" w14:textId="77777777">
                          <w:pPr>
                            <w:pStyle w:val="Referentiegegevensbold"/>
                          </w:pPr>
                          <w:r>
                            <w:t>DG Digitalisering &amp; Overheidsorganisatie</w:t>
                          </w:r>
                        </w:p>
                        <w:p w:rsidR="00A72845" w14:textId="77777777">
                          <w:pPr>
                            <w:pStyle w:val="Referentiegegevens"/>
                          </w:pPr>
                          <w:r>
                            <w:t>Inkoop- &amp; Aanbestedingsbeleid</w:t>
                          </w:r>
                        </w:p>
                        <w:p w:rsidR="00A72845" w14:textId="77777777">
                          <w:pPr>
                            <w:pStyle w:val="WitregelW2"/>
                          </w:pPr>
                        </w:p>
                        <w:p w:rsidR="00A72845" w14:textId="77777777">
                          <w:pPr>
                            <w:pStyle w:val="Referentiegegevensbold"/>
                          </w:pPr>
                          <w:r>
                            <w:t>Datum</w:t>
                          </w:r>
                        </w:p>
                        <w:p w:rsidR="00B95307" w14:textId="77777777">
                          <w:pPr>
                            <w:pStyle w:val="Referentiegegevens"/>
                          </w:pPr>
                          <w:r>
                            <w:fldChar w:fldCharType="begin"/>
                          </w:r>
                          <w:r>
                            <w:instrText xml:space="preserve"> DOCPROPERTY  "Datum"  \* MERGEFORMAT </w:instrText>
                          </w:r>
                          <w:r>
                            <w:fldChar w:fldCharType="separate"/>
                          </w:r>
                          <w:r>
                            <w:fldChar w:fldCharType="end"/>
                          </w:r>
                        </w:p>
                        <w:p w:rsidR="00A72845" w14:textId="77777777">
                          <w:pPr>
                            <w:pStyle w:val="WitregelW1"/>
                          </w:pPr>
                        </w:p>
                        <w:p w:rsidR="00A72845" w14:textId="77777777">
                          <w:pPr>
                            <w:pStyle w:val="Referentiegegevensbold"/>
                          </w:pPr>
                          <w:r>
                            <w:t>Onze referentie</w:t>
                          </w:r>
                        </w:p>
                        <w:p w:rsidR="00B95307" w14:textId="77777777">
                          <w:pPr>
                            <w:pStyle w:val="Referentiegegevens"/>
                          </w:pPr>
                          <w:r>
                            <w:fldChar w:fldCharType="begin"/>
                          </w:r>
                          <w:r>
                            <w:instrText xml:space="preserve"> DOCPROPERTY  "Kenmerk"  \* MERGEFORMAT </w:instrText>
                          </w:r>
                          <w:r>
                            <w:fldChar w:fldCharType="separate"/>
                          </w:r>
                          <w:r w:rsidR="00525143">
                            <w:t>2026-0000072036</w:t>
                          </w:r>
                          <w:r w:rsidR="00525143">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72845" w14:paraId="2BE09818" w14:textId="77777777">
                    <w:pPr>
                      <w:pStyle w:val="Referentiegegevensbold"/>
                    </w:pPr>
                    <w:r>
                      <w:t>DG Digitalisering &amp; Overheidsorganisatie</w:t>
                    </w:r>
                  </w:p>
                  <w:p w:rsidR="00A72845" w14:paraId="6237A2B0" w14:textId="77777777">
                    <w:pPr>
                      <w:pStyle w:val="Referentiegegevens"/>
                    </w:pPr>
                    <w:r>
                      <w:t>Inkoop- &amp; Aanbestedingsbeleid</w:t>
                    </w:r>
                  </w:p>
                  <w:p w:rsidR="00A72845" w14:paraId="0B692F34" w14:textId="77777777">
                    <w:pPr>
                      <w:pStyle w:val="WitregelW2"/>
                    </w:pPr>
                  </w:p>
                  <w:p w:rsidR="00A72845" w14:paraId="5D449BA1" w14:textId="77777777">
                    <w:pPr>
                      <w:pStyle w:val="Referentiegegevensbold"/>
                    </w:pPr>
                    <w:r>
                      <w:t>Datum</w:t>
                    </w:r>
                  </w:p>
                  <w:p w:rsidR="00B95307" w14:paraId="2C13631B" w14:textId="77777777">
                    <w:pPr>
                      <w:pStyle w:val="Referentiegegevens"/>
                    </w:pPr>
                    <w:r>
                      <w:fldChar w:fldCharType="begin"/>
                    </w:r>
                    <w:r>
                      <w:instrText xml:space="preserve"> DOCPROPERTY  "Datum"  \* MERGEFORMAT </w:instrText>
                    </w:r>
                    <w:r>
                      <w:fldChar w:fldCharType="separate"/>
                    </w:r>
                    <w:r>
                      <w:fldChar w:fldCharType="end"/>
                    </w:r>
                  </w:p>
                  <w:p w:rsidR="00A72845" w14:paraId="7ECDC0B2" w14:textId="77777777">
                    <w:pPr>
                      <w:pStyle w:val="WitregelW1"/>
                    </w:pPr>
                  </w:p>
                  <w:p w:rsidR="00A72845" w14:paraId="36666E37" w14:textId="77777777">
                    <w:pPr>
                      <w:pStyle w:val="Referentiegegevensbold"/>
                    </w:pPr>
                    <w:r>
                      <w:t>Onze referentie</w:t>
                    </w:r>
                  </w:p>
                  <w:p w:rsidR="00B95307" w14:paraId="129F1012" w14:textId="77777777">
                    <w:pPr>
                      <w:pStyle w:val="Referentiegegevens"/>
                    </w:pPr>
                    <w:r>
                      <w:fldChar w:fldCharType="begin"/>
                    </w:r>
                    <w:r>
                      <w:instrText xml:space="preserve"> DOCPROPERTY  "Kenmerk"  \* MERGEFORMAT </w:instrText>
                    </w:r>
                    <w:r>
                      <w:fldChar w:fldCharType="separate"/>
                    </w:r>
                    <w:r w:rsidR="00525143">
                      <w:t>2026-0000072036</w:t>
                    </w:r>
                    <w:r w:rsidR="0052514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E04B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E04B6" w14:paraId="37D8D97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9530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95307" w14:paraId="6CDA32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845" w14:paraId="15F0F79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72845" w14:textId="77777777">
                          <w:pPr>
                            <w:spacing w:line="240" w:lineRule="auto"/>
                          </w:pPr>
                          <w:r>
                            <w:rPr>
                              <w:noProof/>
                            </w:rPr>
                            <w:drawing>
                              <wp:inline distT="0" distB="0" distL="0" distR="0">
                                <wp:extent cx="467995" cy="1583865"/>
                                <wp:effectExtent l="0" t="0" r="0" b="0"/>
                                <wp:docPr id="15174070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174070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72845" w14:paraId="2E6AD6A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72845" w14:textId="77777777">
                          <w:pPr>
                            <w:spacing w:line="240" w:lineRule="auto"/>
                          </w:pPr>
                          <w:r>
                            <w:rPr>
                              <w:noProof/>
                            </w:rPr>
                            <w:drawing>
                              <wp:inline distT="0" distB="0" distL="0" distR="0">
                                <wp:extent cx="2339975" cy="1582834"/>
                                <wp:effectExtent l="0" t="0" r="0" b="0"/>
                                <wp:docPr id="201237753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1237753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72845" w14:paraId="254D403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284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72845" w14:paraId="36633E7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72845" w14:textId="77777777">
                          <w:r>
                            <w:t>Aan de voorzitter van de Tweede Kamer der Staten-Generaal</w:t>
                          </w:r>
                        </w:p>
                        <w:p w:rsidR="00A72845" w14:textId="77777777">
                          <w:r>
                            <w:t>Postbus 20018</w:t>
                          </w:r>
                        </w:p>
                        <w:p w:rsidR="00A72845" w14:textId="77777777">
                          <w:r>
                            <w:t>2500 EA 's-Gravenhage</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72845" w14:paraId="21AEE9F3" w14:textId="77777777">
                    <w:r>
                      <w:t>Aan de voorzitter van de Tweede Kamer der Staten-Generaal</w:t>
                    </w:r>
                  </w:p>
                  <w:p w:rsidR="00A72845" w14:paraId="4E51DE8D" w14:textId="77777777">
                    <w:r>
                      <w:t>Postbus 20018</w:t>
                    </w:r>
                  </w:p>
                  <w:p w:rsidR="00A72845" w14:paraId="35D3A7CE" w14:textId="77777777">
                    <w:r>
                      <w:t>2500 EA 's-Gravenhage</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4038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03860"/>
                      </a:xfrm>
                      <a:prstGeom prst="rect">
                        <a:avLst/>
                      </a:prstGeom>
                      <a:noFill/>
                    </wps:spPr>
                    <wps:txbx>
                      <w:txbxContent>
                        <w:tbl>
                          <w:tblPr>
                            <w:tblW w:w="0" w:type="auto"/>
                            <w:tblInd w:w="-120" w:type="dxa"/>
                            <w:tblLayout w:type="fixed"/>
                            <w:tblLook w:val="07E0"/>
                          </w:tblPr>
                          <w:tblGrid>
                            <w:gridCol w:w="1140"/>
                            <w:gridCol w:w="5918"/>
                          </w:tblGrid>
                          <w:tr w14:paraId="3673F3FA" w14:textId="77777777">
                            <w:tblPrEx>
                              <w:tblW w:w="0" w:type="auto"/>
                              <w:tblInd w:w="-120" w:type="dxa"/>
                              <w:tblLayout w:type="fixed"/>
                              <w:tblLook w:val="07E0"/>
                            </w:tblPrEx>
                            <w:trPr>
                              <w:trHeight w:val="240"/>
                            </w:trPr>
                            <w:tc>
                              <w:tcPr>
                                <w:tcW w:w="1140" w:type="dxa"/>
                              </w:tcPr>
                              <w:p w:rsidR="00A72845" w14:textId="77777777">
                                <w:r>
                                  <w:t>Datum</w:t>
                                </w:r>
                              </w:p>
                            </w:tc>
                            <w:tc>
                              <w:tcPr>
                                <w:tcW w:w="5918" w:type="dxa"/>
                              </w:tcPr>
                              <w:p w:rsidR="00B95307" w14:textId="4D5D0A00">
                                <w:r>
                                  <w:t>10 april 2026</w:t>
                                </w:r>
                                <w:r w:rsidR="00000000">
                                  <w:fldChar w:fldCharType="begin"/>
                                </w:r>
                                <w:r w:rsidR="00000000">
                                  <w:instrText xml:space="preserve"> DOCPROPERTY  "Datum"  \* MERGEFORMAT </w:instrText>
                                </w:r>
                                <w:r w:rsidR="00000000">
                                  <w:fldChar w:fldCharType="separate"/>
                                </w:r>
                                <w:r w:rsidR="00000000">
                                  <w:fldChar w:fldCharType="end"/>
                                </w:r>
                              </w:p>
                            </w:tc>
                          </w:tr>
                          <w:tr w14:paraId="0E831ECE" w14:textId="77777777">
                            <w:tblPrEx>
                              <w:tblW w:w="0" w:type="auto"/>
                              <w:tblInd w:w="-120" w:type="dxa"/>
                              <w:tblLayout w:type="fixed"/>
                              <w:tblLook w:val="07E0"/>
                            </w:tblPrEx>
                            <w:trPr>
                              <w:trHeight w:val="240"/>
                            </w:trPr>
                            <w:tc>
                              <w:tcPr>
                                <w:tcW w:w="1140" w:type="dxa"/>
                              </w:tcPr>
                              <w:p w:rsidR="00A72845" w14:textId="77777777">
                                <w:r>
                                  <w:t>Betreft</w:t>
                                </w:r>
                              </w:p>
                            </w:tc>
                            <w:bookmarkStart w:id="0" w:name="_Hlk226726738"/>
                            <w:tc>
                              <w:tcPr>
                                <w:tcW w:w="5918" w:type="dxa"/>
                              </w:tcPr>
                              <w:p w:rsidR="00B95307" w14:textId="77777777">
                                <w:r>
                                  <w:fldChar w:fldCharType="begin"/>
                                </w:r>
                                <w:r>
                                  <w:instrText xml:space="preserve"> DOCPROPERTY  "Onderwerp"  \* MERGEFORMAT </w:instrText>
                                </w:r>
                                <w:r>
                                  <w:fldChar w:fldCharType="separate"/>
                                </w:r>
                                <w:r w:rsidR="00525143">
                                  <w:t>Toezegging aflopende contracten</w:t>
                                </w:r>
                                <w:r>
                                  <w:fldChar w:fldCharType="end"/>
                                </w:r>
                                <w:bookmarkEnd w:id="0"/>
                              </w:p>
                            </w:tc>
                          </w:tr>
                        </w:tbl>
                        <w:p w:rsidR="006E04B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1.8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673F3F9" w14:textId="77777777">
                      <w:tblPrEx>
                        <w:tblW w:w="0" w:type="auto"/>
                        <w:tblInd w:w="-120" w:type="dxa"/>
                        <w:tblLayout w:type="fixed"/>
                        <w:tblLook w:val="07E0"/>
                      </w:tblPrEx>
                      <w:trPr>
                        <w:trHeight w:val="240"/>
                      </w:trPr>
                      <w:tc>
                        <w:tcPr>
                          <w:tcW w:w="1140" w:type="dxa"/>
                        </w:tcPr>
                        <w:p w:rsidR="00A72845" w14:paraId="16980C99" w14:textId="77777777">
                          <w:r>
                            <w:t>Datum</w:t>
                          </w:r>
                        </w:p>
                      </w:tc>
                      <w:tc>
                        <w:tcPr>
                          <w:tcW w:w="5918" w:type="dxa"/>
                        </w:tcPr>
                        <w:p w:rsidR="00B95307" w14:paraId="62281329" w14:textId="4D5D0A00">
                          <w:r>
                            <w:t>10 april 2026</w:t>
                          </w:r>
                          <w:r w:rsidR="00000000">
                            <w:fldChar w:fldCharType="begin"/>
                          </w:r>
                          <w:r w:rsidR="00000000">
                            <w:instrText xml:space="preserve"> DOCPROPERTY  "Datum"  \* MERGEFORMAT </w:instrText>
                          </w:r>
                          <w:r w:rsidR="00000000">
                            <w:fldChar w:fldCharType="separate"/>
                          </w:r>
                          <w:r w:rsidR="00000000">
                            <w:fldChar w:fldCharType="end"/>
                          </w:r>
                        </w:p>
                      </w:tc>
                    </w:tr>
                    <w:tr w14:paraId="0E831ECD" w14:textId="77777777">
                      <w:tblPrEx>
                        <w:tblW w:w="0" w:type="auto"/>
                        <w:tblInd w:w="-120" w:type="dxa"/>
                        <w:tblLayout w:type="fixed"/>
                        <w:tblLook w:val="07E0"/>
                      </w:tblPrEx>
                      <w:trPr>
                        <w:trHeight w:val="240"/>
                      </w:trPr>
                      <w:tc>
                        <w:tcPr>
                          <w:tcW w:w="1140" w:type="dxa"/>
                        </w:tcPr>
                        <w:p w:rsidR="00A72845" w14:paraId="19635666" w14:textId="77777777">
                          <w:r>
                            <w:t>Betreft</w:t>
                          </w:r>
                        </w:p>
                      </w:tc>
                      <w:bookmarkStart w:id="0" w:name="_Hlk226726738"/>
                      <w:tc>
                        <w:tcPr>
                          <w:tcW w:w="5918" w:type="dxa"/>
                        </w:tcPr>
                        <w:p w:rsidR="00B95307" w14:paraId="12F650B6" w14:textId="77777777">
                          <w:r>
                            <w:fldChar w:fldCharType="begin"/>
                          </w:r>
                          <w:r>
                            <w:instrText xml:space="preserve"> DOCPROPERTY  "Onderwerp"  \* MERGEFORMAT </w:instrText>
                          </w:r>
                          <w:r>
                            <w:fldChar w:fldCharType="separate"/>
                          </w:r>
                          <w:r w:rsidR="00525143">
                            <w:t>Toezegging aflopende contracten</w:t>
                          </w:r>
                          <w:r>
                            <w:fldChar w:fldCharType="end"/>
                          </w:r>
                          <w:bookmarkEnd w:id="0"/>
                        </w:p>
                      </w:tc>
                    </w:tr>
                  </w:tbl>
                  <w:p w:rsidR="006E04B6" w14:paraId="5741594A"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72845" w14:textId="77777777">
                          <w:pPr>
                            <w:pStyle w:val="Referentiegegevensbold"/>
                          </w:pPr>
                          <w:r>
                            <w:t>DG Digitalisering &amp; Overheidsorganisatie</w:t>
                          </w:r>
                        </w:p>
                        <w:p w:rsidR="00A72845" w14:textId="77777777">
                          <w:pPr>
                            <w:pStyle w:val="Referentiegegevens"/>
                          </w:pPr>
                          <w:r>
                            <w:t>Inkoop- &amp; Aanbestedingsbeleid</w:t>
                          </w:r>
                        </w:p>
                        <w:p w:rsidR="00A72845" w14:textId="77777777">
                          <w:pPr>
                            <w:pStyle w:val="WitregelW1"/>
                          </w:pPr>
                        </w:p>
                        <w:p w:rsidR="00A72845" w14:textId="77777777">
                          <w:pPr>
                            <w:pStyle w:val="Referentiegegevens"/>
                          </w:pPr>
                          <w:r>
                            <w:t>Turfmarkt 147</w:t>
                          </w:r>
                        </w:p>
                        <w:p w:rsidR="00A72845" w14:textId="77777777">
                          <w:pPr>
                            <w:pStyle w:val="Referentiegegevens"/>
                          </w:pPr>
                          <w:r>
                            <w:t>2511 DP Den Haag</w:t>
                          </w:r>
                        </w:p>
                        <w:p w:rsidR="00A72845" w14:textId="77777777">
                          <w:pPr>
                            <w:pStyle w:val="Referentiegegevens"/>
                          </w:pPr>
                          <w:r>
                            <w:t>Postbus 20011</w:t>
                          </w:r>
                        </w:p>
                        <w:p w:rsidR="00A72845" w14:textId="77777777">
                          <w:pPr>
                            <w:pStyle w:val="Referentiegegevens"/>
                          </w:pPr>
                          <w:r>
                            <w:t>2500 EA  Den Haag</w:t>
                          </w:r>
                        </w:p>
                        <w:p w:rsidR="00A72845" w14:textId="77777777">
                          <w:pPr>
                            <w:pStyle w:val="WitregelW1"/>
                          </w:pPr>
                        </w:p>
                        <w:p w:rsidR="00A72845" w14:textId="77777777">
                          <w:pPr>
                            <w:pStyle w:val="WitregelW2"/>
                          </w:pPr>
                        </w:p>
                        <w:p w:rsidR="00A72845" w14:textId="77777777">
                          <w:pPr>
                            <w:pStyle w:val="Referentiegegevensbold"/>
                          </w:pPr>
                          <w:r>
                            <w:t>Onze referentie</w:t>
                          </w:r>
                        </w:p>
                        <w:bookmarkStart w:id="1" w:name="_Hlk226726763"/>
                        <w:p w:rsidR="00B95307" w14:textId="77777777">
                          <w:pPr>
                            <w:pStyle w:val="Referentiegegevens"/>
                          </w:pPr>
                          <w:r>
                            <w:fldChar w:fldCharType="begin"/>
                          </w:r>
                          <w:r>
                            <w:instrText xml:space="preserve"> DOCPROPERTY  "Kenmerk"  \* MERGEFORMAT </w:instrText>
                          </w:r>
                          <w:r>
                            <w:fldChar w:fldCharType="separate"/>
                          </w:r>
                          <w:r w:rsidR="00525143">
                            <w:t>2026-0000072036</w:t>
                          </w:r>
                          <w:r>
                            <w:fldChar w:fldCharType="end"/>
                          </w:r>
                        </w:p>
                        <w:bookmarkEnd w:id="1"/>
                        <w:p w:rsidR="00A72845" w14:textId="77777777">
                          <w:pPr>
                            <w:pStyle w:val="WitregelW1"/>
                          </w:pPr>
                        </w:p>
                        <w:p w:rsidR="00A72845" w14:textId="77777777">
                          <w:pPr>
                            <w:pStyle w:val="Referentiegegevensbold"/>
                          </w:pPr>
                          <w:r>
                            <w:t>Uw referentie</w:t>
                          </w:r>
                        </w:p>
                        <w:p w:rsidR="00A72845" w14:textId="77777777">
                          <w:pPr>
                            <w:pStyle w:val="Referentiegegevens"/>
                          </w:pPr>
                          <w:r>
                            <w:t>TZ202601-116</w:t>
                          </w:r>
                        </w:p>
                        <w:p w:rsidR="00A72845" w14:textId="77777777">
                          <w:pPr>
                            <w:pStyle w:val="WitregelW1"/>
                          </w:pPr>
                        </w:p>
                        <w:p w:rsidR="00A7284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72845" w14:paraId="2BDFD4F4" w14:textId="77777777">
                    <w:pPr>
                      <w:pStyle w:val="Referentiegegevensbold"/>
                    </w:pPr>
                    <w:r>
                      <w:t>DG Digitalisering &amp; Overheidsorganisatie</w:t>
                    </w:r>
                  </w:p>
                  <w:p w:rsidR="00A72845" w14:paraId="44F96138" w14:textId="77777777">
                    <w:pPr>
                      <w:pStyle w:val="Referentiegegevens"/>
                    </w:pPr>
                    <w:r>
                      <w:t>Inkoop- &amp; Aanbestedingsbeleid</w:t>
                    </w:r>
                  </w:p>
                  <w:p w:rsidR="00A72845" w14:paraId="2E1378C0" w14:textId="77777777">
                    <w:pPr>
                      <w:pStyle w:val="WitregelW1"/>
                    </w:pPr>
                  </w:p>
                  <w:p w:rsidR="00A72845" w14:paraId="3C0C1FFD" w14:textId="77777777">
                    <w:pPr>
                      <w:pStyle w:val="Referentiegegevens"/>
                    </w:pPr>
                    <w:r>
                      <w:t>Turfmarkt 147</w:t>
                    </w:r>
                  </w:p>
                  <w:p w:rsidR="00A72845" w14:paraId="3833F644" w14:textId="77777777">
                    <w:pPr>
                      <w:pStyle w:val="Referentiegegevens"/>
                    </w:pPr>
                    <w:r>
                      <w:t>2511 DP Den Haag</w:t>
                    </w:r>
                  </w:p>
                  <w:p w:rsidR="00A72845" w14:paraId="3C7B61E0" w14:textId="77777777">
                    <w:pPr>
                      <w:pStyle w:val="Referentiegegevens"/>
                    </w:pPr>
                    <w:r>
                      <w:t>Postbus 20011</w:t>
                    </w:r>
                  </w:p>
                  <w:p w:rsidR="00A72845" w14:paraId="646699AD" w14:textId="77777777">
                    <w:pPr>
                      <w:pStyle w:val="Referentiegegevens"/>
                    </w:pPr>
                    <w:r>
                      <w:t>2500 EA  Den Haag</w:t>
                    </w:r>
                  </w:p>
                  <w:p w:rsidR="00A72845" w14:paraId="4F2270BE" w14:textId="77777777">
                    <w:pPr>
                      <w:pStyle w:val="WitregelW1"/>
                    </w:pPr>
                  </w:p>
                  <w:p w:rsidR="00A72845" w14:paraId="537C883D" w14:textId="77777777">
                    <w:pPr>
                      <w:pStyle w:val="WitregelW2"/>
                    </w:pPr>
                  </w:p>
                  <w:p w:rsidR="00A72845" w14:paraId="6B8380F9" w14:textId="77777777">
                    <w:pPr>
                      <w:pStyle w:val="Referentiegegevensbold"/>
                    </w:pPr>
                    <w:r>
                      <w:t>Onze referentie</w:t>
                    </w:r>
                  </w:p>
                  <w:bookmarkStart w:id="1" w:name="_Hlk226726763"/>
                  <w:p w:rsidR="00B95307" w14:paraId="2EF7B11E" w14:textId="77777777">
                    <w:pPr>
                      <w:pStyle w:val="Referentiegegevens"/>
                    </w:pPr>
                    <w:r>
                      <w:fldChar w:fldCharType="begin"/>
                    </w:r>
                    <w:r>
                      <w:instrText xml:space="preserve"> DOCPROPERTY  "Kenmerk"  \* MERGEFORMAT </w:instrText>
                    </w:r>
                    <w:r>
                      <w:fldChar w:fldCharType="separate"/>
                    </w:r>
                    <w:r w:rsidR="00525143">
                      <w:t>2026-0000072036</w:t>
                    </w:r>
                    <w:r>
                      <w:fldChar w:fldCharType="end"/>
                    </w:r>
                  </w:p>
                  <w:bookmarkEnd w:id="1"/>
                  <w:p w:rsidR="00A72845" w14:paraId="6F528BA9" w14:textId="77777777">
                    <w:pPr>
                      <w:pStyle w:val="WitregelW1"/>
                    </w:pPr>
                  </w:p>
                  <w:p w:rsidR="00A72845" w14:paraId="4CC4C256" w14:textId="77777777">
                    <w:pPr>
                      <w:pStyle w:val="Referentiegegevensbold"/>
                    </w:pPr>
                    <w:r>
                      <w:t>Uw referentie</w:t>
                    </w:r>
                  </w:p>
                  <w:p w:rsidR="00A72845" w14:paraId="33604578" w14:textId="77777777">
                    <w:pPr>
                      <w:pStyle w:val="Referentiegegevens"/>
                    </w:pPr>
                    <w:r>
                      <w:t>TZ202601-116</w:t>
                    </w:r>
                  </w:p>
                  <w:p w:rsidR="00A72845" w14:paraId="0F55D979" w14:textId="77777777">
                    <w:pPr>
                      <w:pStyle w:val="WitregelW1"/>
                    </w:pPr>
                  </w:p>
                  <w:p w:rsidR="00A72845" w14:paraId="6B84B85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9530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95307" w14:paraId="25CC40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E04B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E04B6" w14:paraId="067296F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9D9B241"/>
    <w:multiLevelType w:val="multilevel"/>
    <w:tmpl w:val="730312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29BC5CC"/>
    <w:multiLevelType w:val="multilevel"/>
    <w:tmpl w:val="F2E36BD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07C6F32"/>
    <w:multiLevelType w:val="multilevel"/>
    <w:tmpl w:val="3E1F2ED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A8F1F33"/>
    <w:multiLevelType w:val="multilevel"/>
    <w:tmpl w:val="C09228B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2B964CE"/>
    <w:multiLevelType w:val="hybridMultilevel"/>
    <w:tmpl w:val="FB1AB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9713341">
    <w:abstractNumId w:val="3"/>
  </w:num>
  <w:num w:numId="2" w16cid:durableId="407580906">
    <w:abstractNumId w:val="0"/>
  </w:num>
  <w:num w:numId="3" w16cid:durableId="56629415">
    <w:abstractNumId w:val="2"/>
  </w:num>
  <w:num w:numId="4" w16cid:durableId="1842549364">
    <w:abstractNumId w:val="1"/>
  </w:num>
  <w:num w:numId="5" w16cid:durableId="1394697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45"/>
    <w:rsid w:val="00036D9D"/>
    <w:rsid w:val="000727AA"/>
    <w:rsid w:val="000C630D"/>
    <w:rsid w:val="000F0915"/>
    <w:rsid w:val="001533B0"/>
    <w:rsid w:val="001F1AE0"/>
    <w:rsid w:val="002A140F"/>
    <w:rsid w:val="002E16BF"/>
    <w:rsid w:val="00302EFC"/>
    <w:rsid w:val="0032185C"/>
    <w:rsid w:val="004A6A76"/>
    <w:rsid w:val="004F7EE6"/>
    <w:rsid w:val="00525143"/>
    <w:rsid w:val="00542768"/>
    <w:rsid w:val="00615F27"/>
    <w:rsid w:val="0066628E"/>
    <w:rsid w:val="006E04B6"/>
    <w:rsid w:val="007438B4"/>
    <w:rsid w:val="00792F05"/>
    <w:rsid w:val="007D27F9"/>
    <w:rsid w:val="00822BD5"/>
    <w:rsid w:val="00A72845"/>
    <w:rsid w:val="00A8470D"/>
    <w:rsid w:val="00AD3B1B"/>
    <w:rsid w:val="00B124C2"/>
    <w:rsid w:val="00B70BB7"/>
    <w:rsid w:val="00B95307"/>
    <w:rsid w:val="00BA2073"/>
    <w:rsid w:val="00C15295"/>
    <w:rsid w:val="00C92663"/>
    <w:rsid w:val="00D671C9"/>
    <w:rsid w:val="00DB3CD8"/>
    <w:rsid w:val="00DE3BC8"/>
    <w:rsid w:val="00E614B7"/>
    <w:rsid w:val="00E97A7D"/>
    <w:rsid w:val="00F9296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6D73319"/>
  <w15:docId w15:val="{D9343255-6B46-4E59-BDEF-A0704FEA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E04B6"/>
    <w:pPr>
      <w:tabs>
        <w:tab w:val="center" w:pos="4536"/>
        <w:tab w:val="right" w:pos="9072"/>
      </w:tabs>
      <w:spacing w:line="240" w:lineRule="auto"/>
    </w:pPr>
  </w:style>
  <w:style w:type="character" w:customStyle="1" w:styleId="KoptekstChar">
    <w:name w:val="Koptekst Char"/>
    <w:basedOn w:val="DefaultParagraphFont"/>
    <w:link w:val="Header"/>
    <w:uiPriority w:val="99"/>
    <w:rsid w:val="006E04B6"/>
    <w:rPr>
      <w:rFonts w:ascii="Verdana" w:hAnsi="Verdana"/>
      <w:color w:val="000000"/>
      <w:sz w:val="18"/>
      <w:szCs w:val="18"/>
    </w:rPr>
  </w:style>
  <w:style w:type="paragraph" w:styleId="Footer">
    <w:name w:val="footer"/>
    <w:basedOn w:val="Normal"/>
    <w:link w:val="VoettekstChar"/>
    <w:uiPriority w:val="99"/>
    <w:unhideWhenUsed/>
    <w:rsid w:val="006E04B6"/>
    <w:pPr>
      <w:tabs>
        <w:tab w:val="center" w:pos="4536"/>
        <w:tab w:val="right" w:pos="9072"/>
      </w:tabs>
      <w:spacing w:line="240" w:lineRule="auto"/>
    </w:pPr>
  </w:style>
  <w:style w:type="character" w:customStyle="1" w:styleId="VoettekstChar">
    <w:name w:val="Voettekst Char"/>
    <w:basedOn w:val="DefaultParagraphFont"/>
    <w:link w:val="Footer"/>
    <w:uiPriority w:val="99"/>
    <w:rsid w:val="006E04B6"/>
    <w:rPr>
      <w:rFonts w:ascii="Verdana" w:hAnsi="Verdana"/>
      <w:color w:val="000000"/>
      <w:sz w:val="18"/>
      <w:szCs w:val="18"/>
    </w:rPr>
  </w:style>
  <w:style w:type="paragraph" w:styleId="ListParagraph">
    <w:name w:val="List Paragraph"/>
    <w:basedOn w:val="Normal"/>
    <w:uiPriority w:val="34"/>
    <w:semiHidden/>
    <w:rsid w:val="006E04B6"/>
    <w:pPr>
      <w:ind w:left="720"/>
      <w:contextualSpacing/>
    </w:pPr>
  </w:style>
  <w:style w:type="paragraph" w:styleId="FootnoteText">
    <w:name w:val="footnote text"/>
    <w:basedOn w:val="Normal"/>
    <w:link w:val="VoetnoottekstChar"/>
    <w:uiPriority w:val="99"/>
    <w:semiHidden/>
    <w:unhideWhenUsed/>
    <w:rsid w:val="007D27F9"/>
    <w:pPr>
      <w:spacing w:line="240" w:lineRule="auto"/>
    </w:pPr>
    <w:rPr>
      <w:sz w:val="20"/>
      <w:szCs w:val="20"/>
    </w:rPr>
  </w:style>
  <w:style w:type="character" w:customStyle="1" w:styleId="VoetnoottekstChar">
    <w:name w:val="Voetnoottekst Char"/>
    <w:basedOn w:val="DefaultParagraphFont"/>
    <w:link w:val="FootnoteText"/>
    <w:uiPriority w:val="99"/>
    <w:semiHidden/>
    <w:rsid w:val="007D27F9"/>
    <w:rPr>
      <w:rFonts w:ascii="Verdana" w:hAnsi="Verdana"/>
      <w:color w:val="000000"/>
    </w:rPr>
  </w:style>
  <w:style w:type="character" w:styleId="FootnoteReference">
    <w:name w:val="footnote reference"/>
    <w:basedOn w:val="DefaultParagraphFont"/>
    <w:uiPriority w:val="99"/>
    <w:semiHidden/>
    <w:unhideWhenUsed/>
    <w:rsid w:val="007D27F9"/>
    <w:rPr>
      <w:vertAlign w:val="superscript"/>
    </w:rPr>
  </w:style>
  <w:style w:type="character" w:styleId="CommentReference">
    <w:name w:val="annotation reference"/>
    <w:basedOn w:val="DefaultParagraphFont"/>
    <w:uiPriority w:val="99"/>
    <w:semiHidden/>
    <w:unhideWhenUsed/>
    <w:rsid w:val="00DE3BC8"/>
    <w:rPr>
      <w:sz w:val="16"/>
      <w:szCs w:val="16"/>
    </w:rPr>
  </w:style>
  <w:style w:type="paragraph" w:styleId="CommentText">
    <w:name w:val="annotation text"/>
    <w:basedOn w:val="Normal"/>
    <w:link w:val="TekstopmerkingChar"/>
    <w:uiPriority w:val="99"/>
    <w:unhideWhenUsed/>
    <w:rsid w:val="00DE3BC8"/>
    <w:pPr>
      <w:spacing w:line="240" w:lineRule="auto"/>
    </w:pPr>
    <w:rPr>
      <w:sz w:val="20"/>
      <w:szCs w:val="20"/>
    </w:rPr>
  </w:style>
  <w:style w:type="character" w:customStyle="1" w:styleId="TekstopmerkingChar">
    <w:name w:val="Tekst opmerking Char"/>
    <w:basedOn w:val="DefaultParagraphFont"/>
    <w:link w:val="CommentText"/>
    <w:uiPriority w:val="99"/>
    <w:rsid w:val="00DE3BC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E3BC8"/>
    <w:rPr>
      <w:b/>
      <w:bCs/>
    </w:rPr>
  </w:style>
  <w:style w:type="character" w:customStyle="1" w:styleId="OnderwerpvanopmerkingChar">
    <w:name w:val="Onderwerp van opmerking Char"/>
    <w:basedOn w:val="TekstopmerkingChar"/>
    <w:link w:val="CommentSubject"/>
    <w:uiPriority w:val="99"/>
    <w:semiHidden/>
    <w:rsid w:val="00DE3BC8"/>
    <w:rPr>
      <w:rFonts w:ascii="Verdana" w:hAnsi="Verdana"/>
      <w:b/>
      <w:bCs/>
      <w:color w:val="000000"/>
    </w:rPr>
  </w:style>
  <w:style w:type="paragraph" w:styleId="Revision">
    <w:name w:val="Revision"/>
    <w:hidden/>
    <w:uiPriority w:val="99"/>
    <w:semiHidden/>
    <w:rsid w:val="00B70BB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581</ap:Words>
  <ap:Characters>3200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 Toezegging aflopende contracten</vt:lpstr>
    </vt:vector>
  </ap:TitlesOfParts>
  <ap:LinksUpToDate>false</ap:LinksUpToDate>
  <ap:CharactersWithSpaces>3774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2026-02-13T12:18:00.0000000Z</lastPrinted>
  <dcterms:created xsi:type="dcterms:W3CDTF">2026-04-10T13:20:00.0000000Z</dcterms:created>
  <dcterms:modified xsi:type="dcterms:W3CDTF">2026-04-10T13:20:00.0000000Z</dcterms:modified>
  <dc:creator/>
  <lastModifiedBy/>
  <dc:description>------------------------</dc:description>
  <dc:subject/>
  <keywords/>
  <version/>
  <category/>
</coreProperties>
</file>