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481" w:rsidP="00BA1635" w:rsidRDefault="000F5481" w14:paraId="54172B02" w14:textId="7ED31227">
      <w:pPr>
        <w:spacing w:after="0" w:line="360" w:lineRule="auto"/>
        <w:rPr>
          <w:rFonts w:ascii="Verdana" w:hAnsi="Verdana"/>
          <w:b/>
          <w:bCs/>
          <w:sz w:val="18"/>
          <w:szCs w:val="18"/>
          <w:lang w:val="fr-FR"/>
        </w:rPr>
      </w:pPr>
      <w:r w:rsidRPr="00B76715">
        <w:rPr>
          <w:rFonts w:ascii="Verdana" w:hAnsi="Verdana"/>
          <w:b/>
          <w:bCs/>
          <w:sz w:val="18"/>
          <w:szCs w:val="18"/>
          <w:lang w:val="fr-FR"/>
        </w:rPr>
        <w:t>Fiche</w:t>
      </w:r>
      <w:r w:rsidR="008C3698">
        <w:rPr>
          <w:rFonts w:ascii="Verdana" w:hAnsi="Verdana"/>
          <w:b/>
          <w:bCs/>
          <w:sz w:val="18"/>
          <w:szCs w:val="18"/>
          <w:lang w:val="fr-FR"/>
        </w:rPr>
        <w:t xml:space="preserve"> </w:t>
      </w:r>
      <w:r w:rsidR="00742719">
        <w:rPr>
          <w:rFonts w:ascii="Verdana" w:hAnsi="Verdana"/>
          <w:b/>
          <w:bCs/>
          <w:sz w:val="18"/>
          <w:szCs w:val="18"/>
          <w:lang w:val="fr-FR"/>
        </w:rPr>
        <w:t>3</w:t>
      </w:r>
      <w:r w:rsidRPr="00B76715">
        <w:rPr>
          <w:rFonts w:ascii="Verdana" w:hAnsi="Verdana"/>
          <w:b/>
          <w:bCs/>
          <w:sz w:val="18"/>
          <w:szCs w:val="18"/>
          <w:lang w:val="fr-FR"/>
        </w:rPr>
        <w:t xml:space="preserve">: </w:t>
      </w:r>
      <w:r w:rsidR="00190B64">
        <w:rPr>
          <w:rFonts w:ascii="Verdana" w:hAnsi="Verdana"/>
          <w:b/>
          <w:bCs/>
          <w:sz w:val="18"/>
          <w:szCs w:val="18"/>
          <w:lang w:val="fr-FR"/>
        </w:rPr>
        <w:t xml:space="preserve">Mededeling </w:t>
      </w:r>
      <w:proofErr w:type="spellStart"/>
      <w:r w:rsidR="00190B64">
        <w:rPr>
          <w:rFonts w:ascii="Verdana" w:hAnsi="Verdana"/>
          <w:b/>
          <w:bCs/>
          <w:sz w:val="18"/>
          <w:szCs w:val="18"/>
          <w:lang w:val="fr-FR"/>
        </w:rPr>
        <w:t>Terrorismebestrijdingsagenda</w:t>
      </w:r>
      <w:proofErr w:type="spellEnd"/>
      <w:r w:rsidR="00190B64">
        <w:rPr>
          <w:rFonts w:ascii="Verdana" w:hAnsi="Verdana"/>
          <w:b/>
          <w:bCs/>
          <w:sz w:val="18"/>
          <w:szCs w:val="18"/>
          <w:lang w:val="fr-FR"/>
        </w:rPr>
        <w:t xml:space="preserve"> EU</w:t>
      </w:r>
    </w:p>
    <w:p w:rsidRPr="00B76715" w:rsidR="00190B64" w:rsidP="00BA1635" w:rsidRDefault="00190B64" w14:paraId="46AD2C66" w14:textId="77777777">
      <w:pPr>
        <w:spacing w:after="0" w:line="360" w:lineRule="auto"/>
        <w:rPr>
          <w:rFonts w:ascii="Verdana" w:hAnsi="Verdana"/>
          <w:sz w:val="18"/>
          <w:szCs w:val="18"/>
          <w:lang w:val="fr-FR"/>
        </w:rPr>
      </w:pPr>
    </w:p>
    <w:p w:rsidRPr="00B76715" w:rsidR="000F5481" w:rsidP="00BA1635" w:rsidRDefault="000F5481" w14:paraId="17D9C545" w14:textId="77777777">
      <w:pPr>
        <w:pStyle w:val="ListParagraph"/>
        <w:numPr>
          <w:ilvl w:val="0"/>
          <w:numId w:val="1"/>
        </w:numPr>
        <w:spacing w:after="0" w:line="360" w:lineRule="auto"/>
        <w:rPr>
          <w:rFonts w:ascii="Verdana" w:hAnsi="Verdana"/>
          <w:b/>
          <w:bCs/>
          <w:sz w:val="18"/>
          <w:szCs w:val="18"/>
        </w:rPr>
      </w:pPr>
      <w:r w:rsidRPr="00B76715">
        <w:rPr>
          <w:rFonts w:ascii="Verdana" w:hAnsi="Verdana"/>
          <w:b/>
          <w:bCs/>
          <w:sz w:val="18"/>
          <w:szCs w:val="18"/>
        </w:rPr>
        <w:t>Algemene gegevens</w:t>
      </w:r>
    </w:p>
    <w:p w:rsidRPr="00B76715" w:rsidR="000F5481" w:rsidP="00BA1635" w:rsidRDefault="000F5481" w14:paraId="18719DDE" w14:textId="77777777">
      <w:pPr>
        <w:pStyle w:val="ListParagraph"/>
        <w:numPr>
          <w:ilvl w:val="0"/>
          <w:numId w:val="2"/>
        </w:numPr>
        <w:spacing w:after="0" w:line="360" w:lineRule="auto"/>
        <w:rPr>
          <w:rFonts w:ascii="Verdana" w:hAnsi="Verdana"/>
          <w:sz w:val="18"/>
          <w:szCs w:val="18"/>
        </w:rPr>
      </w:pPr>
      <w:r w:rsidRPr="00B76715">
        <w:rPr>
          <w:rFonts w:ascii="Verdana" w:hAnsi="Verdana"/>
          <w:i/>
          <w:iCs/>
          <w:sz w:val="18"/>
          <w:szCs w:val="18"/>
        </w:rPr>
        <w:t xml:space="preserve"> Titel voorstel</w:t>
      </w:r>
    </w:p>
    <w:p w:rsidRPr="00B76715" w:rsidR="000F5481" w:rsidP="00BA1635" w:rsidRDefault="007F671A" w14:paraId="05191EA0" w14:textId="6132E9E1">
      <w:pPr>
        <w:pStyle w:val="ListParagraph"/>
        <w:spacing w:after="0" w:line="360" w:lineRule="auto"/>
        <w:ind w:left="360"/>
        <w:rPr>
          <w:rFonts w:ascii="Verdana" w:hAnsi="Verdana"/>
          <w:sz w:val="18"/>
          <w:szCs w:val="18"/>
        </w:rPr>
      </w:pPr>
      <w:r w:rsidRPr="00B76715">
        <w:rPr>
          <w:rFonts w:ascii="Verdana" w:hAnsi="Verdana"/>
          <w:sz w:val="18"/>
          <w:szCs w:val="18"/>
        </w:rPr>
        <w:t xml:space="preserve">MEDEDELING VAN DE COMMISSIE AAN HET EUROPEES PARLEMENT, DE RAAD, HET EUROPEES ECONOMISCH EN SOCIAAL COMITÉ EN HET COMITÉ VAN DE REGIO'S </w:t>
      </w:r>
      <w:proofErr w:type="spellStart"/>
      <w:r w:rsidRPr="00B76715">
        <w:rPr>
          <w:rFonts w:ascii="Verdana" w:hAnsi="Verdana"/>
          <w:sz w:val="18"/>
          <w:szCs w:val="18"/>
        </w:rPr>
        <w:t>ProtectEU</w:t>
      </w:r>
      <w:proofErr w:type="spellEnd"/>
      <w:r w:rsidRPr="00B76715">
        <w:rPr>
          <w:rFonts w:ascii="Verdana" w:hAnsi="Verdana"/>
          <w:sz w:val="18"/>
          <w:szCs w:val="18"/>
        </w:rPr>
        <w:t>: Agenda om terrorisme te voorkomen en te bestrijden</w:t>
      </w:r>
      <w:r w:rsidRPr="00B76715" w:rsidR="000F5481">
        <w:rPr>
          <w:rFonts w:ascii="Verdana" w:hAnsi="Verdana"/>
          <w:sz w:val="18"/>
          <w:szCs w:val="18"/>
        </w:rPr>
        <w:t xml:space="preserve"> </w:t>
      </w:r>
    </w:p>
    <w:p w:rsidRPr="00B76715" w:rsidR="007F671A" w:rsidP="00BA1635" w:rsidRDefault="007F671A" w14:paraId="5C39C25B" w14:textId="77777777">
      <w:pPr>
        <w:pStyle w:val="ListParagraph"/>
        <w:spacing w:after="0" w:line="360" w:lineRule="auto"/>
        <w:ind w:left="360"/>
        <w:rPr>
          <w:rFonts w:ascii="Verdana" w:hAnsi="Verdana"/>
          <w:sz w:val="18"/>
          <w:szCs w:val="18"/>
        </w:rPr>
      </w:pPr>
    </w:p>
    <w:p w:rsidRPr="00B76715" w:rsidR="000F5481" w:rsidP="00BA1635" w:rsidRDefault="000F5481" w14:paraId="2FB8939A" w14:textId="77777777">
      <w:pPr>
        <w:pStyle w:val="ListParagraph"/>
        <w:numPr>
          <w:ilvl w:val="0"/>
          <w:numId w:val="2"/>
        </w:numPr>
        <w:spacing w:after="0" w:line="360" w:lineRule="auto"/>
        <w:rPr>
          <w:rFonts w:ascii="Verdana" w:hAnsi="Verdana"/>
          <w:sz w:val="18"/>
          <w:szCs w:val="18"/>
        </w:rPr>
      </w:pPr>
      <w:r w:rsidRPr="00B76715">
        <w:rPr>
          <w:rFonts w:ascii="Verdana" w:hAnsi="Verdana"/>
          <w:i/>
          <w:iCs/>
          <w:sz w:val="18"/>
          <w:szCs w:val="18"/>
        </w:rPr>
        <w:t>Datum ontvangst commissiedocument</w:t>
      </w:r>
    </w:p>
    <w:p w:rsidRPr="00B76715" w:rsidR="000F5481" w:rsidP="00BA1635" w:rsidRDefault="000F5481" w14:paraId="57034C9E" w14:textId="77777777">
      <w:pPr>
        <w:pStyle w:val="ListParagraph"/>
        <w:spacing w:after="0" w:line="360" w:lineRule="auto"/>
        <w:ind w:left="360"/>
        <w:rPr>
          <w:rFonts w:ascii="Verdana" w:hAnsi="Verdana"/>
          <w:sz w:val="18"/>
          <w:szCs w:val="18"/>
        </w:rPr>
      </w:pPr>
      <w:r w:rsidRPr="00B76715">
        <w:rPr>
          <w:rFonts w:ascii="Verdana" w:hAnsi="Verdana"/>
          <w:sz w:val="18"/>
          <w:szCs w:val="18"/>
        </w:rPr>
        <w:t>26 februari 2026</w:t>
      </w:r>
    </w:p>
    <w:p w:rsidRPr="00B76715" w:rsidR="000F5481" w:rsidP="00BA1635" w:rsidRDefault="000F5481" w14:paraId="349F22CA" w14:textId="77777777">
      <w:pPr>
        <w:pStyle w:val="ListParagraph"/>
        <w:spacing w:after="0" w:line="360" w:lineRule="auto"/>
        <w:ind w:left="360"/>
        <w:rPr>
          <w:rFonts w:ascii="Verdana" w:hAnsi="Verdana"/>
          <w:sz w:val="18"/>
          <w:szCs w:val="18"/>
        </w:rPr>
      </w:pPr>
    </w:p>
    <w:p w:rsidRPr="00B76715" w:rsidR="000F5481" w:rsidP="00BA1635" w:rsidRDefault="000F5481" w14:paraId="58066D9B" w14:textId="77777777">
      <w:pPr>
        <w:pStyle w:val="ListParagraph"/>
        <w:numPr>
          <w:ilvl w:val="0"/>
          <w:numId w:val="2"/>
        </w:numPr>
        <w:spacing w:after="0" w:line="360" w:lineRule="auto"/>
        <w:rPr>
          <w:rFonts w:ascii="Verdana" w:hAnsi="Verdana"/>
          <w:sz w:val="18"/>
          <w:szCs w:val="18"/>
        </w:rPr>
      </w:pPr>
      <w:r w:rsidRPr="00B76715">
        <w:rPr>
          <w:rFonts w:ascii="Verdana" w:hAnsi="Verdana"/>
          <w:i/>
          <w:iCs/>
          <w:sz w:val="18"/>
          <w:szCs w:val="18"/>
        </w:rPr>
        <w:t>Nr. Commissiedocument</w:t>
      </w:r>
    </w:p>
    <w:p w:rsidRPr="00B76715" w:rsidR="000F5481" w:rsidP="00BA1635" w:rsidRDefault="000F5481" w14:paraId="09A7C56E" w14:textId="77777777">
      <w:pPr>
        <w:pStyle w:val="ListParagraph"/>
        <w:spacing w:after="0" w:line="360" w:lineRule="auto"/>
        <w:ind w:left="360"/>
        <w:rPr>
          <w:rFonts w:ascii="Verdana" w:hAnsi="Verdana"/>
          <w:sz w:val="18"/>
          <w:szCs w:val="18"/>
        </w:rPr>
      </w:pPr>
      <w:r w:rsidRPr="00B76715">
        <w:rPr>
          <w:rFonts w:ascii="Verdana" w:hAnsi="Verdana"/>
          <w:sz w:val="18"/>
          <w:szCs w:val="18"/>
        </w:rPr>
        <w:t>COM(2026) 101</w:t>
      </w:r>
    </w:p>
    <w:p w:rsidRPr="00B76715" w:rsidR="000F5481" w:rsidP="00BA1635" w:rsidRDefault="000F5481" w14:paraId="044DB294" w14:textId="77777777">
      <w:pPr>
        <w:pStyle w:val="ListParagraph"/>
        <w:spacing w:after="0" w:line="360" w:lineRule="auto"/>
        <w:ind w:left="360"/>
        <w:rPr>
          <w:rFonts w:ascii="Verdana" w:hAnsi="Verdana"/>
          <w:sz w:val="18"/>
          <w:szCs w:val="18"/>
        </w:rPr>
      </w:pPr>
    </w:p>
    <w:p w:rsidRPr="00B76715" w:rsidR="000F5481" w:rsidP="00BA1635" w:rsidRDefault="000F5481" w14:paraId="33C89249" w14:textId="77777777">
      <w:pPr>
        <w:pStyle w:val="ListParagraph"/>
        <w:numPr>
          <w:ilvl w:val="0"/>
          <w:numId w:val="2"/>
        </w:numPr>
        <w:spacing w:after="0" w:line="360" w:lineRule="auto"/>
        <w:rPr>
          <w:rFonts w:ascii="Verdana" w:hAnsi="Verdana"/>
          <w:sz w:val="18"/>
          <w:szCs w:val="18"/>
        </w:rPr>
      </w:pPr>
      <w:r w:rsidRPr="00B76715">
        <w:rPr>
          <w:rFonts w:ascii="Verdana" w:hAnsi="Verdana"/>
          <w:i/>
          <w:iCs/>
          <w:sz w:val="18"/>
          <w:szCs w:val="18"/>
        </w:rPr>
        <w:t>EUR-Lex</w:t>
      </w:r>
    </w:p>
    <w:p w:rsidRPr="00B76715" w:rsidR="00016132" w:rsidP="00016132" w:rsidRDefault="00016132" w14:paraId="004C9DB7" w14:textId="77777777">
      <w:pPr>
        <w:pStyle w:val="ListParagraph"/>
        <w:spacing w:after="0" w:line="360" w:lineRule="auto"/>
        <w:ind w:left="360"/>
        <w:rPr>
          <w:rFonts w:ascii="Verdana" w:hAnsi="Verdana"/>
          <w:sz w:val="18"/>
          <w:szCs w:val="18"/>
          <w:lang w:val="fr-FR"/>
        </w:rPr>
      </w:pPr>
      <w:r>
        <w:fldChar w:fldCharType="begin"/>
      </w:r>
      <w:r w:rsidRPr="00B144AF">
        <w:rPr>
          <w:lang w:val="fr-FR"/>
        </w:rPr>
        <w:instrText>HYPERLINK "https://eur-lex.europa.eu/legal-content/NL/ALL/?uri=CELEX:52026DC0101"</w:instrText>
      </w:r>
      <w:r>
        <w:fldChar w:fldCharType="separate"/>
      </w:r>
      <w:r w:rsidRPr="00B76715">
        <w:rPr>
          <w:rStyle w:val="Hyperlink"/>
          <w:rFonts w:ascii="Verdana" w:hAnsi="Verdana"/>
          <w:sz w:val="18"/>
          <w:szCs w:val="18"/>
          <w:lang w:val="fr-FR"/>
        </w:rPr>
        <w:t>EUR-Lex - 52026DC0101 - EN - EUR-Lex</w:t>
      </w:r>
      <w:r>
        <w:fldChar w:fldCharType="end"/>
      </w:r>
    </w:p>
    <w:p w:rsidRPr="00B76715" w:rsidR="0033744F" w:rsidP="00BA1635" w:rsidRDefault="0033744F" w14:paraId="0D08B5ED" w14:textId="77777777">
      <w:pPr>
        <w:pStyle w:val="ListParagraph"/>
        <w:spacing w:after="0" w:line="360" w:lineRule="auto"/>
        <w:ind w:left="360"/>
        <w:rPr>
          <w:rFonts w:ascii="Verdana" w:hAnsi="Verdana"/>
          <w:color w:val="FF0000"/>
          <w:sz w:val="18"/>
          <w:szCs w:val="18"/>
          <w:lang w:val="fr-FR"/>
        </w:rPr>
      </w:pPr>
    </w:p>
    <w:p w:rsidRPr="00B76715" w:rsidR="000F5481" w:rsidP="00BA1635" w:rsidRDefault="000F5481" w14:paraId="67FFD6DE" w14:textId="77777777">
      <w:pPr>
        <w:pStyle w:val="ListParagraph"/>
        <w:numPr>
          <w:ilvl w:val="0"/>
          <w:numId w:val="2"/>
        </w:numPr>
        <w:spacing w:after="0" w:line="360" w:lineRule="auto"/>
        <w:rPr>
          <w:rFonts w:ascii="Verdana" w:hAnsi="Verdana"/>
          <w:sz w:val="18"/>
          <w:szCs w:val="18"/>
          <w:lang w:val="fr-FR"/>
        </w:rPr>
      </w:pPr>
      <w:r w:rsidRPr="00B76715">
        <w:rPr>
          <w:rFonts w:ascii="Verdana" w:hAnsi="Verdana"/>
          <w:i/>
          <w:iCs/>
          <w:sz w:val="18"/>
          <w:szCs w:val="18"/>
          <w:lang w:val="fr-FR"/>
        </w:rPr>
        <w:t xml:space="preserve">Nr. impact </w:t>
      </w:r>
      <w:proofErr w:type="spellStart"/>
      <w:r w:rsidRPr="00B76715">
        <w:rPr>
          <w:rFonts w:ascii="Verdana" w:hAnsi="Verdana"/>
          <w:i/>
          <w:iCs/>
          <w:sz w:val="18"/>
          <w:szCs w:val="18"/>
          <w:lang w:val="fr-FR"/>
        </w:rPr>
        <w:t>assessment</w:t>
      </w:r>
      <w:proofErr w:type="spellEnd"/>
      <w:r w:rsidRPr="00B76715">
        <w:rPr>
          <w:rFonts w:ascii="Verdana" w:hAnsi="Verdana"/>
          <w:i/>
          <w:iCs/>
          <w:sz w:val="18"/>
          <w:szCs w:val="18"/>
          <w:lang w:val="fr-FR"/>
        </w:rPr>
        <w:t xml:space="preserve"> Commissie en </w:t>
      </w:r>
      <w:proofErr w:type="spellStart"/>
      <w:r w:rsidRPr="00B76715">
        <w:rPr>
          <w:rFonts w:ascii="Verdana" w:hAnsi="Verdana"/>
          <w:i/>
          <w:iCs/>
          <w:sz w:val="18"/>
          <w:szCs w:val="18"/>
          <w:lang w:val="fr-FR"/>
        </w:rPr>
        <w:t>Opinie</w:t>
      </w:r>
      <w:proofErr w:type="spellEnd"/>
    </w:p>
    <w:p w:rsidRPr="00B76715" w:rsidR="007666CE" w:rsidP="00BA1635" w:rsidRDefault="003D5850" w14:paraId="63D0A570" w14:textId="4695A334">
      <w:pPr>
        <w:pStyle w:val="ListParagraph"/>
        <w:spacing w:after="0" w:line="360" w:lineRule="auto"/>
        <w:ind w:left="360"/>
        <w:rPr>
          <w:rFonts w:ascii="Verdana" w:hAnsi="Verdana"/>
          <w:sz w:val="18"/>
          <w:szCs w:val="18"/>
        </w:rPr>
      </w:pPr>
      <w:r w:rsidRPr="00B76715">
        <w:rPr>
          <w:rFonts w:ascii="Verdana" w:hAnsi="Verdana"/>
          <w:sz w:val="18"/>
          <w:szCs w:val="18"/>
        </w:rPr>
        <w:t>Niet van toepassing</w:t>
      </w:r>
    </w:p>
    <w:p w:rsidRPr="00B76715" w:rsidR="000F5481" w:rsidP="00BA1635" w:rsidRDefault="000F5481" w14:paraId="0BF6F69D" w14:textId="77777777">
      <w:pPr>
        <w:pStyle w:val="ListParagraph"/>
        <w:spacing w:after="0" w:line="360" w:lineRule="auto"/>
        <w:ind w:left="360"/>
        <w:rPr>
          <w:rFonts w:ascii="Verdana" w:hAnsi="Verdana"/>
          <w:color w:val="FF0000"/>
          <w:sz w:val="18"/>
          <w:szCs w:val="18"/>
        </w:rPr>
      </w:pPr>
    </w:p>
    <w:p w:rsidRPr="00B76715" w:rsidR="000F5481" w:rsidP="00BA1635" w:rsidRDefault="000F5481" w14:paraId="1C5F8FD2" w14:textId="77777777">
      <w:pPr>
        <w:pStyle w:val="ListParagraph"/>
        <w:numPr>
          <w:ilvl w:val="0"/>
          <w:numId w:val="2"/>
        </w:numPr>
        <w:spacing w:after="0" w:line="360" w:lineRule="auto"/>
        <w:rPr>
          <w:rFonts w:ascii="Verdana" w:hAnsi="Verdana"/>
          <w:sz w:val="18"/>
          <w:szCs w:val="18"/>
        </w:rPr>
      </w:pPr>
      <w:r w:rsidRPr="00B76715">
        <w:rPr>
          <w:rFonts w:ascii="Verdana" w:hAnsi="Verdana"/>
          <w:i/>
          <w:iCs/>
          <w:sz w:val="18"/>
          <w:szCs w:val="18"/>
        </w:rPr>
        <w:t>Behandelingstraject Raad</w:t>
      </w:r>
    </w:p>
    <w:p w:rsidR="000F5481" w:rsidP="00BA1635" w:rsidRDefault="00EB4A26" w14:paraId="1151076A" w14:textId="6F9F5C8F">
      <w:pPr>
        <w:pStyle w:val="ListParagraph"/>
        <w:spacing w:after="0" w:line="360" w:lineRule="auto"/>
        <w:ind w:left="360"/>
        <w:rPr>
          <w:rFonts w:ascii="Verdana" w:hAnsi="Verdana"/>
          <w:sz w:val="18"/>
          <w:szCs w:val="18"/>
        </w:rPr>
      </w:pPr>
      <w:r w:rsidRPr="00EB4A26">
        <w:rPr>
          <w:rFonts w:ascii="Verdana" w:hAnsi="Verdana"/>
          <w:sz w:val="18"/>
          <w:szCs w:val="18"/>
        </w:rPr>
        <w:t>Raad Justitie en Binnenlandse Zaken</w:t>
      </w:r>
    </w:p>
    <w:p w:rsidRPr="00B76715" w:rsidR="00EB4A26" w:rsidP="00BA1635" w:rsidRDefault="00EB4A26" w14:paraId="023BB89C" w14:textId="77777777">
      <w:pPr>
        <w:pStyle w:val="ListParagraph"/>
        <w:spacing w:after="0" w:line="360" w:lineRule="auto"/>
        <w:ind w:left="360"/>
        <w:rPr>
          <w:rFonts w:ascii="Verdana" w:hAnsi="Verdana"/>
          <w:sz w:val="18"/>
          <w:szCs w:val="18"/>
        </w:rPr>
      </w:pPr>
    </w:p>
    <w:p w:rsidRPr="00B76715" w:rsidR="000F5481" w:rsidP="00BA1635" w:rsidRDefault="000F5481" w14:paraId="6C9636A3" w14:textId="77777777">
      <w:pPr>
        <w:pStyle w:val="ListParagraph"/>
        <w:numPr>
          <w:ilvl w:val="0"/>
          <w:numId w:val="2"/>
        </w:numPr>
        <w:spacing w:after="0" w:line="360" w:lineRule="auto"/>
        <w:rPr>
          <w:rFonts w:ascii="Verdana" w:hAnsi="Verdana"/>
          <w:sz w:val="18"/>
          <w:szCs w:val="18"/>
        </w:rPr>
      </w:pPr>
      <w:r w:rsidRPr="00B76715">
        <w:rPr>
          <w:rFonts w:ascii="Verdana" w:hAnsi="Verdana"/>
          <w:i/>
          <w:iCs/>
          <w:sz w:val="18"/>
          <w:szCs w:val="18"/>
        </w:rPr>
        <w:t>Eerstverantwoordelijk ministerie</w:t>
      </w:r>
    </w:p>
    <w:p w:rsidRPr="00B76715" w:rsidR="000F5481" w:rsidP="00BA1635" w:rsidRDefault="000F5481" w14:paraId="59BAEFD8" w14:textId="77777777">
      <w:pPr>
        <w:pStyle w:val="ListParagraph"/>
        <w:spacing w:after="0" w:line="360" w:lineRule="auto"/>
        <w:ind w:left="360"/>
        <w:rPr>
          <w:rFonts w:ascii="Verdana" w:hAnsi="Verdana"/>
          <w:sz w:val="18"/>
          <w:szCs w:val="18"/>
        </w:rPr>
      </w:pPr>
      <w:r w:rsidRPr="00B76715">
        <w:rPr>
          <w:rFonts w:ascii="Verdana" w:hAnsi="Verdana"/>
          <w:sz w:val="18"/>
          <w:szCs w:val="18"/>
        </w:rPr>
        <w:t>Ministerie van Justitie en Veiligheid</w:t>
      </w:r>
    </w:p>
    <w:p w:rsidRPr="00B76715" w:rsidR="000F5481" w:rsidP="00BA1635" w:rsidRDefault="000F5481" w14:paraId="73900935" w14:textId="77777777">
      <w:pPr>
        <w:pStyle w:val="ListParagraph"/>
        <w:spacing w:after="0" w:line="360" w:lineRule="auto"/>
        <w:ind w:left="360"/>
        <w:rPr>
          <w:rFonts w:ascii="Verdana" w:hAnsi="Verdana"/>
          <w:sz w:val="18"/>
          <w:szCs w:val="18"/>
        </w:rPr>
      </w:pPr>
    </w:p>
    <w:p w:rsidRPr="00B76715" w:rsidR="000F5481" w:rsidP="00BA1635" w:rsidRDefault="000F5481" w14:paraId="77BE2AFD" w14:textId="77777777">
      <w:pPr>
        <w:pStyle w:val="ListParagraph"/>
        <w:numPr>
          <w:ilvl w:val="0"/>
          <w:numId w:val="1"/>
        </w:numPr>
        <w:spacing w:after="0" w:line="360" w:lineRule="auto"/>
        <w:rPr>
          <w:rFonts w:ascii="Verdana" w:hAnsi="Verdana"/>
          <w:sz w:val="18"/>
          <w:szCs w:val="18"/>
        </w:rPr>
      </w:pPr>
      <w:r w:rsidRPr="00B76715">
        <w:rPr>
          <w:rFonts w:ascii="Verdana" w:hAnsi="Verdana"/>
          <w:b/>
          <w:bCs/>
          <w:sz w:val="18"/>
          <w:szCs w:val="18"/>
        </w:rPr>
        <w:t>Essentie voorstel</w:t>
      </w:r>
    </w:p>
    <w:p w:rsidR="00B33A8E" w:rsidP="00BA1635" w:rsidRDefault="00B33A8E" w14:paraId="11469848" w14:textId="349A0230">
      <w:pPr>
        <w:spacing w:after="0" w:line="360" w:lineRule="auto"/>
        <w:rPr>
          <w:rFonts w:ascii="Verdana" w:hAnsi="Verdana"/>
          <w:sz w:val="18"/>
          <w:szCs w:val="18"/>
        </w:rPr>
      </w:pPr>
      <w:r w:rsidRPr="00B76715">
        <w:rPr>
          <w:rFonts w:ascii="Verdana" w:hAnsi="Verdana"/>
          <w:sz w:val="18"/>
          <w:szCs w:val="18"/>
        </w:rPr>
        <w:t xml:space="preserve">Op 26 februari </w:t>
      </w:r>
      <w:r w:rsidRPr="00B76715" w:rsidR="003D5850">
        <w:rPr>
          <w:rFonts w:ascii="Verdana" w:hAnsi="Verdana"/>
          <w:sz w:val="18"/>
          <w:szCs w:val="18"/>
        </w:rPr>
        <w:t xml:space="preserve">2026 </w:t>
      </w:r>
      <w:r w:rsidRPr="00B76715">
        <w:rPr>
          <w:rFonts w:ascii="Verdana" w:hAnsi="Verdana"/>
          <w:sz w:val="18"/>
          <w:szCs w:val="18"/>
        </w:rPr>
        <w:t>publiceerde de Europese Commissie (hierna</w:t>
      </w:r>
      <w:r w:rsidRPr="00B76715" w:rsidR="00EE7815">
        <w:rPr>
          <w:rFonts w:ascii="Verdana" w:hAnsi="Verdana"/>
          <w:sz w:val="18"/>
          <w:szCs w:val="18"/>
        </w:rPr>
        <w:t>:</w:t>
      </w:r>
      <w:r w:rsidRPr="00B76715">
        <w:rPr>
          <w:rFonts w:ascii="Verdana" w:hAnsi="Verdana"/>
          <w:sz w:val="18"/>
          <w:szCs w:val="18"/>
        </w:rPr>
        <w:t xml:space="preserve"> Commissie) de EU-agenda voor het voorkomen en bestrijden van terrorisme (hierna: agenda). De agenda is onderdeel van de Europese strategie voor interne veiligheid</w:t>
      </w:r>
      <w:r w:rsidRPr="00B76715" w:rsidR="008B45AB">
        <w:rPr>
          <w:rStyle w:val="FootnoteReference"/>
          <w:rFonts w:ascii="Verdana" w:hAnsi="Verdana"/>
          <w:sz w:val="18"/>
          <w:szCs w:val="18"/>
        </w:rPr>
        <w:footnoteReference w:id="1"/>
      </w:r>
      <w:r w:rsidRPr="00B76715">
        <w:rPr>
          <w:rFonts w:ascii="Verdana" w:hAnsi="Verdana"/>
          <w:sz w:val="18"/>
          <w:szCs w:val="18"/>
        </w:rPr>
        <w:t xml:space="preserve"> en bouwt voort op de terrorismebestrijdingsagenda uit 2020</w:t>
      </w:r>
      <w:r w:rsidRPr="00B76715" w:rsidR="008B45AB">
        <w:rPr>
          <w:rStyle w:val="FootnoteReference"/>
          <w:rFonts w:ascii="Verdana" w:hAnsi="Verdana"/>
          <w:sz w:val="18"/>
          <w:szCs w:val="18"/>
        </w:rPr>
        <w:footnoteReference w:id="2"/>
      </w:r>
      <w:r w:rsidRPr="00B76715" w:rsidR="00E838D7">
        <w:rPr>
          <w:rFonts w:ascii="Verdana" w:hAnsi="Verdana"/>
          <w:sz w:val="18"/>
          <w:szCs w:val="18"/>
        </w:rPr>
        <w:t xml:space="preserve"> en houdt rekening met de veranderende dreiging, gekenmerkt door onder meer snelle online radicalisering, een diffuus dreigingsbeeld en rekrutering van jongeren, en</w:t>
      </w:r>
      <w:r w:rsidRPr="00B76715">
        <w:rPr>
          <w:rFonts w:ascii="Verdana" w:hAnsi="Verdana"/>
          <w:sz w:val="18"/>
          <w:szCs w:val="18"/>
        </w:rPr>
        <w:t xml:space="preserve"> recente </w:t>
      </w:r>
      <w:r w:rsidRPr="00B76715" w:rsidR="00E838D7">
        <w:rPr>
          <w:rFonts w:ascii="Verdana" w:hAnsi="Verdana"/>
          <w:sz w:val="18"/>
          <w:szCs w:val="18"/>
        </w:rPr>
        <w:t xml:space="preserve">geopolitieke </w:t>
      </w:r>
      <w:r w:rsidRPr="00B76715">
        <w:rPr>
          <w:rFonts w:ascii="Verdana" w:hAnsi="Verdana"/>
          <w:sz w:val="18"/>
          <w:szCs w:val="18"/>
        </w:rPr>
        <w:t>ontwikkelingen</w:t>
      </w:r>
      <w:r w:rsidRPr="00B76715" w:rsidR="00E838D7">
        <w:rPr>
          <w:rFonts w:ascii="Verdana" w:hAnsi="Verdana"/>
          <w:sz w:val="18"/>
          <w:szCs w:val="18"/>
        </w:rPr>
        <w:t>.</w:t>
      </w:r>
      <w:r w:rsidRPr="00B76715" w:rsidR="00006332">
        <w:rPr>
          <w:rFonts w:ascii="Verdana" w:hAnsi="Verdana"/>
          <w:sz w:val="18"/>
          <w:szCs w:val="18"/>
        </w:rPr>
        <w:t xml:space="preserve"> </w:t>
      </w:r>
      <w:r w:rsidRPr="00B76715">
        <w:rPr>
          <w:rFonts w:ascii="Verdana" w:hAnsi="Verdana"/>
          <w:sz w:val="18"/>
          <w:szCs w:val="18"/>
        </w:rPr>
        <w:t>Het doel van de agenda is om de strategische richting te bepalen voor een hernieuwde en omvattende aanpak van terroristische en gewelddadig extremistische dreigingen in de</w:t>
      </w:r>
      <w:r w:rsidR="001E20A9">
        <w:rPr>
          <w:rFonts w:ascii="Verdana" w:hAnsi="Verdana"/>
          <w:sz w:val="18"/>
          <w:szCs w:val="18"/>
        </w:rPr>
        <w:t xml:space="preserve"> Europese Unie</w:t>
      </w:r>
      <w:r w:rsidRPr="00B76715">
        <w:rPr>
          <w:rFonts w:ascii="Verdana" w:hAnsi="Verdana"/>
          <w:sz w:val="18"/>
          <w:szCs w:val="18"/>
        </w:rPr>
        <w:t xml:space="preserve"> </w:t>
      </w:r>
      <w:r w:rsidR="001E20A9">
        <w:rPr>
          <w:rFonts w:ascii="Verdana" w:hAnsi="Verdana"/>
          <w:sz w:val="18"/>
          <w:szCs w:val="18"/>
        </w:rPr>
        <w:t>(</w:t>
      </w:r>
      <w:r w:rsidRPr="00B76715">
        <w:rPr>
          <w:rFonts w:ascii="Verdana" w:hAnsi="Verdana"/>
          <w:sz w:val="18"/>
          <w:szCs w:val="18"/>
        </w:rPr>
        <w:t>EU</w:t>
      </w:r>
      <w:r w:rsidR="001E20A9">
        <w:rPr>
          <w:rFonts w:ascii="Verdana" w:hAnsi="Verdana"/>
          <w:sz w:val="18"/>
          <w:szCs w:val="18"/>
        </w:rPr>
        <w:t>)</w:t>
      </w:r>
      <w:r w:rsidRPr="00B76715">
        <w:rPr>
          <w:rFonts w:ascii="Verdana" w:hAnsi="Verdana"/>
          <w:sz w:val="18"/>
          <w:szCs w:val="18"/>
        </w:rPr>
        <w:t>.</w:t>
      </w:r>
      <w:r w:rsidRPr="00B76715" w:rsidR="008514AC">
        <w:rPr>
          <w:rFonts w:ascii="Verdana" w:hAnsi="Verdana"/>
          <w:sz w:val="18"/>
          <w:szCs w:val="18"/>
        </w:rPr>
        <w:t xml:space="preserve"> Het fundament van de agenda bestaat uit zes pijlers.</w:t>
      </w:r>
      <w:r w:rsidRPr="00B76715">
        <w:rPr>
          <w:rFonts w:ascii="Verdana" w:hAnsi="Verdana"/>
          <w:sz w:val="18"/>
          <w:szCs w:val="18"/>
        </w:rPr>
        <w:t xml:space="preserve"> </w:t>
      </w:r>
    </w:p>
    <w:p w:rsidRPr="00B76715" w:rsidR="00BA1635" w:rsidP="00BA1635" w:rsidRDefault="00BA1635" w14:paraId="7041C418" w14:textId="77777777">
      <w:pPr>
        <w:spacing w:after="0" w:line="360" w:lineRule="auto"/>
        <w:rPr>
          <w:rFonts w:ascii="Verdana" w:hAnsi="Verdana"/>
          <w:sz w:val="18"/>
          <w:szCs w:val="18"/>
        </w:rPr>
      </w:pPr>
    </w:p>
    <w:p w:rsidR="00B33A8E" w:rsidP="00BA1635" w:rsidRDefault="00B33A8E" w14:paraId="5C4CB388" w14:textId="6463523D">
      <w:pPr>
        <w:spacing w:after="0" w:line="360" w:lineRule="auto"/>
        <w:rPr>
          <w:rFonts w:ascii="Verdana" w:hAnsi="Verdana"/>
          <w:sz w:val="18"/>
          <w:szCs w:val="18"/>
        </w:rPr>
      </w:pPr>
      <w:r w:rsidRPr="00B76715">
        <w:rPr>
          <w:rFonts w:ascii="Verdana" w:hAnsi="Verdana"/>
          <w:sz w:val="18"/>
          <w:szCs w:val="18"/>
        </w:rPr>
        <w:t xml:space="preserve">In de eerste pijler zet de </w:t>
      </w:r>
      <w:r w:rsidRPr="00B76715" w:rsidR="004544FA">
        <w:rPr>
          <w:rFonts w:ascii="Verdana" w:hAnsi="Verdana"/>
          <w:sz w:val="18"/>
          <w:szCs w:val="18"/>
        </w:rPr>
        <w:t>C</w:t>
      </w:r>
      <w:r w:rsidRPr="00B76715">
        <w:rPr>
          <w:rFonts w:ascii="Verdana" w:hAnsi="Verdana"/>
          <w:sz w:val="18"/>
          <w:szCs w:val="18"/>
        </w:rPr>
        <w:t xml:space="preserve">ommissie in op de adequate voorbereiding op dreigingen. </w:t>
      </w:r>
      <w:r w:rsidRPr="00B76715" w:rsidR="00215F46">
        <w:rPr>
          <w:rFonts w:ascii="Verdana" w:hAnsi="Verdana"/>
          <w:sz w:val="18"/>
          <w:szCs w:val="18"/>
        </w:rPr>
        <w:t xml:space="preserve">Daarvoor wil de Commissie informatieanalyse en veilige informatiedeling op EU-niveau ondersteunen, bijvoorbeeld door </w:t>
      </w:r>
      <w:r w:rsidRPr="00B76715" w:rsidR="00384503">
        <w:rPr>
          <w:rFonts w:ascii="Verdana" w:hAnsi="Verdana"/>
          <w:sz w:val="18"/>
          <w:szCs w:val="18"/>
        </w:rPr>
        <w:t>het prioriteren van verschillende</w:t>
      </w:r>
      <w:r w:rsidRPr="00B76715">
        <w:rPr>
          <w:rFonts w:ascii="Verdana" w:hAnsi="Verdana"/>
          <w:sz w:val="18"/>
          <w:szCs w:val="18"/>
        </w:rPr>
        <w:t xml:space="preserve"> onderzoeksonderwerpen </w:t>
      </w:r>
      <w:r w:rsidRPr="00B76715" w:rsidR="00384503">
        <w:rPr>
          <w:rFonts w:ascii="Verdana" w:hAnsi="Verdana"/>
          <w:sz w:val="18"/>
          <w:szCs w:val="18"/>
        </w:rPr>
        <w:t xml:space="preserve">die hieraan gelieerd </w:t>
      </w:r>
      <w:r w:rsidRPr="00B76715" w:rsidR="00384503">
        <w:rPr>
          <w:rFonts w:ascii="Verdana" w:hAnsi="Verdana"/>
          <w:sz w:val="18"/>
          <w:szCs w:val="18"/>
        </w:rPr>
        <w:lastRenderedPageBreak/>
        <w:t>zijn. Voorbeelden hiervan zijn</w:t>
      </w:r>
      <w:r w:rsidRPr="00B76715">
        <w:rPr>
          <w:rFonts w:ascii="Verdana" w:hAnsi="Verdana"/>
          <w:sz w:val="18"/>
          <w:szCs w:val="18"/>
        </w:rPr>
        <w:t xml:space="preserve"> </w:t>
      </w:r>
      <w:proofErr w:type="spellStart"/>
      <w:r w:rsidRPr="00B76715">
        <w:rPr>
          <w:rFonts w:ascii="Verdana" w:hAnsi="Verdana"/>
          <w:sz w:val="18"/>
          <w:szCs w:val="18"/>
        </w:rPr>
        <w:t>vroegsignaleringscapaciteit</w:t>
      </w:r>
      <w:proofErr w:type="spellEnd"/>
      <w:r w:rsidRPr="00B76715">
        <w:rPr>
          <w:rFonts w:ascii="Verdana" w:hAnsi="Verdana"/>
          <w:sz w:val="18"/>
          <w:szCs w:val="18"/>
        </w:rPr>
        <w:t>, technologische innovatie</w:t>
      </w:r>
      <w:r w:rsidR="001E20A9">
        <w:rPr>
          <w:rFonts w:ascii="Verdana" w:hAnsi="Verdana"/>
          <w:sz w:val="18"/>
          <w:szCs w:val="18"/>
        </w:rPr>
        <w:t xml:space="preserve"> </w:t>
      </w:r>
      <w:r w:rsidRPr="00B76715">
        <w:rPr>
          <w:rFonts w:ascii="Verdana" w:hAnsi="Verdana"/>
          <w:sz w:val="18"/>
          <w:szCs w:val="18"/>
        </w:rPr>
        <w:t xml:space="preserve">en bescherming tegen </w:t>
      </w:r>
      <w:r w:rsidR="00A7245C">
        <w:rPr>
          <w:rFonts w:ascii="Verdana" w:hAnsi="Verdana"/>
          <w:sz w:val="18"/>
          <w:szCs w:val="18"/>
        </w:rPr>
        <w:t>(</w:t>
      </w:r>
      <w:r w:rsidRPr="00B76715">
        <w:rPr>
          <w:rFonts w:ascii="Verdana" w:hAnsi="Verdana"/>
          <w:sz w:val="18"/>
          <w:szCs w:val="18"/>
        </w:rPr>
        <w:t>nieuwe</w:t>
      </w:r>
      <w:r w:rsidR="00A7245C">
        <w:rPr>
          <w:rFonts w:ascii="Verdana" w:hAnsi="Verdana"/>
          <w:sz w:val="18"/>
          <w:szCs w:val="18"/>
        </w:rPr>
        <w:t>)</w:t>
      </w:r>
      <w:r w:rsidRPr="00B76715">
        <w:rPr>
          <w:rFonts w:ascii="Verdana" w:hAnsi="Verdana"/>
          <w:sz w:val="18"/>
          <w:szCs w:val="18"/>
        </w:rPr>
        <w:t xml:space="preserve"> aanslagmiddelen. </w:t>
      </w:r>
    </w:p>
    <w:p w:rsidRPr="00B76715" w:rsidR="00BA1635" w:rsidP="00BA1635" w:rsidRDefault="00BA1635" w14:paraId="219979A2" w14:textId="77777777">
      <w:pPr>
        <w:spacing w:after="0" w:line="360" w:lineRule="auto"/>
        <w:rPr>
          <w:rFonts w:ascii="Verdana" w:hAnsi="Verdana"/>
          <w:sz w:val="18"/>
          <w:szCs w:val="18"/>
        </w:rPr>
      </w:pPr>
    </w:p>
    <w:p w:rsidR="00B33A8E" w:rsidP="00BA1635" w:rsidRDefault="00B33A8E" w14:paraId="05905D26" w14:textId="44514965">
      <w:pPr>
        <w:spacing w:after="0" w:line="360" w:lineRule="auto"/>
        <w:rPr>
          <w:rFonts w:ascii="Verdana" w:hAnsi="Verdana"/>
          <w:sz w:val="18"/>
          <w:szCs w:val="18"/>
        </w:rPr>
      </w:pPr>
      <w:r w:rsidRPr="00B76715">
        <w:rPr>
          <w:rFonts w:ascii="Verdana" w:hAnsi="Verdana"/>
          <w:sz w:val="18"/>
          <w:szCs w:val="18"/>
        </w:rPr>
        <w:t xml:space="preserve">In de tweede pijler zet de Commissie de </w:t>
      </w:r>
      <w:proofErr w:type="spellStart"/>
      <w:r w:rsidRPr="00B76715">
        <w:rPr>
          <w:rFonts w:ascii="Verdana" w:hAnsi="Verdana"/>
          <w:sz w:val="18"/>
          <w:szCs w:val="18"/>
        </w:rPr>
        <w:t>maatschappijbrede</w:t>
      </w:r>
      <w:proofErr w:type="spellEnd"/>
      <w:r w:rsidRPr="00B76715">
        <w:rPr>
          <w:rFonts w:ascii="Verdana" w:hAnsi="Verdana"/>
          <w:sz w:val="18"/>
          <w:szCs w:val="18"/>
        </w:rPr>
        <w:t xml:space="preserve"> aanpak voor radicaliseringspreventie voort</w:t>
      </w:r>
      <w:r w:rsidRPr="00B76715" w:rsidR="00C54891">
        <w:rPr>
          <w:rFonts w:ascii="Verdana" w:hAnsi="Verdana"/>
          <w:sz w:val="18"/>
          <w:szCs w:val="18"/>
        </w:rPr>
        <w:t xml:space="preserve">. </w:t>
      </w:r>
      <w:r w:rsidRPr="00B76715">
        <w:rPr>
          <w:rFonts w:ascii="Verdana" w:hAnsi="Verdana"/>
          <w:sz w:val="18"/>
          <w:szCs w:val="18"/>
        </w:rPr>
        <w:t>Het EU Kenniscentrum voor radicaliseringspreventie (hierna: Kenniscentrum) blijft belangrijk voor kennisdeling en ondersteuning van lidstaten</w:t>
      </w:r>
      <w:r w:rsidRPr="00B76715" w:rsidR="00EE7815">
        <w:rPr>
          <w:rFonts w:ascii="Verdana" w:hAnsi="Verdana"/>
          <w:sz w:val="18"/>
          <w:szCs w:val="18"/>
        </w:rPr>
        <w:t>.</w:t>
      </w:r>
      <w:r w:rsidRPr="00B76715" w:rsidR="00384503">
        <w:rPr>
          <w:rFonts w:ascii="Verdana" w:hAnsi="Verdana"/>
          <w:sz w:val="18"/>
          <w:szCs w:val="18"/>
        </w:rPr>
        <w:t xml:space="preserve"> Minderjarigen en mentale gezondheid zijn hierin belangrijke thema’s.</w:t>
      </w:r>
      <w:r w:rsidRPr="00B76715" w:rsidR="00FF5603">
        <w:rPr>
          <w:rFonts w:ascii="Verdana" w:hAnsi="Verdana"/>
          <w:sz w:val="18"/>
          <w:szCs w:val="18"/>
        </w:rPr>
        <w:t xml:space="preserve"> </w:t>
      </w:r>
      <w:r w:rsidRPr="00B76715" w:rsidR="00061F56">
        <w:rPr>
          <w:rFonts w:ascii="Verdana" w:hAnsi="Verdana"/>
          <w:sz w:val="18"/>
          <w:szCs w:val="18"/>
        </w:rPr>
        <w:t xml:space="preserve">Ook zet de Commissie in op (online) weerbare gemeenschappen, door burgers en professionals te ondersteunen bij effectieve reacties op gewelddadig extremistische online content. Ten aanzien van het bestrijden van alle vormen van haat overweegt de Commissie een wetsinitiatief om de definitie van online haatmisdrijven te harmoniseren. Specifiek gericht op het tegengaan van antisemitisme versnelt de Commissie de implementatie van de </w:t>
      </w:r>
      <w:r w:rsidRPr="00B76715" w:rsidR="00061F56">
        <w:rPr>
          <w:rFonts w:ascii="Verdana" w:hAnsi="Verdana"/>
          <w:i/>
          <w:iCs/>
          <w:sz w:val="18"/>
          <w:szCs w:val="18"/>
        </w:rPr>
        <w:t xml:space="preserve">EU Strategy on </w:t>
      </w:r>
      <w:proofErr w:type="spellStart"/>
      <w:r w:rsidRPr="00B76715" w:rsidR="00061F56">
        <w:rPr>
          <w:rFonts w:ascii="Verdana" w:hAnsi="Verdana"/>
          <w:i/>
          <w:iCs/>
          <w:sz w:val="18"/>
          <w:szCs w:val="18"/>
        </w:rPr>
        <w:t>Combating</w:t>
      </w:r>
      <w:proofErr w:type="spellEnd"/>
      <w:r w:rsidRPr="00B76715" w:rsidR="00061F56">
        <w:rPr>
          <w:rFonts w:ascii="Verdana" w:hAnsi="Verdana"/>
          <w:i/>
          <w:iCs/>
          <w:sz w:val="18"/>
          <w:szCs w:val="18"/>
        </w:rPr>
        <w:t xml:space="preserve"> </w:t>
      </w:r>
      <w:proofErr w:type="spellStart"/>
      <w:r w:rsidRPr="00B76715" w:rsidR="00061F56">
        <w:rPr>
          <w:rFonts w:ascii="Verdana" w:hAnsi="Verdana"/>
          <w:i/>
          <w:iCs/>
          <w:sz w:val="18"/>
          <w:szCs w:val="18"/>
        </w:rPr>
        <w:t>Antisemitism</w:t>
      </w:r>
      <w:proofErr w:type="spellEnd"/>
      <w:r w:rsidRPr="00B76715" w:rsidR="00061F56">
        <w:rPr>
          <w:rFonts w:ascii="Verdana" w:hAnsi="Verdana"/>
          <w:i/>
          <w:iCs/>
          <w:sz w:val="18"/>
          <w:szCs w:val="18"/>
        </w:rPr>
        <w:t xml:space="preserve"> and </w:t>
      </w:r>
      <w:proofErr w:type="spellStart"/>
      <w:r w:rsidRPr="00B76715" w:rsidR="00061F56">
        <w:rPr>
          <w:rFonts w:ascii="Verdana" w:hAnsi="Verdana"/>
          <w:i/>
          <w:iCs/>
          <w:sz w:val="18"/>
          <w:szCs w:val="18"/>
        </w:rPr>
        <w:t>Fostering</w:t>
      </w:r>
      <w:proofErr w:type="spellEnd"/>
      <w:r w:rsidRPr="00B76715" w:rsidR="00061F56">
        <w:rPr>
          <w:rFonts w:ascii="Verdana" w:hAnsi="Verdana"/>
          <w:i/>
          <w:iCs/>
          <w:sz w:val="18"/>
          <w:szCs w:val="18"/>
        </w:rPr>
        <w:t xml:space="preserve"> </w:t>
      </w:r>
      <w:proofErr w:type="spellStart"/>
      <w:r w:rsidRPr="00B76715" w:rsidR="00061F56">
        <w:rPr>
          <w:rFonts w:ascii="Verdana" w:hAnsi="Verdana"/>
          <w:i/>
          <w:iCs/>
          <w:sz w:val="18"/>
          <w:szCs w:val="18"/>
        </w:rPr>
        <w:t>Jewish</w:t>
      </w:r>
      <w:proofErr w:type="spellEnd"/>
      <w:r w:rsidRPr="00B76715" w:rsidR="00061F56">
        <w:rPr>
          <w:rFonts w:ascii="Verdana" w:hAnsi="Verdana"/>
          <w:i/>
          <w:iCs/>
          <w:sz w:val="18"/>
          <w:szCs w:val="18"/>
        </w:rPr>
        <w:t xml:space="preserve"> Life</w:t>
      </w:r>
      <w:r w:rsidRPr="00B76715" w:rsidR="00061F56">
        <w:rPr>
          <w:rFonts w:ascii="Verdana" w:hAnsi="Verdana"/>
          <w:sz w:val="18"/>
          <w:szCs w:val="18"/>
        </w:rPr>
        <w:t xml:space="preserve"> en moedigt de Commissie lidstaten aan om de aanbevelingen uit de </w:t>
      </w:r>
      <w:r w:rsidRPr="00B76715" w:rsidR="00061F56">
        <w:rPr>
          <w:rFonts w:ascii="Verdana" w:hAnsi="Verdana"/>
          <w:i/>
          <w:iCs/>
          <w:sz w:val="18"/>
          <w:szCs w:val="18"/>
        </w:rPr>
        <w:t xml:space="preserve">project-based </w:t>
      </w:r>
      <w:proofErr w:type="spellStart"/>
      <w:r w:rsidRPr="00B76715" w:rsidR="00061F56">
        <w:rPr>
          <w:rFonts w:ascii="Verdana" w:hAnsi="Verdana"/>
          <w:i/>
          <w:iCs/>
          <w:sz w:val="18"/>
          <w:szCs w:val="18"/>
        </w:rPr>
        <w:t>collaboration</w:t>
      </w:r>
      <w:proofErr w:type="spellEnd"/>
      <w:r w:rsidRPr="00B76715" w:rsidR="00061F56">
        <w:rPr>
          <w:rFonts w:ascii="Verdana" w:hAnsi="Verdana"/>
          <w:sz w:val="18"/>
          <w:szCs w:val="18"/>
        </w:rPr>
        <w:t xml:space="preserve"> (PBC) Antisemitisme op te volgen.</w:t>
      </w:r>
      <w:r w:rsidR="003904C7">
        <w:rPr>
          <w:rFonts w:ascii="Verdana" w:hAnsi="Verdana"/>
          <w:sz w:val="18"/>
          <w:szCs w:val="18"/>
        </w:rPr>
        <w:t xml:space="preserve"> </w:t>
      </w:r>
    </w:p>
    <w:p w:rsidRPr="00B76715" w:rsidR="00BA1635" w:rsidP="00BA1635" w:rsidRDefault="00BA1635" w14:paraId="2E7C531A" w14:textId="77777777">
      <w:pPr>
        <w:spacing w:after="0" w:line="360" w:lineRule="auto"/>
        <w:rPr>
          <w:rFonts w:ascii="Verdana" w:hAnsi="Verdana"/>
          <w:sz w:val="18"/>
          <w:szCs w:val="18"/>
        </w:rPr>
      </w:pPr>
    </w:p>
    <w:p w:rsidR="00B33A8E" w:rsidP="00BA1635" w:rsidRDefault="00B33A8E" w14:paraId="0E522E22" w14:textId="245F665B">
      <w:pPr>
        <w:spacing w:after="0" w:line="360" w:lineRule="auto"/>
        <w:rPr>
          <w:rFonts w:ascii="Verdana" w:hAnsi="Verdana"/>
          <w:sz w:val="18"/>
          <w:szCs w:val="18"/>
        </w:rPr>
      </w:pPr>
      <w:r w:rsidRPr="00B76715">
        <w:rPr>
          <w:rFonts w:ascii="Verdana" w:hAnsi="Verdana"/>
          <w:sz w:val="18"/>
          <w:szCs w:val="18"/>
        </w:rPr>
        <w:t xml:space="preserve">In de derde pijler versterkt de Commissie de bescherming van (kwetsbare) personen </w:t>
      </w:r>
      <w:r w:rsidRPr="00B76715" w:rsidR="00EE1B50">
        <w:rPr>
          <w:rFonts w:ascii="Verdana" w:hAnsi="Verdana"/>
          <w:sz w:val="18"/>
          <w:szCs w:val="18"/>
        </w:rPr>
        <w:t xml:space="preserve">en </w:t>
      </w:r>
      <w:r w:rsidR="001E20A9">
        <w:rPr>
          <w:rFonts w:ascii="Verdana" w:hAnsi="Verdana"/>
          <w:sz w:val="18"/>
          <w:szCs w:val="18"/>
        </w:rPr>
        <w:t>jongeren</w:t>
      </w:r>
      <w:r w:rsidRPr="00B76715" w:rsidR="00EE1B50">
        <w:rPr>
          <w:rFonts w:ascii="Verdana" w:hAnsi="Verdana"/>
          <w:sz w:val="18"/>
          <w:szCs w:val="18"/>
        </w:rPr>
        <w:t xml:space="preserve"> </w:t>
      </w:r>
      <w:r w:rsidRPr="00B76715">
        <w:rPr>
          <w:rFonts w:ascii="Verdana" w:hAnsi="Verdana"/>
          <w:sz w:val="18"/>
          <w:szCs w:val="18"/>
        </w:rPr>
        <w:t>online. Lidstaten worden</w:t>
      </w:r>
      <w:r w:rsidRPr="00B76715" w:rsidR="00061F56">
        <w:rPr>
          <w:rFonts w:ascii="Verdana" w:hAnsi="Verdana"/>
          <w:sz w:val="18"/>
          <w:szCs w:val="18"/>
        </w:rPr>
        <w:t xml:space="preserve"> onder meer </w:t>
      </w:r>
      <w:r w:rsidRPr="00B76715">
        <w:rPr>
          <w:rFonts w:ascii="Verdana" w:hAnsi="Verdana"/>
          <w:sz w:val="18"/>
          <w:szCs w:val="18"/>
        </w:rPr>
        <w:t xml:space="preserve">aangemoedigd om effectieve implementatie en naleving van de </w:t>
      </w:r>
      <w:r w:rsidRPr="00B76715" w:rsidR="006C1993">
        <w:rPr>
          <w:rFonts w:ascii="Verdana" w:hAnsi="Verdana"/>
          <w:sz w:val="18"/>
          <w:szCs w:val="18"/>
        </w:rPr>
        <w:t>v</w:t>
      </w:r>
      <w:r w:rsidRPr="00B76715" w:rsidR="002D470E">
        <w:rPr>
          <w:rFonts w:ascii="Verdana" w:hAnsi="Verdana"/>
          <w:sz w:val="18"/>
          <w:szCs w:val="18"/>
        </w:rPr>
        <w:t>erordening Terroristische Online-Inhoud (TOI)</w:t>
      </w:r>
      <w:r w:rsidRPr="00B76715">
        <w:rPr>
          <w:rFonts w:ascii="Verdana" w:hAnsi="Verdana"/>
          <w:sz w:val="18"/>
          <w:szCs w:val="18"/>
        </w:rPr>
        <w:t xml:space="preserve"> en de</w:t>
      </w:r>
      <w:r w:rsidRPr="00B76715" w:rsidR="002D470E">
        <w:rPr>
          <w:rFonts w:ascii="Verdana" w:hAnsi="Verdana"/>
          <w:sz w:val="18"/>
          <w:szCs w:val="18"/>
        </w:rPr>
        <w:t xml:space="preserve"> </w:t>
      </w:r>
      <w:r w:rsidRPr="00B76715" w:rsidR="006C1993">
        <w:rPr>
          <w:rFonts w:ascii="Verdana" w:hAnsi="Verdana"/>
          <w:sz w:val="18"/>
          <w:szCs w:val="18"/>
        </w:rPr>
        <w:t>w</w:t>
      </w:r>
      <w:r w:rsidRPr="00B76715" w:rsidR="002D470E">
        <w:rPr>
          <w:rFonts w:ascii="Verdana" w:hAnsi="Verdana"/>
          <w:sz w:val="18"/>
          <w:szCs w:val="18"/>
        </w:rPr>
        <w:t>et inzake Digitale Diensten</w:t>
      </w:r>
      <w:r w:rsidRPr="00B76715">
        <w:rPr>
          <w:rFonts w:ascii="Verdana" w:hAnsi="Verdana"/>
          <w:sz w:val="18"/>
          <w:szCs w:val="18"/>
        </w:rPr>
        <w:t xml:space="preserve"> (DSA) te garanderen, waar ook de Commissie op zal inzetten. De </w:t>
      </w:r>
      <w:r w:rsidRPr="00B76715" w:rsidR="006C1993">
        <w:rPr>
          <w:rFonts w:ascii="Verdana" w:hAnsi="Verdana"/>
          <w:sz w:val="18"/>
          <w:szCs w:val="18"/>
        </w:rPr>
        <w:t>TOI-</w:t>
      </w:r>
      <w:r w:rsidRPr="00B76715" w:rsidR="00702F1E">
        <w:rPr>
          <w:rFonts w:ascii="Verdana" w:hAnsi="Verdana"/>
          <w:sz w:val="18"/>
          <w:szCs w:val="18"/>
        </w:rPr>
        <w:t>verordening</w:t>
      </w:r>
      <w:r w:rsidRPr="00B76715" w:rsidR="002F64A5">
        <w:rPr>
          <w:rFonts w:ascii="Verdana" w:hAnsi="Verdana"/>
          <w:sz w:val="18"/>
          <w:szCs w:val="18"/>
        </w:rPr>
        <w:t xml:space="preserve"> </w:t>
      </w:r>
      <w:r w:rsidRPr="00B76715">
        <w:rPr>
          <w:rFonts w:ascii="Verdana" w:hAnsi="Verdana"/>
          <w:sz w:val="18"/>
          <w:szCs w:val="18"/>
        </w:rPr>
        <w:t>wordt geëvalueerd, versterkt en aangevuld met een</w:t>
      </w:r>
      <w:r w:rsidRPr="00B76715" w:rsidR="00702F1E">
        <w:rPr>
          <w:rFonts w:ascii="Verdana" w:hAnsi="Verdana"/>
          <w:sz w:val="18"/>
          <w:szCs w:val="18"/>
        </w:rPr>
        <w:t xml:space="preserve"> nog te ontwikkelen</w:t>
      </w:r>
      <w:r w:rsidRPr="00B76715">
        <w:rPr>
          <w:rFonts w:ascii="Verdana" w:hAnsi="Verdana"/>
          <w:sz w:val="18"/>
          <w:szCs w:val="18"/>
        </w:rPr>
        <w:t xml:space="preserve"> Europese </w:t>
      </w:r>
      <w:proofErr w:type="spellStart"/>
      <w:r w:rsidRPr="00B76715">
        <w:rPr>
          <w:rFonts w:ascii="Verdana" w:hAnsi="Verdana"/>
          <w:i/>
          <w:iCs/>
          <w:sz w:val="18"/>
          <w:szCs w:val="18"/>
        </w:rPr>
        <w:t>hash</w:t>
      </w:r>
      <w:proofErr w:type="spellEnd"/>
      <w:r w:rsidRPr="00B76715">
        <w:rPr>
          <w:rFonts w:ascii="Verdana" w:hAnsi="Verdana"/>
          <w:i/>
          <w:iCs/>
          <w:sz w:val="18"/>
          <w:szCs w:val="18"/>
        </w:rPr>
        <w:t>-sharing databas</w:t>
      </w:r>
      <w:r w:rsidRPr="00B76715" w:rsidR="005163C5">
        <w:rPr>
          <w:rFonts w:ascii="Verdana" w:hAnsi="Verdana"/>
          <w:i/>
          <w:iCs/>
          <w:sz w:val="18"/>
          <w:szCs w:val="18"/>
        </w:rPr>
        <w:t xml:space="preserve">e </w:t>
      </w:r>
      <w:r w:rsidRPr="00B76715" w:rsidR="005163C5">
        <w:rPr>
          <w:rFonts w:ascii="Verdana" w:hAnsi="Verdana"/>
          <w:sz w:val="18"/>
          <w:szCs w:val="18"/>
        </w:rPr>
        <w:t>wa</w:t>
      </w:r>
      <w:r w:rsidRPr="00B76715">
        <w:rPr>
          <w:rFonts w:ascii="Verdana" w:hAnsi="Verdana"/>
          <w:sz w:val="18"/>
          <w:szCs w:val="18"/>
        </w:rPr>
        <w:t>armee lidstaten en hostingdienstverleners terroristische en gewelddadig extremistische content kunnen markeren, matchen en verwijderen. De Commissie versterk</w:t>
      </w:r>
      <w:r w:rsidRPr="00B76715" w:rsidR="00114391">
        <w:rPr>
          <w:rFonts w:ascii="Verdana" w:hAnsi="Verdana"/>
          <w:sz w:val="18"/>
          <w:szCs w:val="18"/>
        </w:rPr>
        <w:t>t</w:t>
      </w:r>
      <w:r w:rsidRPr="00B76715">
        <w:rPr>
          <w:rFonts w:ascii="Verdana" w:hAnsi="Verdana"/>
          <w:sz w:val="18"/>
          <w:szCs w:val="18"/>
        </w:rPr>
        <w:t xml:space="preserve"> </w:t>
      </w:r>
      <w:r w:rsidRPr="00B76715" w:rsidR="006706B7">
        <w:rPr>
          <w:rFonts w:ascii="Verdana" w:hAnsi="Verdana"/>
          <w:sz w:val="18"/>
          <w:szCs w:val="18"/>
        </w:rPr>
        <w:t xml:space="preserve">daarnaast </w:t>
      </w:r>
      <w:r w:rsidRPr="00B76715">
        <w:rPr>
          <w:rFonts w:ascii="Verdana" w:hAnsi="Verdana"/>
          <w:sz w:val="18"/>
          <w:szCs w:val="18"/>
        </w:rPr>
        <w:t xml:space="preserve">de samenwerking met </w:t>
      </w:r>
      <w:r w:rsidRPr="00B76715" w:rsidR="00BE18ED">
        <w:rPr>
          <w:rFonts w:ascii="Verdana" w:hAnsi="Verdana"/>
          <w:sz w:val="18"/>
          <w:szCs w:val="18"/>
        </w:rPr>
        <w:t>online dienstverleners</w:t>
      </w:r>
      <w:r w:rsidRPr="00B76715">
        <w:rPr>
          <w:rFonts w:ascii="Verdana" w:hAnsi="Verdana"/>
          <w:sz w:val="18"/>
          <w:szCs w:val="18"/>
        </w:rPr>
        <w:t xml:space="preserve"> binnen het EU Internet Forum</w:t>
      </w:r>
      <w:r w:rsidRPr="00B76715" w:rsidR="00C63159">
        <w:rPr>
          <w:rFonts w:ascii="Verdana" w:hAnsi="Verdana"/>
          <w:sz w:val="18"/>
          <w:szCs w:val="18"/>
        </w:rPr>
        <w:t xml:space="preserve"> (EUIF)</w:t>
      </w:r>
      <w:r w:rsidRPr="00B76715" w:rsidR="00BE18ED">
        <w:rPr>
          <w:rFonts w:ascii="Verdana" w:hAnsi="Verdana"/>
          <w:sz w:val="18"/>
          <w:szCs w:val="18"/>
        </w:rPr>
        <w:t>.</w:t>
      </w:r>
      <w:r w:rsidRPr="00B76715">
        <w:rPr>
          <w:rFonts w:ascii="Verdana" w:hAnsi="Verdana"/>
          <w:sz w:val="18"/>
          <w:szCs w:val="18"/>
        </w:rPr>
        <w:t xml:space="preserve"> </w:t>
      </w:r>
      <w:r w:rsidRPr="00B76715" w:rsidR="00FE5991">
        <w:rPr>
          <w:rFonts w:ascii="Verdana" w:hAnsi="Verdana"/>
          <w:sz w:val="18"/>
          <w:szCs w:val="18"/>
        </w:rPr>
        <w:t>Dit kan specifieke acties omvatten bij het naleven en handhaven van de DSA, zoals ontwikkeling en implementatie van vrijwillige richtlijnen en gedragscodes</w:t>
      </w:r>
      <w:r w:rsidRPr="00B76715" w:rsidR="004544FA">
        <w:rPr>
          <w:rFonts w:ascii="Verdana" w:hAnsi="Verdana"/>
          <w:sz w:val="18"/>
          <w:szCs w:val="18"/>
        </w:rPr>
        <w:t>.</w:t>
      </w:r>
      <w:r w:rsidRPr="00B76715" w:rsidR="00640FC0">
        <w:rPr>
          <w:rFonts w:ascii="Verdana" w:hAnsi="Verdana"/>
          <w:sz w:val="18"/>
          <w:szCs w:val="18"/>
        </w:rPr>
        <w:t xml:space="preserve"> </w:t>
      </w:r>
      <w:r w:rsidRPr="00B76715" w:rsidR="004544FA">
        <w:rPr>
          <w:rFonts w:ascii="Verdana" w:hAnsi="Verdana"/>
          <w:sz w:val="18"/>
          <w:szCs w:val="18"/>
        </w:rPr>
        <w:t xml:space="preserve">Daarnaast </w:t>
      </w:r>
      <w:r w:rsidRPr="00B76715">
        <w:rPr>
          <w:rFonts w:ascii="Verdana" w:hAnsi="Verdana"/>
          <w:sz w:val="18"/>
          <w:szCs w:val="18"/>
        </w:rPr>
        <w:t>zal het EU</w:t>
      </w:r>
      <w:r w:rsidRPr="00B76715" w:rsidR="00C63159">
        <w:rPr>
          <w:rFonts w:ascii="Verdana" w:hAnsi="Verdana"/>
          <w:sz w:val="18"/>
          <w:szCs w:val="18"/>
        </w:rPr>
        <w:t>IF</w:t>
      </w:r>
      <w:r w:rsidRPr="00B76715" w:rsidR="00AA5A94">
        <w:rPr>
          <w:rFonts w:ascii="Verdana" w:hAnsi="Verdana"/>
          <w:sz w:val="18"/>
          <w:szCs w:val="18"/>
        </w:rPr>
        <w:t xml:space="preserve"> </w:t>
      </w:r>
      <w:r w:rsidRPr="00B76715" w:rsidR="00640FC0">
        <w:rPr>
          <w:rFonts w:ascii="Verdana" w:hAnsi="Verdana"/>
          <w:sz w:val="18"/>
          <w:szCs w:val="18"/>
        </w:rPr>
        <w:t xml:space="preserve">de </w:t>
      </w:r>
      <w:r w:rsidRPr="00B76715">
        <w:rPr>
          <w:rFonts w:ascii="Verdana" w:hAnsi="Verdana"/>
          <w:sz w:val="18"/>
          <w:szCs w:val="18"/>
        </w:rPr>
        <w:t xml:space="preserve">samenwerking tussen de </w:t>
      </w:r>
      <w:proofErr w:type="spellStart"/>
      <w:r w:rsidRPr="00B76715">
        <w:rPr>
          <w:rFonts w:ascii="Verdana" w:hAnsi="Verdana"/>
          <w:sz w:val="18"/>
          <w:szCs w:val="18"/>
        </w:rPr>
        <w:t>gam</w:t>
      </w:r>
      <w:r w:rsidRPr="00B76715" w:rsidR="00943E36">
        <w:rPr>
          <w:rFonts w:ascii="Verdana" w:hAnsi="Verdana"/>
          <w:sz w:val="18"/>
          <w:szCs w:val="18"/>
        </w:rPr>
        <w:t>ing</w:t>
      </w:r>
      <w:proofErr w:type="spellEnd"/>
      <w:r w:rsidRPr="00B76715" w:rsidR="00117665">
        <w:rPr>
          <w:rFonts w:ascii="Verdana" w:hAnsi="Verdana"/>
          <w:sz w:val="18"/>
          <w:szCs w:val="18"/>
        </w:rPr>
        <w:t>-</w:t>
      </w:r>
      <w:r w:rsidRPr="00B76715">
        <w:rPr>
          <w:rFonts w:ascii="Verdana" w:hAnsi="Verdana"/>
          <w:sz w:val="18"/>
          <w:szCs w:val="18"/>
        </w:rPr>
        <w:t>sector en wetshandhaving bevorderen</w:t>
      </w:r>
      <w:r w:rsidRPr="00B76715" w:rsidR="00F53523">
        <w:rPr>
          <w:rFonts w:ascii="Verdana" w:hAnsi="Verdana"/>
          <w:sz w:val="18"/>
          <w:szCs w:val="18"/>
        </w:rPr>
        <w:t xml:space="preserve"> en zal het </w:t>
      </w:r>
      <w:r w:rsidRPr="00B76715" w:rsidR="001E1893">
        <w:rPr>
          <w:rFonts w:ascii="Verdana" w:hAnsi="Verdana"/>
          <w:sz w:val="18"/>
          <w:szCs w:val="18"/>
        </w:rPr>
        <w:t>de haalbaarheid van richtlijnen ter bestrijding van rekrutering onderzoeken</w:t>
      </w:r>
      <w:r w:rsidRPr="00B76715">
        <w:rPr>
          <w:rFonts w:ascii="Verdana" w:hAnsi="Verdana"/>
          <w:sz w:val="18"/>
          <w:szCs w:val="18"/>
        </w:rPr>
        <w:t xml:space="preserve">. </w:t>
      </w:r>
      <w:r w:rsidRPr="00B76715" w:rsidR="00842C48">
        <w:rPr>
          <w:rFonts w:ascii="Verdana" w:hAnsi="Verdana"/>
          <w:sz w:val="18"/>
          <w:szCs w:val="18"/>
        </w:rPr>
        <w:t xml:space="preserve">Europol </w:t>
      </w:r>
      <w:r w:rsidR="001E20A9">
        <w:rPr>
          <w:rFonts w:ascii="Verdana" w:hAnsi="Verdana"/>
          <w:sz w:val="18"/>
          <w:szCs w:val="18"/>
        </w:rPr>
        <w:t xml:space="preserve">werkt </w:t>
      </w:r>
      <w:r w:rsidRPr="00B76715" w:rsidR="00842C48">
        <w:rPr>
          <w:rFonts w:ascii="Verdana" w:hAnsi="Verdana"/>
          <w:sz w:val="18"/>
          <w:szCs w:val="18"/>
        </w:rPr>
        <w:t xml:space="preserve">aan </w:t>
      </w:r>
      <w:r w:rsidRPr="00B76715" w:rsidR="00216320">
        <w:rPr>
          <w:rFonts w:ascii="Verdana" w:hAnsi="Verdana"/>
          <w:sz w:val="18"/>
          <w:szCs w:val="18"/>
        </w:rPr>
        <w:t xml:space="preserve">gerichte </w:t>
      </w:r>
      <w:r w:rsidRPr="00B76715" w:rsidR="00842C48">
        <w:rPr>
          <w:rFonts w:ascii="Verdana" w:hAnsi="Verdana"/>
          <w:sz w:val="18"/>
          <w:szCs w:val="18"/>
        </w:rPr>
        <w:t xml:space="preserve">capaciteit om misbruik van online </w:t>
      </w:r>
      <w:proofErr w:type="spellStart"/>
      <w:r w:rsidRPr="00B76715" w:rsidR="00842C48">
        <w:rPr>
          <w:rFonts w:ascii="Verdana" w:hAnsi="Verdana"/>
          <w:sz w:val="18"/>
          <w:szCs w:val="18"/>
        </w:rPr>
        <w:t>gaming</w:t>
      </w:r>
      <w:proofErr w:type="spellEnd"/>
      <w:r w:rsidRPr="00B76715" w:rsidR="00842C48">
        <w:rPr>
          <w:rFonts w:ascii="Verdana" w:hAnsi="Verdana"/>
          <w:sz w:val="18"/>
          <w:szCs w:val="18"/>
        </w:rPr>
        <w:t xml:space="preserve"> te monitoren en analyseren. </w:t>
      </w:r>
    </w:p>
    <w:p w:rsidRPr="00B76715" w:rsidR="00BA1635" w:rsidP="00BA1635" w:rsidRDefault="00BA1635" w14:paraId="19D1794A" w14:textId="77777777">
      <w:pPr>
        <w:spacing w:after="0" w:line="360" w:lineRule="auto"/>
        <w:rPr>
          <w:rFonts w:ascii="Verdana" w:hAnsi="Verdana"/>
          <w:sz w:val="18"/>
          <w:szCs w:val="18"/>
        </w:rPr>
      </w:pPr>
    </w:p>
    <w:p w:rsidR="00B33A8E" w:rsidP="00BA1635" w:rsidRDefault="00B33A8E" w14:paraId="01C09217" w14:textId="54ACC3D0">
      <w:pPr>
        <w:spacing w:after="0" w:line="360" w:lineRule="auto"/>
        <w:rPr>
          <w:rFonts w:ascii="Verdana" w:hAnsi="Verdana"/>
          <w:sz w:val="18"/>
          <w:szCs w:val="18"/>
        </w:rPr>
      </w:pPr>
      <w:r w:rsidRPr="00B76715">
        <w:rPr>
          <w:rFonts w:ascii="Verdana" w:hAnsi="Verdana"/>
          <w:sz w:val="18"/>
          <w:szCs w:val="18"/>
        </w:rPr>
        <w:t xml:space="preserve">De vierde </w:t>
      </w:r>
      <w:r w:rsidRPr="00801DC2">
        <w:rPr>
          <w:rFonts w:ascii="Verdana" w:hAnsi="Verdana"/>
          <w:sz w:val="18"/>
          <w:szCs w:val="18"/>
        </w:rPr>
        <w:t xml:space="preserve">pijler </w:t>
      </w:r>
      <w:r w:rsidRPr="00801DC2" w:rsidR="006B251B">
        <w:rPr>
          <w:rFonts w:ascii="Verdana" w:hAnsi="Verdana"/>
          <w:sz w:val="18"/>
          <w:szCs w:val="18"/>
        </w:rPr>
        <w:t>omvat</w:t>
      </w:r>
      <w:r w:rsidRPr="00801DC2">
        <w:rPr>
          <w:rFonts w:ascii="Verdana" w:hAnsi="Verdana"/>
          <w:sz w:val="18"/>
          <w:szCs w:val="18"/>
        </w:rPr>
        <w:t xml:space="preserve"> het beschermen van personen in de fysieke omgeving</w:t>
      </w:r>
      <w:r w:rsidRPr="00801DC2" w:rsidR="006706B7">
        <w:rPr>
          <w:rFonts w:ascii="Verdana" w:hAnsi="Verdana"/>
          <w:sz w:val="18"/>
          <w:szCs w:val="18"/>
        </w:rPr>
        <w:t xml:space="preserve"> en</w:t>
      </w:r>
      <w:r w:rsidR="00DD19DD">
        <w:rPr>
          <w:rFonts w:ascii="Verdana" w:hAnsi="Verdana"/>
          <w:sz w:val="18"/>
          <w:szCs w:val="18"/>
        </w:rPr>
        <w:t xml:space="preserve"> het</w:t>
      </w:r>
      <w:r w:rsidRPr="00801DC2" w:rsidR="006706B7">
        <w:rPr>
          <w:rFonts w:ascii="Verdana" w:hAnsi="Verdana"/>
          <w:sz w:val="18"/>
          <w:szCs w:val="18"/>
        </w:rPr>
        <w:t xml:space="preserve"> versterken van het grenstoezicht</w:t>
      </w:r>
      <w:bookmarkStart w:name="_Hlk225408929" w:id="0"/>
      <w:r w:rsidRPr="00801DC2">
        <w:rPr>
          <w:rFonts w:ascii="Verdana" w:hAnsi="Verdana"/>
          <w:sz w:val="18"/>
          <w:szCs w:val="18"/>
        </w:rPr>
        <w:t xml:space="preserve">. </w:t>
      </w:r>
      <w:r w:rsidRPr="00801DC2" w:rsidR="00BE18ED">
        <w:rPr>
          <w:rFonts w:ascii="Verdana" w:hAnsi="Verdana"/>
          <w:sz w:val="18"/>
          <w:szCs w:val="18"/>
        </w:rPr>
        <w:t xml:space="preserve">Om de opsporing en monitoring van personen die </w:t>
      </w:r>
      <w:r w:rsidRPr="00801DC2" w:rsidR="0091511F">
        <w:rPr>
          <w:rFonts w:ascii="Verdana" w:hAnsi="Verdana"/>
          <w:sz w:val="18"/>
          <w:szCs w:val="18"/>
        </w:rPr>
        <w:t xml:space="preserve">(mogelijk) </w:t>
      </w:r>
      <w:r w:rsidRPr="00801DC2" w:rsidR="00BE18ED">
        <w:rPr>
          <w:rFonts w:ascii="Verdana" w:hAnsi="Verdana"/>
          <w:sz w:val="18"/>
          <w:szCs w:val="18"/>
        </w:rPr>
        <w:t xml:space="preserve">een terroristische dreiging voor de EU vormen te verbeteren, </w:t>
      </w:r>
      <w:r w:rsidRPr="00801DC2" w:rsidR="001E20A9">
        <w:rPr>
          <w:rFonts w:ascii="Verdana" w:hAnsi="Verdana"/>
          <w:sz w:val="18"/>
          <w:szCs w:val="18"/>
        </w:rPr>
        <w:t>streeft</w:t>
      </w:r>
      <w:r w:rsidRPr="00801DC2" w:rsidR="005865EA">
        <w:rPr>
          <w:rFonts w:ascii="Verdana" w:hAnsi="Verdana"/>
          <w:sz w:val="18"/>
          <w:szCs w:val="18"/>
        </w:rPr>
        <w:t xml:space="preserve"> </w:t>
      </w:r>
      <w:r w:rsidRPr="00801DC2">
        <w:rPr>
          <w:rFonts w:ascii="Verdana" w:hAnsi="Verdana"/>
          <w:sz w:val="18"/>
          <w:szCs w:val="18"/>
        </w:rPr>
        <w:t xml:space="preserve">de Commissie </w:t>
      </w:r>
      <w:r w:rsidR="00DD19DD">
        <w:rPr>
          <w:rFonts w:ascii="Verdana" w:hAnsi="Verdana"/>
          <w:sz w:val="18"/>
          <w:szCs w:val="18"/>
        </w:rPr>
        <w:t xml:space="preserve">ernaar om </w:t>
      </w:r>
      <w:r w:rsidRPr="00801DC2">
        <w:rPr>
          <w:rFonts w:ascii="Verdana" w:hAnsi="Verdana"/>
          <w:sz w:val="18"/>
          <w:szCs w:val="18"/>
        </w:rPr>
        <w:t>de uitwisseling van gegevens met vertrouwde derde landen via</w:t>
      </w:r>
      <w:r w:rsidRPr="00801DC2" w:rsidR="005865EA">
        <w:rPr>
          <w:rFonts w:ascii="Verdana" w:hAnsi="Verdana"/>
          <w:sz w:val="18"/>
          <w:szCs w:val="18"/>
        </w:rPr>
        <w:t xml:space="preserve"> onder meer</w:t>
      </w:r>
      <w:r w:rsidRPr="00801DC2">
        <w:rPr>
          <w:rFonts w:ascii="Verdana" w:hAnsi="Verdana"/>
          <w:sz w:val="18"/>
          <w:szCs w:val="18"/>
        </w:rPr>
        <w:t xml:space="preserve"> het Schengeninformatiesysteem</w:t>
      </w:r>
      <w:r w:rsidRPr="00801DC2" w:rsidR="001F39A9">
        <w:rPr>
          <w:rFonts w:ascii="Verdana" w:hAnsi="Verdana"/>
          <w:sz w:val="18"/>
          <w:szCs w:val="18"/>
        </w:rPr>
        <w:t xml:space="preserve"> (SIS)</w:t>
      </w:r>
      <w:r w:rsidRPr="00801DC2" w:rsidR="005865EA">
        <w:rPr>
          <w:rFonts w:ascii="Verdana" w:hAnsi="Verdana"/>
          <w:sz w:val="18"/>
          <w:szCs w:val="18"/>
        </w:rPr>
        <w:t xml:space="preserve"> </w:t>
      </w:r>
      <w:r w:rsidR="00DD19DD">
        <w:rPr>
          <w:rFonts w:ascii="Verdana" w:hAnsi="Verdana"/>
          <w:sz w:val="18"/>
          <w:szCs w:val="18"/>
        </w:rPr>
        <w:t xml:space="preserve">te </w:t>
      </w:r>
      <w:r w:rsidRPr="00801DC2" w:rsidR="005865EA">
        <w:rPr>
          <w:rFonts w:ascii="Verdana" w:hAnsi="Verdana"/>
          <w:sz w:val="18"/>
          <w:szCs w:val="18"/>
        </w:rPr>
        <w:t>verbeteren</w:t>
      </w:r>
      <w:r w:rsidRPr="00801DC2" w:rsidR="0037552D">
        <w:rPr>
          <w:rFonts w:ascii="Verdana" w:hAnsi="Verdana"/>
          <w:sz w:val="18"/>
          <w:szCs w:val="18"/>
        </w:rPr>
        <w:t xml:space="preserve"> </w:t>
      </w:r>
      <w:r w:rsidRPr="00801DC2" w:rsidR="00BE18ED">
        <w:rPr>
          <w:rFonts w:ascii="Verdana" w:hAnsi="Verdana"/>
          <w:sz w:val="18"/>
          <w:szCs w:val="18"/>
        </w:rPr>
        <w:t>en</w:t>
      </w:r>
      <w:r w:rsidRPr="00801DC2">
        <w:rPr>
          <w:rFonts w:ascii="Verdana" w:hAnsi="Verdana"/>
          <w:sz w:val="18"/>
          <w:szCs w:val="18"/>
        </w:rPr>
        <w:t xml:space="preserve"> de samenwerking tussen lidstaten en het vrijwillig delen van informatie rondom terrorisme signaleringen</w:t>
      </w:r>
      <w:r w:rsidRPr="00801DC2" w:rsidR="00E30FFB">
        <w:rPr>
          <w:rFonts w:ascii="Verdana" w:hAnsi="Verdana"/>
          <w:sz w:val="18"/>
          <w:szCs w:val="18"/>
        </w:rPr>
        <w:t xml:space="preserve"> </w:t>
      </w:r>
      <w:r w:rsidR="00DD19DD">
        <w:rPr>
          <w:rFonts w:ascii="Verdana" w:hAnsi="Verdana"/>
          <w:sz w:val="18"/>
          <w:szCs w:val="18"/>
        </w:rPr>
        <w:t xml:space="preserve">te </w:t>
      </w:r>
      <w:r w:rsidRPr="00801DC2" w:rsidR="00BE18ED">
        <w:rPr>
          <w:rFonts w:ascii="Verdana" w:hAnsi="Verdana"/>
          <w:sz w:val="18"/>
          <w:szCs w:val="18"/>
        </w:rPr>
        <w:t>stimuleren</w:t>
      </w:r>
      <w:bookmarkEnd w:id="0"/>
      <w:r w:rsidRPr="00801DC2">
        <w:rPr>
          <w:rFonts w:ascii="Verdana" w:hAnsi="Verdana"/>
          <w:sz w:val="18"/>
          <w:szCs w:val="18"/>
        </w:rPr>
        <w:t>. Ook de implementatie van de Screeningsverordening en de terugkeer van derdelanders die een veiligheidsrisico</w:t>
      </w:r>
      <w:r w:rsidRPr="00B76715">
        <w:rPr>
          <w:rFonts w:ascii="Verdana" w:hAnsi="Verdana"/>
          <w:sz w:val="18"/>
          <w:szCs w:val="18"/>
        </w:rPr>
        <w:t xml:space="preserve"> vormen heeft de aandacht van de Commissie. Tot slot onderzoekt de Commissie de mogelijkheden om het gebruik van passagiersgegevens in de strijd tegen terrorisme en ernstige criminaliteit uit te breiden naar vervoersmodaliteiten over land en zee, waar tot nu toe alleen passagiersgegevens van luchtvervoerders gebruikt word</w:t>
      </w:r>
      <w:r w:rsidRPr="00B76715" w:rsidR="006B251B">
        <w:rPr>
          <w:rFonts w:ascii="Verdana" w:hAnsi="Verdana"/>
          <w:sz w:val="18"/>
          <w:szCs w:val="18"/>
        </w:rPr>
        <w:t>en</w:t>
      </w:r>
      <w:r w:rsidRPr="00B76715">
        <w:rPr>
          <w:rFonts w:ascii="Verdana" w:hAnsi="Verdana"/>
          <w:sz w:val="18"/>
          <w:szCs w:val="18"/>
        </w:rPr>
        <w:t>.</w:t>
      </w:r>
    </w:p>
    <w:p w:rsidRPr="00B76715" w:rsidR="00BA1635" w:rsidP="00BA1635" w:rsidRDefault="00BA1635" w14:paraId="4B7B2879" w14:textId="77777777">
      <w:pPr>
        <w:spacing w:after="0" w:line="360" w:lineRule="auto"/>
        <w:rPr>
          <w:rFonts w:ascii="Verdana" w:hAnsi="Verdana"/>
          <w:sz w:val="18"/>
          <w:szCs w:val="18"/>
        </w:rPr>
      </w:pPr>
    </w:p>
    <w:p w:rsidR="00B33A8E" w:rsidP="00BA1635" w:rsidRDefault="00B33A8E" w14:paraId="53B1379F" w14:textId="35A4BA93">
      <w:pPr>
        <w:spacing w:after="0" w:line="360" w:lineRule="auto"/>
        <w:rPr>
          <w:rFonts w:ascii="Verdana" w:hAnsi="Verdana"/>
          <w:sz w:val="18"/>
          <w:szCs w:val="18"/>
        </w:rPr>
      </w:pPr>
      <w:r w:rsidRPr="00B76715">
        <w:rPr>
          <w:rFonts w:ascii="Verdana" w:hAnsi="Verdana"/>
          <w:sz w:val="18"/>
          <w:szCs w:val="18"/>
        </w:rPr>
        <w:t>Om toegang tot aanslagmiddelen te beperken</w:t>
      </w:r>
      <w:r w:rsidRPr="00B76715" w:rsidR="006B251B">
        <w:rPr>
          <w:rFonts w:ascii="Verdana" w:hAnsi="Verdana"/>
          <w:sz w:val="18"/>
          <w:szCs w:val="18"/>
        </w:rPr>
        <w:t>,</w:t>
      </w:r>
      <w:r w:rsidRPr="00B76715">
        <w:rPr>
          <w:rFonts w:ascii="Verdana" w:hAnsi="Verdana"/>
          <w:sz w:val="18"/>
          <w:szCs w:val="18"/>
        </w:rPr>
        <w:t xml:space="preserve"> </w:t>
      </w:r>
      <w:r w:rsidRPr="00B76715" w:rsidR="00926653">
        <w:rPr>
          <w:rFonts w:ascii="Verdana" w:hAnsi="Verdana"/>
          <w:sz w:val="18"/>
          <w:szCs w:val="18"/>
        </w:rPr>
        <w:t xml:space="preserve">zet de Commissie in op het versterken van de wetgeving omtrent vuurwapenhandel en -misdrijven, precursoren voor explosieven en pyrotechnische artikelen. Ook </w:t>
      </w:r>
      <w:r w:rsidRPr="00B76715">
        <w:rPr>
          <w:rFonts w:ascii="Verdana" w:hAnsi="Verdana"/>
          <w:sz w:val="18"/>
          <w:szCs w:val="18"/>
        </w:rPr>
        <w:t xml:space="preserve">presenteert de Commissie in 2026 </w:t>
      </w:r>
      <w:r w:rsidRPr="00B76715" w:rsidR="008B45AB">
        <w:rPr>
          <w:rFonts w:ascii="Verdana" w:hAnsi="Verdana"/>
          <w:sz w:val="18"/>
          <w:szCs w:val="18"/>
        </w:rPr>
        <w:t xml:space="preserve">een nieuw </w:t>
      </w:r>
      <w:r w:rsidRPr="00B76715" w:rsidR="00944067">
        <w:rPr>
          <w:rFonts w:ascii="Verdana" w:hAnsi="Verdana"/>
          <w:sz w:val="18"/>
          <w:szCs w:val="18"/>
        </w:rPr>
        <w:t xml:space="preserve">Chemische, </w:t>
      </w:r>
      <w:r w:rsidRPr="00B76715" w:rsidR="00944067">
        <w:rPr>
          <w:rFonts w:ascii="Verdana" w:hAnsi="Verdana"/>
          <w:sz w:val="18"/>
          <w:szCs w:val="18"/>
        </w:rPr>
        <w:lastRenderedPageBreak/>
        <w:t>Biologische, Radiologische en Nucleaire (</w:t>
      </w:r>
      <w:r w:rsidRPr="00B76715" w:rsidR="008B45AB">
        <w:rPr>
          <w:rFonts w:ascii="Verdana" w:hAnsi="Verdana"/>
          <w:sz w:val="18"/>
          <w:szCs w:val="18"/>
        </w:rPr>
        <w:t>CBRN</w:t>
      </w:r>
      <w:r w:rsidRPr="00B76715" w:rsidR="00944067">
        <w:rPr>
          <w:rFonts w:ascii="Verdana" w:hAnsi="Verdana"/>
          <w:sz w:val="18"/>
          <w:szCs w:val="18"/>
        </w:rPr>
        <w:t>)</w:t>
      </w:r>
      <w:r w:rsidRPr="00B76715" w:rsidR="008B45AB">
        <w:rPr>
          <w:rFonts w:ascii="Verdana" w:hAnsi="Verdana"/>
          <w:i/>
          <w:iCs/>
          <w:sz w:val="18"/>
          <w:szCs w:val="18"/>
        </w:rPr>
        <w:t xml:space="preserve"> </w:t>
      </w:r>
      <w:r w:rsidRPr="00B76715" w:rsidR="008B45AB">
        <w:rPr>
          <w:rFonts w:ascii="Verdana" w:hAnsi="Verdana"/>
          <w:i/>
          <w:iCs/>
          <w:color w:val="000000" w:themeColor="text1"/>
          <w:sz w:val="18"/>
          <w:szCs w:val="18"/>
        </w:rPr>
        <w:t>Preparedness and Response Action Plan</w:t>
      </w:r>
      <w:r w:rsidRPr="00B76715" w:rsidR="00425BCD">
        <w:rPr>
          <w:rFonts w:ascii="Verdana" w:hAnsi="Verdana"/>
          <w:i/>
          <w:iCs/>
          <w:color w:val="000000" w:themeColor="text1"/>
          <w:sz w:val="18"/>
          <w:szCs w:val="18"/>
        </w:rPr>
        <w:t xml:space="preserve"> </w:t>
      </w:r>
      <w:r w:rsidRPr="00B76715" w:rsidR="00425BCD">
        <w:rPr>
          <w:rFonts w:ascii="Verdana" w:hAnsi="Verdana"/>
          <w:color w:val="000000" w:themeColor="text1"/>
          <w:sz w:val="18"/>
          <w:szCs w:val="18"/>
        </w:rPr>
        <w:t xml:space="preserve">en heeft zij recent een </w:t>
      </w:r>
      <w:r w:rsidRPr="00B76715" w:rsidR="00CE0B64">
        <w:rPr>
          <w:rFonts w:ascii="Verdana" w:hAnsi="Verdana"/>
          <w:i/>
          <w:iCs/>
          <w:sz w:val="18"/>
          <w:szCs w:val="18"/>
        </w:rPr>
        <w:t>EU Actionplan on Drone and Counter-Drone Security</w:t>
      </w:r>
      <w:r w:rsidRPr="00B76715" w:rsidR="00CE0B64">
        <w:rPr>
          <w:rFonts w:ascii="Verdana" w:hAnsi="Verdana"/>
          <w:color w:val="000000" w:themeColor="text1"/>
          <w:sz w:val="18"/>
          <w:szCs w:val="18"/>
        </w:rPr>
        <w:t xml:space="preserve"> </w:t>
      </w:r>
      <w:r w:rsidR="009B01CF">
        <w:rPr>
          <w:rFonts w:ascii="Verdana" w:hAnsi="Verdana"/>
          <w:color w:val="000000" w:themeColor="text1"/>
          <w:sz w:val="18"/>
          <w:szCs w:val="18"/>
        </w:rPr>
        <w:t>gepresenteerd</w:t>
      </w:r>
      <w:r w:rsidRPr="00B76715" w:rsidR="00425BCD">
        <w:rPr>
          <w:rFonts w:ascii="Verdana" w:hAnsi="Verdana"/>
          <w:color w:val="000000" w:themeColor="text1"/>
          <w:sz w:val="18"/>
          <w:szCs w:val="18"/>
        </w:rPr>
        <w:t>.</w:t>
      </w:r>
      <w:r w:rsidRPr="00B76715" w:rsidR="00FA2D8E">
        <w:rPr>
          <w:rStyle w:val="FootnoteReference"/>
          <w:rFonts w:ascii="Verdana" w:hAnsi="Verdana"/>
          <w:sz w:val="18"/>
          <w:szCs w:val="18"/>
        </w:rPr>
        <w:footnoteReference w:id="3"/>
      </w:r>
      <w:r w:rsidRPr="00B76715" w:rsidDel="00EE7815" w:rsidR="00EE7815">
        <w:rPr>
          <w:rStyle w:val="FootnoteReference"/>
          <w:rFonts w:ascii="Verdana" w:hAnsi="Verdana"/>
          <w:sz w:val="18"/>
          <w:szCs w:val="18"/>
        </w:rPr>
        <w:t xml:space="preserve"> </w:t>
      </w:r>
    </w:p>
    <w:p w:rsidRPr="00B76715" w:rsidR="00BA1635" w:rsidP="00BA1635" w:rsidRDefault="00BA1635" w14:paraId="60B95C86" w14:textId="77777777">
      <w:pPr>
        <w:spacing w:after="0" w:line="360" w:lineRule="auto"/>
        <w:rPr>
          <w:rFonts w:ascii="Verdana" w:hAnsi="Verdana"/>
          <w:iCs/>
          <w:sz w:val="18"/>
          <w:szCs w:val="18"/>
        </w:rPr>
      </w:pPr>
    </w:p>
    <w:p w:rsidR="00B33A8E" w:rsidP="00BA1635" w:rsidRDefault="00B33A8E" w14:paraId="50AFC29A" w14:textId="5442FECB">
      <w:pPr>
        <w:spacing w:after="0" w:line="360" w:lineRule="auto"/>
        <w:rPr>
          <w:rFonts w:ascii="Verdana" w:hAnsi="Verdana"/>
          <w:iCs/>
          <w:sz w:val="18"/>
          <w:szCs w:val="18"/>
        </w:rPr>
      </w:pPr>
      <w:r w:rsidRPr="00B76715">
        <w:rPr>
          <w:rFonts w:ascii="Verdana" w:hAnsi="Verdana"/>
          <w:iCs/>
          <w:sz w:val="18"/>
          <w:szCs w:val="18"/>
        </w:rPr>
        <w:t xml:space="preserve">In de vijfde pijler wil de Commissie opsporing en vervolging binnen Europa versterken, voor een snelle en gecoördineerde </w:t>
      </w:r>
      <w:r w:rsidRPr="00B76715" w:rsidR="00933A23">
        <w:rPr>
          <w:rFonts w:ascii="Verdana" w:hAnsi="Verdana"/>
          <w:iCs/>
          <w:sz w:val="18"/>
          <w:szCs w:val="18"/>
        </w:rPr>
        <w:t>respons</w:t>
      </w:r>
      <w:r w:rsidRPr="00B76715">
        <w:rPr>
          <w:rFonts w:ascii="Verdana" w:hAnsi="Verdana"/>
          <w:iCs/>
          <w:sz w:val="18"/>
          <w:szCs w:val="18"/>
        </w:rPr>
        <w:t xml:space="preserve"> op terroristische dreigingen en aanslagen. </w:t>
      </w:r>
      <w:r w:rsidRPr="00B76715" w:rsidR="00F94D96">
        <w:rPr>
          <w:rFonts w:ascii="Verdana" w:hAnsi="Verdana"/>
          <w:iCs/>
          <w:sz w:val="18"/>
          <w:szCs w:val="18"/>
        </w:rPr>
        <w:t xml:space="preserve">Hiervoor zal de Commissie het mandaat van zowel Europol als Eurojust herzien, om hun positie, analysecapaciteit en onderlinge samenwerking te versterken en operationele en forensische ondersteuning aan lidstaten te verbeteren. </w:t>
      </w:r>
      <w:r w:rsidRPr="00B76715" w:rsidR="008415F2">
        <w:rPr>
          <w:rFonts w:ascii="Verdana" w:hAnsi="Verdana"/>
          <w:iCs/>
          <w:sz w:val="18"/>
          <w:szCs w:val="18"/>
        </w:rPr>
        <w:t xml:space="preserve">Daarnaast wordt verkend hoe verbeterde samenwerking tussen onder meer </w:t>
      </w:r>
      <w:r w:rsidRPr="00B76715" w:rsidR="001F0681">
        <w:rPr>
          <w:rFonts w:ascii="Verdana" w:hAnsi="Verdana"/>
          <w:iCs/>
          <w:sz w:val="18"/>
          <w:szCs w:val="18"/>
        </w:rPr>
        <w:t xml:space="preserve">Eurojust, </w:t>
      </w:r>
      <w:r w:rsidRPr="00B76715" w:rsidR="008415F2">
        <w:rPr>
          <w:rFonts w:ascii="Verdana" w:hAnsi="Verdana"/>
          <w:iCs/>
          <w:sz w:val="18"/>
          <w:szCs w:val="18"/>
        </w:rPr>
        <w:t>UNITAD</w:t>
      </w:r>
      <w:r w:rsidRPr="00B76715" w:rsidR="008415F2">
        <w:rPr>
          <w:rStyle w:val="FootnoteReference"/>
          <w:rFonts w:ascii="Verdana" w:hAnsi="Verdana"/>
          <w:iCs/>
          <w:sz w:val="18"/>
          <w:szCs w:val="18"/>
        </w:rPr>
        <w:footnoteReference w:id="4"/>
      </w:r>
      <w:r w:rsidRPr="00B76715" w:rsidR="001F0681">
        <w:rPr>
          <w:rFonts w:ascii="Verdana" w:hAnsi="Verdana"/>
          <w:iCs/>
          <w:sz w:val="18"/>
          <w:szCs w:val="18"/>
        </w:rPr>
        <w:t xml:space="preserve"> </w:t>
      </w:r>
      <w:r w:rsidRPr="00B76715" w:rsidR="008415F2">
        <w:rPr>
          <w:rFonts w:ascii="Verdana" w:hAnsi="Verdana"/>
          <w:iCs/>
          <w:sz w:val="18"/>
          <w:szCs w:val="18"/>
        </w:rPr>
        <w:t xml:space="preserve">en het </w:t>
      </w:r>
      <w:r w:rsidRPr="00B76715" w:rsidR="008415F2">
        <w:rPr>
          <w:rFonts w:ascii="Verdana" w:hAnsi="Verdana"/>
          <w:i/>
          <w:sz w:val="18"/>
          <w:szCs w:val="18"/>
        </w:rPr>
        <w:t>National Centre for International Judicial Cooperation of Iraq</w:t>
      </w:r>
      <w:r w:rsidRPr="00B76715" w:rsidR="001F0681">
        <w:rPr>
          <w:rFonts w:ascii="Verdana" w:hAnsi="Verdana"/>
          <w:iCs/>
          <w:sz w:val="18"/>
          <w:szCs w:val="18"/>
        </w:rPr>
        <w:t>,</w:t>
      </w:r>
      <w:r w:rsidRPr="00B76715" w:rsidR="008415F2">
        <w:rPr>
          <w:rFonts w:ascii="Verdana" w:hAnsi="Verdana"/>
          <w:iCs/>
          <w:sz w:val="18"/>
          <w:szCs w:val="18"/>
        </w:rPr>
        <w:t xml:space="preserve"> lidstaten kan ondersteunen bij het vervolgen van uitreizigers. </w:t>
      </w:r>
      <w:r w:rsidRPr="00B76715" w:rsidR="00225B42">
        <w:rPr>
          <w:rFonts w:ascii="Verdana" w:hAnsi="Verdana"/>
          <w:iCs/>
          <w:sz w:val="18"/>
          <w:szCs w:val="18"/>
        </w:rPr>
        <w:t xml:space="preserve">Om terrorismefinanciering te traceren en bestrijden worden de mogelijkheden voor een EU-breed </w:t>
      </w:r>
      <w:r w:rsidRPr="00B76715">
        <w:rPr>
          <w:rFonts w:ascii="Verdana" w:hAnsi="Verdana"/>
          <w:iCs/>
          <w:sz w:val="18"/>
          <w:szCs w:val="18"/>
        </w:rPr>
        <w:t>financieel terughaalsysteem</w:t>
      </w:r>
      <w:r w:rsidRPr="00B76715" w:rsidR="00225B42">
        <w:rPr>
          <w:rFonts w:ascii="Verdana" w:hAnsi="Verdana"/>
          <w:iCs/>
          <w:sz w:val="18"/>
          <w:szCs w:val="18"/>
        </w:rPr>
        <w:t xml:space="preserve"> onderzocht</w:t>
      </w:r>
      <w:r w:rsidRPr="00B76715">
        <w:rPr>
          <w:rFonts w:ascii="Verdana" w:hAnsi="Verdana"/>
          <w:iCs/>
          <w:sz w:val="18"/>
          <w:szCs w:val="18"/>
        </w:rPr>
        <w:t>. De Commissie ondersteunt samenwerking</w:t>
      </w:r>
      <w:r w:rsidRPr="00B76715" w:rsidR="006B251B">
        <w:rPr>
          <w:rFonts w:ascii="Verdana" w:hAnsi="Verdana"/>
          <w:iCs/>
          <w:sz w:val="18"/>
          <w:szCs w:val="18"/>
        </w:rPr>
        <w:t xml:space="preserve"> met</w:t>
      </w:r>
      <w:r w:rsidRPr="00B76715">
        <w:rPr>
          <w:rFonts w:ascii="Verdana" w:hAnsi="Verdana"/>
          <w:iCs/>
          <w:sz w:val="18"/>
          <w:szCs w:val="18"/>
        </w:rPr>
        <w:t xml:space="preserve"> en informatiedeling </w:t>
      </w:r>
      <w:r w:rsidRPr="00B76715" w:rsidR="006B251B">
        <w:rPr>
          <w:rFonts w:ascii="Verdana" w:hAnsi="Verdana"/>
          <w:iCs/>
          <w:sz w:val="18"/>
          <w:szCs w:val="18"/>
        </w:rPr>
        <w:t xml:space="preserve">tussen </w:t>
      </w:r>
      <w:r w:rsidRPr="00B76715">
        <w:rPr>
          <w:rFonts w:ascii="Verdana" w:hAnsi="Verdana"/>
          <w:iCs/>
          <w:sz w:val="18"/>
          <w:szCs w:val="18"/>
        </w:rPr>
        <w:t xml:space="preserve">financiële inlichtingenafdelingen en inlichtingendiensten, om ongewenste buitenlandse financiering te </w:t>
      </w:r>
      <w:r w:rsidRPr="00B76715" w:rsidR="005B0B93">
        <w:rPr>
          <w:rFonts w:ascii="Verdana" w:hAnsi="Verdana"/>
          <w:iCs/>
          <w:sz w:val="18"/>
          <w:szCs w:val="18"/>
        </w:rPr>
        <w:t>bestrijden</w:t>
      </w:r>
      <w:r w:rsidRPr="00B76715">
        <w:rPr>
          <w:rFonts w:ascii="Verdana" w:hAnsi="Verdana"/>
          <w:iCs/>
          <w:sz w:val="18"/>
          <w:szCs w:val="18"/>
        </w:rPr>
        <w:t xml:space="preserve">. </w:t>
      </w:r>
    </w:p>
    <w:p w:rsidRPr="00B76715" w:rsidR="00BA1635" w:rsidP="00BA1635" w:rsidRDefault="00BA1635" w14:paraId="0F8A354F" w14:textId="77777777">
      <w:pPr>
        <w:spacing w:after="0" w:line="360" w:lineRule="auto"/>
        <w:rPr>
          <w:rFonts w:ascii="Verdana" w:hAnsi="Verdana"/>
          <w:iCs/>
          <w:sz w:val="18"/>
          <w:szCs w:val="18"/>
        </w:rPr>
      </w:pPr>
    </w:p>
    <w:p w:rsidR="003D50F6" w:rsidP="00BA1635" w:rsidRDefault="00B33A8E" w14:paraId="7F088DC9" w14:textId="2C72BA83">
      <w:pPr>
        <w:spacing w:after="0" w:line="360" w:lineRule="auto"/>
        <w:rPr>
          <w:rFonts w:ascii="Verdana" w:hAnsi="Verdana"/>
          <w:iCs/>
          <w:sz w:val="18"/>
          <w:szCs w:val="18"/>
        </w:rPr>
      </w:pPr>
      <w:r w:rsidRPr="00B76715">
        <w:rPr>
          <w:rFonts w:ascii="Verdana" w:hAnsi="Verdana"/>
          <w:iCs/>
          <w:sz w:val="18"/>
          <w:szCs w:val="18"/>
        </w:rPr>
        <w:t xml:space="preserve">In de zesde pijler zet de Commissie in op het versterken van internationale samenwerking </w:t>
      </w:r>
      <w:r w:rsidRPr="00B76715" w:rsidR="005B0B93">
        <w:rPr>
          <w:rFonts w:ascii="Verdana" w:hAnsi="Verdana"/>
          <w:iCs/>
          <w:sz w:val="18"/>
          <w:szCs w:val="18"/>
        </w:rPr>
        <w:t>binnen</w:t>
      </w:r>
      <w:r w:rsidRPr="00B76715">
        <w:rPr>
          <w:rFonts w:ascii="Verdana" w:hAnsi="Verdana"/>
          <w:iCs/>
          <w:sz w:val="18"/>
          <w:szCs w:val="18"/>
        </w:rPr>
        <w:t xml:space="preserve"> alle eerdergenoemde pijlers. </w:t>
      </w:r>
    </w:p>
    <w:p w:rsidRPr="00B76715" w:rsidR="00BA1635" w:rsidP="00BA1635" w:rsidRDefault="00BA1635" w14:paraId="78DCCDC1" w14:textId="77777777">
      <w:pPr>
        <w:spacing w:after="0" w:line="360" w:lineRule="auto"/>
        <w:rPr>
          <w:rFonts w:ascii="Verdana" w:hAnsi="Verdana"/>
          <w:iCs/>
          <w:sz w:val="18"/>
          <w:szCs w:val="18"/>
        </w:rPr>
      </w:pPr>
    </w:p>
    <w:p w:rsidRPr="00B76715" w:rsidR="000F5481" w:rsidP="00BA1635" w:rsidRDefault="000F5481" w14:paraId="4DD0F159" w14:textId="77777777">
      <w:pPr>
        <w:pStyle w:val="ListParagraph"/>
        <w:numPr>
          <w:ilvl w:val="0"/>
          <w:numId w:val="1"/>
        </w:numPr>
        <w:spacing w:after="0" w:line="360" w:lineRule="auto"/>
        <w:rPr>
          <w:rFonts w:ascii="Verdana" w:hAnsi="Verdana"/>
          <w:sz w:val="18"/>
          <w:szCs w:val="18"/>
        </w:rPr>
      </w:pPr>
      <w:r w:rsidRPr="00B76715">
        <w:rPr>
          <w:rFonts w:ascii="Verdana" w:hAnsi="Verdana"/>
          <w:b/>
          <w:bCs/>
          <w:sz w:val="18"/>
          <w:szCs w:val="18"/>
        </w:rPr>
        <w:t>Nederlandse positie ten aanzien van het voorstel</w:t>
      </w:r>
    </w:p>
    <w:p w:rsidRPr="00B76715" w:rsidR="00024F99" w:rsidP="00BA1635" w:rsidRDefault="000F5481" w14:paraId="1DAC080B" w14:textId="2C98F12F">
      <w:pPr>
        <w:pStyle w:val="ListParagraph"/>
        <w:numPr>
          <w:ilvl w:val="0"/>
          <w:numId w:val="3"/>
        </w:numPr>
        <w:spacing w:after="0" w:line="360" w:lineRule="auto"/>
        <w:rPr>
          <w:rFonts w:ascii="Verdana" w:hAnsi="Verdana"/>
          <w:i/>
          <w:iCs/>
          <w:sz w:val="18"/>
          <w:szCs w:val="18"/>
        </w:rPr>
      </w:pPr>
      <w:r w:rsidRPr="00B76715">
        <w:rPr>
          <w:rFonts w:ascii="Verdana" w:hAnsi="Verdana"/>
          <w:i/>
          <w:iCs/>
          <w:sz w:val="18"/>
          <w:szCs w:val="18"/>
        </w:rPr>
        <w:t>Essentie Nederlands beleid op dit terrein</w:t>
      </w:r>
    </w:p>
    <w:p w:rsidR="00B65190" w:rsidP="00BA1635" w:rsidRDefault="0027327E" w14:paraId="631A8473" w14:textId="301CF36E">
      <w:pPr>
        <w:spacing w:after="0" w:line="360" w:lineRule="auto"/>
        <w:rPr>
          <w:rFonts w:ascii="Verdana" w:hAnsi="Verdana"/>
          <w:sz w:val="18"/>
          <w:szCs w:val="18"/>
        </w:rPr>
      </w:pPr>
      <w:bookmarkStart w:name="_Hlk224728238" w:id="1"/>
      <w:r w:rsidRPr="00B76715">
        <w:rPr>
          <w:rFonts w:ascii="Verdana" w:hAnsi="Verdana"/>
          <w:sz w:val="18"/>
          <w:szCs w:val="18"/>
        </w:rPr>
        <w:t>De veiligheid van Nederland is onlosmakelijk verbonden met die van de EU</w:t>
      </w:r>
      <w:r w:rsidR="00AD42BF">
        <w:rPr>
          <w:rFonts w:ascii="Verdana" w:hAnsi="Verdana"/>
          <w:sz w:val="18"/>
          <w:szCs w:val="18"/>
        </w:rPr>
        <w:t>: terroristische dreigingen binnen de EU raken ook onze eigen veiligheid.</w:t>
      </w:r>
      <w:r w:rsidRPr="00B76715">
        <w:rPr>
          <w:rFonts w:ascii="Verdana" w:hAnsi="Verdana"/>
          <w:sz w:val="18"/>
          <w:szCs w:val="18"/>
        </w:rPr>
        <w:t xml:space="preserve"> Het kabinet </w:t>
      </w:r>
      <w:r w:rsidR="00FC0A6D">
        <w:rPr>
          <w:rFonts w:ascii="Verdana" w:hAnsi="Verdana"/>
          <w:sz w:val="18"/>
          <w:szCs w:val="18"/>
        </w:rPr>
        <w:t>zet zich onverminderd in</w:t>
      </w:r>
      <w:r w:rsidRPr="00B76715">
        <w:rPr>
          <w:rFonts w:ascii="Verdana" w:hAnsi="Verdana"/>
          <w:sz w:val="18"/>
          <w:szCs w:val="18"/>
        </w:rPr>
        <w:t xml:space="preserve"> </w:t>
      </w:r>
      <w:r w:rsidR="00EB7309">
        <w:rPr>
          <w:rFonts w:ascii="Verdana" w:hAnsi="Verdana"/>
          <w:sz w:val="18"/>
          <w:szCs w:val="18"/>
        </w:rPr>
        <w:t xml:space="preserve">voor </w:t>
      </w:r>
      <w:r w:rsidRPr="00B76715">
        <w:rPr>
          <w:rFonts w:ascii="Verdana" w:hAnsi="Verdana"/>
          <w:sz w:val="18"/>
          <w:szCs w:val="18"/>
        </w:rPr>
        <w:t>het voorkomen en bestrijden van terrorisme. Dit komt onder meer tot uitdrukking in de</w:t>
      </w:r>
      <w:r w:rsidRPr="00B76715" w:rsidR="001C5143">
        <w:rPr>
          <w:rFonts w:ascii="Verdana" w:hAnsi="Verdana"/>
          <w:sz w:val="18"/>
          <w:szCs w:val="18"/>
        </w:rPr>
        <w:t xml:space="preserve"> integrale</w:t>
      </w:r>
      <w:r w:rsidRPr="00B76715" w:rsidR="00B65190">
        <w:rPr>
          <w:rFonts w:ascii="Verdana" w:hAnsi="Verdana"/>
          <w:sz w:val="18"/>
          <w:szCs w:val="18"/>
        </w:rPr>
        <w:t xml:space="preserve"> aanpak </w:t>
      </w:r>
      <w:r w:rsidR="00FC0A6D">
        <w:rPr>
          <w:rFonts w:ascii="Verdana" w:hAnsi="Verdana"/>
          <w:sz w:val="18"/>
          <w:szCs w:val="18"/>
        </w:rPr>
        <w:t>op</w:t>
      </w:r>
      <w:r w:rsidRPr="00B76715" w:rsidR="00B65190">
        <w:rPr>
          <w:rFonts w:ascii="Verdana" w:hAnsi="Verdana"/>
          <w:sz w:val="18"/>
          <w:szCs w:val="18"/>
        </w:rPr>
        <w:t xml:space="preserve"> terrorisme die strekt van lokaal niveau </w:t>
      </w:r>
      <w:r w:rsidRPr="00B76715" w:rsidR="00D11DF5">
        <w:rPr>
          <w:rFonts w:ascii="Verdana" w:hAnsi="Verdana"/>
          <w:sz w:val="18"/>
          <w:szCs w:val="18"/>
        </w:rPr>
        <w:t>tot</w:t>
      </w:r>
      <w:r w:rsidRPr="00B76715">
        <w:rPr>
          <w:rFonts w:ascii="Verdana" w:hAnsi="Verdana"/>
          <w:sz w:val="18"/>
          <w:szCs w:val="18"/>
        </w:rPr>
        <w:t xml:space="preserve"> aan</w:t>
      </w:r>
      <w:r w:rsidRPr="00B76715" w:rsidR="00D11DF5">
        <w:rPr>
          <w:rFonts w:ascii="Verdana" w:hAnsi="Verdana"/>
          <w:sz w:val="18"/>
          <w:szCs w:val="18"/>
        </w:rPr>
        <w:t xml:space="preserve"> </w:t>
      </w:r>
      <w:r w:rsidRPr="00B76715" w:rsidR="00B65190">
        <w:rPr>
          <w:rFonts w:ascii="Verdana" w:hAnsi="Verdana"/>
          <w:sz w:val="18"/>
          <w:szCs w:val="18"/>
        </w:rPr>
        <w:t>internationale samenwerking</w:t>
      </w:r>
      <w:r w:rsidRPr="00B76715" w:rsidR="001E7D0C">
        <w:rPr>
          <w:rFonts w:ascii="Verdana" w:hAnsi="Verdana"/>
          <w:sz w:val="18"/>
          <w:szCs w:val="18"/>
        </w:rPr>
        <w:t>, z</w:t>
      </w:r>
      <w:r w:rsidRPr="00B76715" w:rsidR="0057605C">
        <w:rPr>
          <w:rFonts w:ascii="Verdana" w:hAnsi="Verdana"/>
          <w:sz w:val="18"/>
          <w:szCs w:val="18"/>
        </w:rPr>
        <w:t xml:space="preserve">oals beschreven in de Nationale Contraterrorisme Strategie </w:t>
      </w:r>
      <w:r w:rsidRPr="00B76715" w:rsidR="00024F99">
        <w:rPr>
          <w:rFonts w:ascii="Verdana" w:hAnsi="Verdana"/>
          <w:sz w:val="18"/>
          <w:szCs w:val="18"/>
        </w:rPr>
        <w:t>(NCTS)</w:t>
      </w:r>
      <w:r w:rsidRPr="00B76715" w:rsidR="001E7D0C">
        <w:rPr>
          <w:rFonts w:ascii="Verdana" w:hAnsi="Verdana"/>
          <w:sz w:val="18"/>
          <w:szCs w:val="18"/>
        </w:rPr>
        <w:t>.</w:t>
      </w:r>
      <w:r w:rsidRPr="00B76715" w:rsidR="00293510">
        <w:rPr>
          <w:rStyle w:val="FootnoteReference"/>
          <w:rFonts w:ascii="Verdana" w:hAnsi="Verdana"/>
          <w:sz w:val="18"/>
          <w:szCs w:val="18"/>
        </w:rPr>
        <w:footnoteReference w:id="5"/>
      </w:r>
      <w:r w:rsidRPr="00B76715" w:rsidR="0057605C">
        <w:rPr>
          <w:rFonts w:ascii="Verdana" w:hAnsi="Verdana"/>
          <w:sz w:val="18"/>
          <w:szCs w:val="18"/>
        </w:rPr>
        <w:t xml:space="preserve"> Nederland </w:t>
      </w:r>
      <w:r w:rsidRPr="00B76715" w:rsidR="001E7D0C">
        <w:rPr>
          <w:rFonts w:ascii="Verdana" w:hAnsi="Verdana"/>
          <w:sz w:val="18"/>
          <w:szCs w:val="18"/>
        </w:rPr>
        <w:t xml:space="preserve">heeft </w:t>
      </w:r>
      <w:r w:rsidRPr="00B76715" w:rsidR="0057605C">
        <w:rPr>
          <w:rFonts w:ascii="Verdana" w:hAnsi="Verdana"/>
          <w:sz w:val="18"/>
          <w:szCs w:val="18"/>
        </w:rPr>
        <w:t>een duurzame, robuuste en wendbare aanpak</w:t>
      </w:r>
      <w:r w:rsidRPr="00B76715" w:rsidR="001E7D0C">
        <w:rPr>
          <w:rFonts w:ascii="Verdana" w:hAnsi="Verdana"/>
          <w:sz w:val="18"/>
          <w:szCs w:val="18"/>
        </w:rPr>
        <w:t>,</w:t>
      </w:r>
      <w:r w:rsidRPr="00B76715" w:rsidR="0057605C">
        <w:rPr>
          <w:rFonts w:ascii="Verdana" w:hAnsi="Verdana"/>
          <w:sz w:val="18"/>
          <w:szCs w:val="18"/>
        </w:rPr>
        <w:t xml:space="preserve"> waarbij een breed scala </w:t>
      </w:r>
      <w:r w:rsidRPr="00B76715">
        <w:rPr>
          <w:rFonts w:ascii="Verdana" w:hAnsi="Verdana"/>
          <w:sz w:val="18"/>
          <w:szCs w:val="18"/>
        </w:rPr>
        <w:t>a</w:t>
      </w:r>
      <w:r w:rsidRPr="00B76715" w:rsidR="0057605C">
        <w:rPr>
          <w:rFonts w:ascii="Verdana" w:hAnsi="Verdana"/>
          <w:sz w:val="18"/>
          <w:szCs w:val="18"/>
        </w:rPr>
        <w:t xml:space="preserve">an </w:t>
      </w:r>
      <w:r w:rsidR="008A7EC0">
        <w:rPr>
          <w:rFonts w:ascii="Verdana" w:hAnsi="Verdana"/>
          <w:sz w:val="18"/>
          <w:szCs w:val="18"/>
        </w:rPr>
        <w:t>zorg- en veiligheids</w:t>
      </w:r>
      <w:r w:rsidRPr="00B76715" w:rsidR="0057605C">
        <w:rPr>
          <w:rFonts w:ascii="Verdana" w:hAnsi="Verdana"/>
          <w:sz w:val="18"/>
          <w:szCs w:val="18"/>
        </w:rPr>
        <w:t xml:space="preserve">partners zich inzet om </w:t>
      </w:r>
      <w:r w:rsidR="0033180D">
        <w:rPr>
          <w:rFonts w:ascii="Verdana" w:hAnsi="Verdana"/>
          <w:sz w:val="18"/>
          <w:szCs w:val="18"/>
        </w:rPr>
        <w:t>terrorisme en gewelddadig</w:t>
      </w:r>
      <w:r w:rsidRPr="00B76715" w:rsidR="0057605C">
        <w:rPr>
          <w:rFonts w:ascii="Verdana" w:hAnsi="Verdana"/>
          <w:sz w:val="18"/>
          <w:szCs w:val="18"/>
        </w:rPr>
        <w:t xml:space="preserve"> </w:t>
      </w:r>
      <w:r w:rsidR="0033180D">
        <w:rPr>
          <w:rFonts w:ascii="Verdana" w:hAnsi="Verdana"/>
          <w:sz w:val="18"/>
          <w:szCs w:val="18"/>
        </w:rPr>
        <w:t>extremisme</w:t>
      </w:r>
      <w:r w:rsidRPr="00B76715" w:rsidR="0057605C">
        <w:rPr>
          <w:rFonts w:ascii="Verdana" w:hAnsi="Verdana"/>
          <w:sz w:val="18"/>
          <w:szCs w:val="18"/>
        </w:rPr>
        <w:t xml:space="preserve"> te voorkomen.</w:t>
      </w:r>
      <w:r w:rsidRPr="00B76715" w:rsidR="007431CE">
        <w:rPr>
          <w:rFonts w:ascii="Verdana" w:hAnsi="Verdana"/>
          <w:sz w:val="18"/>
          <w:szCs w:val="18"/>
        </w:rPr>
        <w:t xml:space="preserve"> </w:t>
      </w:r>
      <w:r w:rsidR="005230E7">
        <w:rPr>
          <w:rFonts w:ascii="Verdana" w:hAnsi="Verdana"/>
          <w:sz w:val="18"/>
          <w:szCs w:val="18"/>
        </w:rPr>
        <w:t xml:space="preserve">De </w:t>
      </w:r>
      <w:r w:rsidRPr="00B76715" w:rsidR="00B47DE0">
        <w:rPr>
          <w:rFonts w:ascii="Verdana" w:hAnsi="Verdana"/>
          <w:sz w:val="18"/>
          <w:szCs w:val="18"/>
        </w:rPr>
        <w:t xml:space="preserve">aanpak </w:t>
      </w:r>
      <w:r w:rsidR="005230E7">
        <w:rPr>
          <w:rFonts w:ascii="Verdana" w:hAnsi="Verdana"/>
          <w:sz w:val="18"/>
          <w:szCs w:val="18"/>
        </w:rPr>
        <w:t>focust</w:t>
      </w:r>
      <w:r w:rsidRPr="00B76715" w:rsidR="00B47DE0">
        <w:rPr>
          <w:rFonts w:ascii="Verdana" w:hAnsi="Verdana"/>
          <w:sz w:val="18"/>
          <w:szCs w:val="18"/>
        </w:rPr>
        <w:t xml:space="preserve"> op gerichte preventie, repressie en herstel, zowel </w:t>
      </w:r>
      <w:r w:rsidRPr="00B76715" w:rsidR="0081656F">
        <w:rPr>
          <w:rFonts w:ascii="Verdana" w:hAnsi="Verdana"/>
          <w:sz w:val="18"/>
          <w:szCs w:val="18"/>
        </w:rPr>
        <w:t>offline als online</w:t>
      </w:r>
      <w:r w:rsidRPr="00B76715" w:rsidR="00B47DE0">
        <w:rPr>
          <w:rFonts w:ascii="Verdana" w:hAnsi="Verdana"/>
          <w:sz w:val="18"/>
          <w:szCs w:val="18"/>
        </w:rPr>
        <w:t xml:space="preserve">. </w:t>
      </w:r>
      <w:r w:rsidRPr="00B76715" w:rsidR="001613F0">
        <w:rPr>
          <w:rFonts w:ascii="Verdana" w:hAnsi="Verdana"/>
          <w:sz w:val="18"/>
          <w:szCs w:val="18"/>
        </w:rPr>
        <w:t>Ook i</w:t>
      </w:r>
      <w:r w:rsidRPr="00B76715" w:rsidR="0057605C">
        <w:rPr>
          <w:rFonts w:ascii="Verdana" w:hAnsi="Verdana"/>
          <w:sz w:val="18"/>
          <w:szCs w:val="18"/>
        </w:rPr>
        <w:t>ntensieve internationale samenwerking is nodig om terrorisme</w:t>
      </w:r>
      <w:r w:rsidRPr="00B76715" w:rsidR="00D11DF5">
        <w:rPr>
          <w:rFonts w:ascii="Verdana" w:hAnsi="Verdana"/>
          <w:sz w:val="18"/>
          <w:szCs w:val="18"/>
        </w:rPr>
        <w:t xml:space="preserve"> effectief</w:t>
      </w:r>
      <w:r w:rsidRPr="00B76715" w:rsidR="0057605C">
        <w:rPr>
          <w:rFonts w:ascii="Verdana" w:hAnsi="Verdana"/>
          <w:sz w:val="18"/>
          <w:szCs w:val="18"/>
        </w:rPr>
        <w:t xml:space="preserve"> aan te pakken. Het kabinet </w:t>
      </w:r>
      <w:r w:rsidRPr="00B76715" w:rsidR="007431CE">
        <w:rPr>
          <w:rFonts w:ascii="Verdana" w:hAnsi="Verdana"/>
          <w:sz w:val="18"/>
          <w:szCs w:val="18"/>
        </w:rPr>
        <w:t>acht</w:t>
      </w:r>
      <w:r w:rsidRPr="00B76715" w:rsidR="001C5143">
        <w:rPr>
          <w:rFonts w:ascii="Verdana" w:hAnsi="Verdana"/>
          <w:sz w:val="18"/>
          <w:szCs w:val="18"/>
        </w:rPr>
        <w:t xml:space="preserve"> Europese samenwerking</w:t>
      </w:r>
      <w:r w:rsidRPr="00B76715" w:rsidR="007431CE">
        <w:rPr>
          <w:rFonts w:ascii="Verdana" w:hAnsi="Verdana"/>
          <w:sz w:val="18"/>
          <w:szCs w:val="18"/>
        </w:rPr>
        <w:t xml:space="preserve"> van groot belang</w:t>
      </w:r>
      <w:r w:rsidRPr="00B76715" w:rsidR="001C5143">
        <w:rPr>
          <w:rFonts w:ascii="Verdana" w:hAnsi="Verdana"/>
          <w:sz w:val="18"/>
          <w:szCs w:val="18"/>
        </w:rPr>
        <w:t xml:space="preserve"> en </w:t>
      </w:r>
      <w:r w:rsidRPr="00B76715" w:rsidR="00D11DF5">
        <w:rPr>
          <w:rFonts w:ascii="Verdana" w:hAnsi="Verdana"/>
          <w:sz w:val="18"/>
          <w:szCs w:val="18"/>
        </w:rPr>
        <w:t xml:space="preserve">zet </w:t>
      </w:r>
      <w:r w:rsidRPr="00B76715" w:rsidR="007431CE">
        <w:rPr>
          <w:rFonts w:ascii="Verdana" w:hAnsi="Verdana"/>
          <w:sz w:val="18"/>
          <w:szCs w:val="18"/>
        </w:rPr>
        <w:t xml:space="preserve">zich </w:t>
      </w:r>
      <w:r w:rsidRPr="00B76715" w:rsidR="001C5143">
        <w:rPr>
          <w:rFonts w:ascii="Verdana" w:hAnsi="Verdana"/>
          <w:sz w:val="18"/>
          <w:szCs w:val="18"/>
        </w:rPr>
        <w:t xml:space="preserve">hier </w:t>
      </w:r>
      <w:r w:rsidRPr="00B76715" w:rsidR="007431CE">
        <w:rPr>
          <w:rFonts w:ascii="Verdana" w:hAnsi="Verdana"/>
          <w:sz w:val="18"/>
          <w:szCs w:val="18"/>
        </w:rPr>
        <w:t xml:space="preserve">onverminderd voor </w:t>
      </w:r>
      <w:r w:rsidRPr="00B76715" w:rsidR="001C5143">
        <w:rPr>
          <w:rFonts w:ascii="Verdana" w:hAnsi="Verdana"/>
          <w:sz w:val="18"/>
          <w:szCs w:val="18"/>
        </w:rPr>
        <w:t xml:space="preserve">in. De integrale benadering die de Commissie hanteert in de </w:t>
      </w:r>
      <w:r w:rsidRPr="00B76715" w:rsidR="00D11DF5">
        <w:rPr>
          <w:rFonts w:ascii="Verdana" w:hAnsi="Verdana"/>
          <w:sz w:val="18"/>
          <w:szCs w:val="18"/>
        </w:rPr>
        <w:t xml:space="preserve">nieuwe </w:t>
      </w:r>
      <w:r w:rsidRPr="00B76715" w:rsidR="00913597">
        <w:rPr>
          <w:rFonts w:ascii="Verdana" w:hAnsi="Verdana"/>
          <w:sz w:val="18"/>
          <w:szCs w:val="18"/>
        </w:rPr>
        <w:t>a</w:t>
      </w:r>
      <w:r w:rsidRPr="00B76715" w:rsidR="006C00B8">
        <w:rPr>
          <w:rFonts w:ascii="Verdana" w:hAnsi="Verdana"/>
          <w:sz w:val="18"/>
          <w:szCs w:val="18"/>
        </w:rPr>
        <w:t>genda heeft veel raakvlakken met de Nederlandse aanpak.</w:t>
      </w:r>
      <w:r w:rsidRPr="00B76715" w:rsidR="00D11DF5">
        <w:rPr>
          <w:rFonts w:ascii="Verdana" w:hAnsi="Verdana"/>
          <w:sz w:val="18"/>
          <w:szCs w:val="18"/>
        </w:rPr>
        <w:t xml:space="preserve"> </w:t>
      </w:r>
    </w:p>
    <w:p w:rsidRPr="00B76715" w:rsidR="00BA1635" w:rsidP="00BA1635" w:rsidRDefault="00BA1635" w14:paraId="2EE30CEA" w14:textId="77777777">
      <w:pPr>
        <w:spacing w:after="0" w:line="360" w:lineRule="auto"/>
        <w:rPr>
          <w:rFonts w:ascii="Verdana" w:hAnsi="Verdana"/>
          <w:sz w:val="18"/>
          <w:szCs w:val="18"/>
        </w:rPr>
      </w:pPr>
    </w:p>
    <w:p w:rsidR="00E57249" w:rsidP="00BA1635" w:rsidRDefault="00024F99" w14:paraId="5C69C9EC" w14:textId="5B541A7E">
      <w:pPr>
        <w:spacing w:after="0" w:line="360" w:lineRule="auto"/>
        <w:rPr>
          <w:rFonts w:ascii="Verdana" w:hAnsi="Verdana"/>
          <w:sz w:val="18"/>
          <w:szCs w:val="18"/>
        </w:rPr>
      </w:pPr>
      <w:r w:rsidRPr="00B76715">
        <w:rPr>
          <w:rFonts w:ascii="Verdana" w:hAnsi="Verdana"/>
          <w:sz w:val="18"/>
          <w:szCs w:val="18"/>
        </w:rPr>
        <w:t>Ten aanzien van preventiebeleid zet het kabinet in op een brede, integrale benadering. De focus ligt hierbij op de online dimensie</w:t>
      </w:r>
      <w:r w:rsidR="00146685">
        <w:rPr>
          <w:rFonts w:ascii="Verdana" w:hAnsi="Verdana"/>
          <w:sz w:val="18"/>
          <w:szCs w:val="18"/>
        </w:rPr>
        <w:t xml:space="preserve">, </w:t>
      </w:r>
      <w:r w:rsidRPr="00B76715">
        <w:rPr>
          <w:rFonts w:ascii="Verdana" w:hAnsi="Verdana"/>
          <w:sz w:val="18"/>
          <w:szCs w:val="18"/>
        </w:rPr>
        <w:t>de lokale aanpak</w:t>
      </w:r>
      <w:r w:rsidR="00146685">
        <w:rPr>
          <w:rFonts w:ascii="Verdana" w:hAnsi="Verdana"/>
          <w:sz w:val="18"/>
          <w:szCs w:val="18"/>
        </w:rPr>
        <w:t xml:space="preserve"> en jongeren</w:t>
      </w:r>
      <w:r w:rsidRPr="00B76715">
        <w:rPr>
          <w:rFonts w:ascii="Verdana" w:hAnsi="Verdana"/>
          <w:sz w:val="18"/>
          <w:szCs w:val="18"/>
        </w:rPr>
        <w:t>.</w:t>
      </w:r>
      <w:bookmarkEnd w:id="1"/>
      <w:r w:rsidRPr="00B76715">
        <w:rPr>
          <w:rFonts w:ascii="Verdana" w:hAnsi="Verdana"/>
          <w:sz w:val="18"/>
          <w:szCs w:val="18"/>
        </w:rPr>
        <w:t xml:space="preserve"> </w:t>
      </w:r>
      <w:r w:rsidR="000D14D5">
        <w:rPr>
          <w:rFonts w:ascii="Verdana" w:hAnsi="Verdana"/>
          <w:sz w:val="18"/>
          <w:szCs w:val="18"/>
        </w:rPr>
        <w:t>Er zijn grote zorgen over de snelle online radicalisering van jongeren.</w:t>
      </w:r>
      <w:r w:rsidR="000D14D5">
        <w:rPr>
          <w:rStyle w:val="FootnoteReference"/>
          <w:rFonts w:ascii="Verdana" w:hAnsi="Verdana"/>
          <w:sz w:val="18"/>
          <w:szCs w:val="18"/>
        </w:rPr>
        <w:footnoteReference w:id="6"/>
      </w:r>
      <w:r w:rsidR="000D14D5">
        <w:rPr>
          <w:rFonts w:ascii="Verdana" w:hAnsi="Verdana"/>
          <w:sz w:val="18"/>
          <w:szCs w:val="18"/>
        </w:rPr>
        <w:t xml:space="preserve"> </w:t>
      </w:r>
      <w:r w:rsidRPr="005230E7" w:rsidR="005230E7">
        <w:rPr>
          <w:rFonts w:ascii="Verdana" w:hAnsi="Verdana"/>
          <w:sz w:val="18"/>
          <w:szCs w:val="18"/>
        </w:rPr>
        <w:t xml:space="preserve">Bescherming van het online domein </w:t>
      </w:r>
      <w:r w:rsidR="008A1530">
        <w:rPr>
          <w:rFonts w:ascii="Verdana" w:hAnsi="Verdana"/>
          <w:sz w:val="18"/>
          <w:szCs w:val="18"/>
        </w:rPr>
        <w:t>tegen</w:t>
      </w:r>
      <w:r w:rsidRPr="005230E7" w:rsidR="008A1530">
        <w:rPr>
          <w:rFonts w:ascii="Verdana" w:hAnsi="Verdana"/>
          <w:sz w:val="18"/>
          <w:szCs w:val="18"/>
        </w:rPr>
        <w:t xml:space="preserve"> </w:t>
      </w:r>
      <w:r w:rsidRPr="005230E7" w:rsidR="005230E7">
        <w:rPr>
          <w:rFonts w:ascii="Verdana" w:hAnsi="Verdana"/>
          <w:sz w:val="18"/>
          <w:szCs w:val="18"/>
        </w:rPr>
        <w:t xml:space="preserve">terrorisme en extremisme vormt </w:t>
      </w:r>
      <w:r w:rsidR="000D14D5">
        <w:rPr>
          <w:rFonts w:ascii="Verdana" w:hAnsi="Verdana"/>
          <w:sz w:val="18"/>
          <w:szCs w:val="18"/>
        </w:rPr>
        <w:t xml:space="preserve">daarom </w:t>
      </w:r>
      <w:r w:rsidRPr="005230E7" w:rsidR="005230E7">
        <w:rPr>
          <w:rFonts w:ascii="Verdana" w:hAnsi="Verdana"/>
          <w:sz w:val="18"/>
          <w:szCs w:val="18"/>
        </w:rPr>
        <w:t>een prioriteit voor Nederland</w:t>
      </w:r>
      <w:r w:rsidRPr="00B76715" w:rsidR="00B33A8E">
        <w:rPr>
          <w:rFonts w:ascii="Verdana" w:hAnsi="Verdana"/>
          <w:sz w:val="18"/>
          <w:szCs w:val="18"/>
        </w:rPr>
        <w:t xml:space="preserve">. </w:t>
      </w:r>
      <w:r w:rsidRPr="00B76715">
        <w:rPr>
          <w:rFonts w:ascii="Verdana" w:hAnsi="Verdana"/>
          <w:sz w:val="18"/>
          <w:szCs w:val="18"/>
        </w:rPr>
        <w:t xml:space="preserve">De </w:t>
      </w:r>
      <w:r w:rsidRPr="00B76715" w:rsidR="00B33A8E">
        <w:rPr>
          <w:rFonts w:ascii="Verdana" w:hAnsi="Verdana"/>
          <w:sz w:val="18"/>
          <w:szCs w:val="18"/>
        </w:rPr>
        <w:t>Versterkte Aanpak Online</w:t>
      </w:r>
      <w:r w:rsidRPr="00B76715" w:rsidR="00CE0B64">
        <w:rPr>
          <w:rFonts w:ascii="Verdana" w:hAnsi="Verdana"/>
          <w:sz w:val="18"/>
          <w:szCs w:val="18"/>
        </w:rPr>
        <w:t xml:space="preserve"> </w:t>
      </w:r>
      <w:r w:rsidRPr="00B76715" w:rsidR="00006332">
        <w:rPr>
          <w:rFonts w:ascii="Verdana" w:hAnsi="Verdana"/>
          <w:sz w:val="18"/>
          <w:szCs w:val="18"/>
        </w:rPr>
        <w:t>rust op vier pijlers: een structurele en normerende dialoog met de internetsector, een sterk</w:t>
      </w:r>
      <w:r w:rsidR="009B01CF">
        <w:rPr>
          <w:rFonts w:ascii="Verdana" w:hAnsi="Verdana"/>
          <w:sz w:val="18"/>
          <w:szCs w:val="18"/>
        </w:rPr>
        <w:t xml:space="preserve"> </w:t>
      </w:r>
      <w:r w:rsidRPr="00B76715" w:rsidR="00006332">
        <w:rPr>
          <w:rFonts w:ascii="Verdana" w:hAnsi="Verdana"/>
          <w:sz w:val="18"/>
          <w:szCs w:val="18"/>
        </w:rPr>
        <w:t xml:space="preserve">en toekomstbestendig wettelijk instrumentarium, handvatten voor de lokale aanpak en een actieve </w:t>
      </w:r>
      <w:r w:rsidRPr="00B76715" w:rsidR="00006332">
        <w:rPr>
          <w:rFonts w:ascii="Verdana" w:hAnsi="Verdana"/>
          <w:sz w:val="18"/>
          <w:szCs w:val="18"/>
        </w:rPr>
        <w:lastRenderedPageBreak/>
        <w:t>internationale inzet</w:t>
      </w:r>
      <w:r w:rsidR="00822A74">
        <w:rPr>
          <w:rFonts w:ascii="Verdana" w:hAnsi="Verdana"/>
          <w:sz w:val="18"/>
          <w:szCs w:val="18"/>
        </w:rPr>
        <w:t>.</w:t>
      </w:r>
      <w:r w:rsidR="00822A74">
        <w:rPr>
          <w:rStyle w:val="FootnoteReference"/>
          <w:rFonts w:ascii="Verdana" w:hAnsi="Verdana"/>
          <w:sz w:val="18"/>
          <w:szCs w:val="18"/>
        </w:rPr>
        <w:footnoteReference w:id="7"/>
      </w:r>
      <w:r w:rsidRPr="00B76715" w:rsidR="00822A74">
        <w:rPr>
          <w:rFonts w:ascii="Verdana" w:hAnsi="Verdana"/>
          <w:sz w:val="18"/>
          <w:szCs w:val="18"/>
        </w:rPr>
        <w:t xml:space="preserve"> </w:t>
      </w:r>
      <w:r w:rsidRPr="00B76715" w:rsidR="00E57249">
        <w:rPr>
          <w:rFonts w:ascii="Verdana" w:hAnsi="Verdana"/>
          <w:sz w:val="18"/>
          <w:szCs w:val="18"/>
        </w:rPr>
        <w:t xml:space="preserve">Om te voorkomen dat personen (verder) radicaliseren wordt binnen de lokale aanpak radicalisering ingezet op het ondersteunen van de veerkracht van groepen en individuen die vatbaarder kunnen zijn voor extremistische denkbeelden. Om tijdig te kunnen signaleren en te handelen </w:t>
      </w:r>
      <w:r w:rsidRPr="00B76715" w:rsidR="00006332">
        <w:rPr>
          <w:rFonts w:ascii="Verdana" w:hAnsi="Verdana"/>
          <w:sz w:val="18"/>
          <w:szCs w:val="18"/>
        </w:rPr>
        <w:t>wordt samenwerking tussen</w:t>
      </w:r>
      <w:r w:rsidRPr="00B76715" w:rsidR="00E57249">
        <w:rPr>
          <w:rFonts w:ascii="Verdana" w:hAnsi="Verdana"/>
          <w:sz w:val="18"/>
          <w:szCs w:val="18"/>
        </w:rPr>
        <w:t xml:space="preserve"> professionals uit het sociaal</w:t>
      </w:r>
      <w:r w:rsidR="008A1530">
        <w:rPr>
          <w:rFonts w:ascii="Verdana" w:hAnsi="Verdana"/>
          <w:sz w:val="18"/>
          <w:szCs w:val="18"/>
        </w:rPr>
        <w:t>-</w:t>
      </w:r>
      <w:r w:rsidRPr="00B76715" w:rsidR="00E57249">
        <w:rPr>
          <w:rFonts w:ascii="Verdana" w:hAnsi="Verdana"/>
          <w:sz w:val="18"/>
          <w:szCs w:val="18"/>
        </w:rPr>
        <w:t xml:space="preserve">, onderwijs- en zorgdomein en het veiligheidsdomein </w:t>
      </w:r>
      <w:r w:rsidRPr="00B76715" w:rsidR="00006332">
        <w:rPr>
          <w:rFonts w:ascii="Verdana" w:hAnsi="Verdana"/>
          <w:sz w:val="18"/>
          <w:szCs w:val="18"/>
        </w:rPr>
        <w:t>ondersteund en versterkt</w:t>
      </w:r>
      <w:r w:rsidRPr="00B76715" w:rsidR="00E57249">
        <w:rPr>
          <w:rFonts w:ascii="Verdana" w:hAnsi="Verdana"/>
          <w:sz w:val="18"/>
          <w:szCs w:val="18"/>
        </w:rPr>
        <w:t xml:space="preserve">. </w:t>
      </w:r>
      <w:r w:rsidR="00146685">
        <w:rPr>
          <w:rFonts w:ascii="Verdana" w:hAnsi="Verdana"/>
          <w:sz w:val="18"/>
          <w:szCs w:val="18"/>
        </w:rPr>
        <w:t>Personen die radicaliseren worden besproken in het multidisciplinaire casusoverleg. Hierin stellen lokale professionals samen een plan van aanpak op om risico’s vanuit deze personen zoveel mogelijk te verkleinen en beschermende factoren te versterken. Om radicalisering (van jongeren) tegen te gaan wordt geïnvesteerd in het versterken van weerbaarheid van jongeren, het trainen van professionals om signalen van radicalisering te herkennen en het doorontwikkelen van de detentie- en re-integratieketen.</w:t>
      </w:r>
    </w:p>
    <w:p w:rsidRPr="00B76715" w:rsidR="00BA1635" w:rsidP="00BA1635" w:rsidRDefault="00BA1635" w14:paraId="79F72C0B" w14:textId="77777777">
      <w:pPr>
        <w:spacing w:after="0" w:line="360" w:lineRule="auto"/>
        <w:rPr>
          <w:rFonts w:ascii="Verdana" w:hAnsi="Verdana"/>
          <w:sz w:val="18"/>
          <w:szCs w:val="18"/>
        </w:rPr>
      </w:pPr>
    </w:p>
    <w:p w:rsidRPr="008F661B" w:rsidR="007A6597" w:rsidP="00BA1635" w:rsidRDefault="00995B79" w14:paraId="299C31B5" w14:textId="2E9FB831">
      <w:pPr>
        <w:spacing w:after="0" w:line="360" w:lineRule="auto"/>
        <w:rPr>
          <w:rFonts w:ascii="Verdana" w:hAnsi="Verdana"/>
          <w:i/>
          <w:iCs/>
          <w:sz w:val="18"/>
          <w:szCs w:val="18"/>
        </w:rPr>
      </w:pPr>
      <w:r w:rsidRPr="00B76715">
        <w:rPr>
          <w:rFonts w:ascii="Verdana" w:hAnsi="Verdana"/>
          <w:sz w:val="18"/>
          <w:szCs w:val="18"/>
        </w:rPr>
        <w:t>Een belangrijk doel van het Nederlands</w:t>
      </w:r>
      <w:r w:rsidR="009B01CF">
        <w:rPr>
          <w:rFonts w:ascii="Verdana" w:hAnsi="Verdana"/>
          <w:sz w:val="18"/>
          <w:szCs w:val="18"/>
        </w:rPr>
        <w:t>e</w:t>
      </w:r>
      <w:r w:rsidRPr="00B76715">
        <w:rPr>
          <w:rFonts w:ascii="Verdana" w:hAnsi="Verdana"/>
          <w:sz w:val="18"/>
          <w:szCs w:val="18"/>
        </w:rPr>
        <w:t xml:space="preserve"> </w:t>
      </w:r>
      <w:proofErr w:type="spellStart"/>
      <w:r w:rsidRPr="00B76715">
        <w:rPr>
          <w:rFonts w:ascii="Verdana" w:hAnsi="Verdana"/>
          <w:sz w:val="18"/>
          <w:szCs w:val="18"/>
        </w:rPr>
        <w:t>contraterrorismebeleid</w:t>
      </w:r>
      <w:proofErr w:type="spellEnd"/>
      <w:r w:rsidRPr="00B76715">
        <w:rPr>
          <w:rFonts w:ascii="Verdana" w:hAnsi="Verdana"/>
          <w:sz w:val="18"/>
          <w:szCs w:val="18"/>
        </w:rPr>
        <w:t xml:space="preserve"> is gericht op het verstoren van dreigingen en het beschermen van personen, objecten en vitale processen. Hiertoe </w:t>
      </w:r>
      <w:r w:rsidRPr="00B76715" w:rsidR="007A6597">
        <w:rPr>
          <w:rFonts w:ascii="Verdana" w:hAnsi="Verdana"/>
          <w:sz w:val="18"/>
          <w:szCs w:val="18"/>
        </w:rPr>
        <w:t xml:space="preserve">hecht </w:t>
      </w:r>
      <w:r w:rsidRPr="00B76715">
        <w:rPr>
          <w:rFonts w:ascii="Verdana" w:hAnsi="Verdana"/>
          <w:sz w:val="18"/>
          <w:szCs w:val="18"/>
        </w:rPr>
        <w:t xml:space="preserve">het kabinet </w:t>
      </w:r>
      <w:r w:rsidRPr="00B76715" w:rsidR="007A6597">
        <w:rPr>
          <w:rFonts w:ascii="Verdana" w:hAnsi="Verdana"/>
          <w:sz w:val="18"/>
          <w:szCs w:val="18"/>
        </w:rPr>
        <w:t xml:space="preserve">grote waarde aan </w:t>
      </w:r>
      <w:r w:rsidRPr="00B76715">
        <w:rPr>
          <w:rFonts w:ascii="Verdana" w:hAnsi="Verdana"/>
          <w:sz w:val="18"/>
          <w:szCs w:val="18"/>
        </w:rPr>
        <w:t>Europese</w:t>
      </w:r>
      <w:r w:rsidRPr="00B76715" w:rsidR="007A6597">
        <w:rPr>
          <w:rFonts w:ascii="Verdana" w:hAnsi="Verdana"/>
          <w:sz w:val="18"/>
          <w:szCs w:val="18"/>
        </w:rPr>
        <w:t xml:space="preserve"> informatiesystemen</w:t>
      </w:r>
      <w:r w:rsidR="00B44B13">
        <w:rPr>
          <w:rFonts w:ascii="Verdana" w:hAnsi="Verdana"/>
          <w:sz w:val="18"/>
          <w:szCs w:val="18"/>
        </w:rPr>
        <w:t xml:space="preserve"> en interoperabiliteit</w:t>
      </w:r>
      <w:r w:rsidRPr="00B76715" w:rsidR="007A6597">
        <w:rPr>
          <w:rFonts w:ascii="Verdana" w:hAnsi="Verdana"/>
          <w:sz w:val="18"/>
          <w:szCs w:val="18"/>
        </w:rPr>
        <w:t xml:space="preserve">, </w:t>
      </w:r>
      <w:r w:rsidR="003F3303">
        <w:rPr>
          <w:rFonts w:ascii="Verdana" w:hAnsi="Verdana"/>
          <w:sz w:val="18"/>
          <w:szCs w:val="18"/>
        </w:rPr>
        <w:t xml:space="preserve">waarbij </w:t>
      </w:r>
      <w:r w:rsidR="009B01CF">
        <w:rPr>
          <w:rFonts w:ascii="Verdana" w:hAnsi="Verdana"/>
          <w:sz w:val="18"/>
          <w:szCs w:val="18"/>
        </w:rPr>
        <w:t xml:space="preserve">zowel </w:t>
      </w:r>
      <w:r w:rsidR="003F3303">
        <w:rPr>
          <w:rFonts w:ascii="Verdana" w:hAnsi="Verdana"/>
          <w:sz w:val="18"/>
          <w:szCs w:val="18"/>
        </w:rPr>
        <w:t>informatie-uitwisseling</w:t>
      </w:r>
      <w:r w:rsidRPr="00B76715" w:rsidR="007A6597">
        <w:rPr>
          <w:rFonts w:ascii="Verdana" w:hAnsi="Verdana"/>
          <w:sz w:val="18"/>
          <w:szCs w:val="18"/>
        </w:rPr>
        <w:t xml:space="preserve"> tussen nationale en Europese informatiesystemen, als tussen verschillende Europese informatiesystemen</w:t>
      </w:r>
      <w:r w:rsidR="003F3303">
        <w:rPr>
          <w:rFonts w:ascii="Verdana" w:hAnsi="Verdana"/>
          <w:sz w:val="18"/>
          <w:szCs w:val="18"/>
        </w:rPr>
        <w:t xml:space="preserve"> van belang is</w:t>
      </w:r>
      <w:r w:rsidRPr="00B76715" w:rsidR="007A6597">
        <w:rPr>
          <w:rFonts w:ascii="Verdana" w:hAnsi="Verdana"/>
          <w:sz w:val="18"/>
          <w:szCs w:val="18"/>
        </w:rPr>
        <w:t>. In dat kader wordt hard gewerkt aan de implementatie van de grootschalige EU</w:t>
      </w:r>
      <w:r w:rsidR="009B01CF">
        <w:rPr>
          <w:rFonts w:ascii="Verdana" w:hAnsi="Verdana"/>
          <w:sz w:val="18"/>
          <w:szCs w:val="18"/>
        </w:rPr>
        <w:t>-</w:t>
      </w:r>
      <w:r w:rsidRPr="00B76715" w:rsidR="007A6597">
        <w:rPr>
          <w:rFonts w:ascii="Verdana" w:hAnsi="Verdana"/>
          <w:sz w:val="18"/>
          <w:szCs w:val="18"/>
        </w:rPr>
        <w:t>informatiesystemen en de Screeningsverordening.</w:t>
      </w:r>
      <w:r w:rsidR="008A7EC0">
        <w:rPr>
          <w:rStyle w:val="FootnoteReference"/>
          <w:rFonts w:ascii="Verdana" w:hAnsi="Verdana"/>
          <w:sz w:val="18"/>
          <w:szCs w:val="18"/>
        </w:rPr>
        <w:footnoteReference w:id="8"/>
      </w:r>
      <w:r w:rsidRPr="00B76715" w:rsidR="00B33A8E">
        <w:rPr>
          <w:rFonts w:ascii="Verdana" w:hAnsi="Verdana"/>
          <w:sz w:val="18"/>
          <w:szCs w:val="18"/>
        </w:rPr>
        <w:t xml:space="preserve"> In het SIS wordt onder meer informatie uitgewisseld over personen en voorwerpen die betrokken zijn bij terrorisme-gerelateerde activiteiten</w:t>
      </w:r>
      <w:bookmarkStart w:name="_Hlk224911311" w:id="2"/>
      <w:r w:rsidRPr="00B76715" w:rsidR="00B33A8E">
        <w:rPr>
          <w:rFonts w:ascii="Verdana" w:hAnsi="Verdana"/>
          <w:sz w:val="18"/>
          <w:szCs w:val="18"/>
        </w:rPr>
        <w:t xml:space="preserve">. </w:t>
      </w:r>
      <w:r w:rsidRPr="00BB4008" w:rsidR="00B33A8E">
        <w:rPr>
          <w:rFonts w:ascii="Verdana" w:hAnsi="Verdana"/>
          <w:sz w:val="18"/>
          <w:szCs w:val="18"/>
        </w:rPr>
        <w:t xml:space="preserve">Sinds maart </w:t>
      </w:r>
      <w:r w:rsidRPr="00495809" w:rsidR="00B33A8E">
        <w:rPr>
          <w:rFonts w:ascii="Verdana" w:hAnsi="Verdana"/>
          <w:sz w:val="18"/>
          <w:szCs w:val="18"/>
        </w:rPr>
        <w:t xml:space="preserve">2021 delen landen die </w:t>
      </w:r>
      <w:r w:rsidRPr="00495809" w:rsidR="00E53670">
        <w:rPr>
          <w:rFonts w:ascii="Verdana" w:hAnsi="Verdana"/>
          <w:sz w:val="18"/>
          <w:szCs w:val="18"/>
        </w:rPr>
        <w:t>gebruik maken van</w:t>
      </w:r>
      <w:r w:rsidRPr="00495809" w:rsidR="00B33A8E">
        <w:rPr>
          <w:rFonts w:ascii="Verdana" w:hAnsi="Verdana"/>
          <w:sz w:val="18"/>
          <w:szCs w:val="18"/>
        </w:rPr>
        <w:t xml:space="preserve"> SIS</w:t>
      </w:r>
      <w:r w:rsidRPr="00495809" w:rsidR="00B33A8E">
        <w:rPr>
          <w:rFonts w:ascii="Verdana" w:hAnsi="Verdana"/>
          <w:sz w:val="18"/>
          <w:szCs w:val="18"/>
          <w:vertAlign w:val="superscript"/>
        </w:rPr>
        <w:footnoteReference w:id="9"/>
      </w:r>
      <w:r w:rsidRPr="00495809" w:rsidR="00B33A8E">
        <w:rPr>
          <w:rFonts w:ascii="Verdana" w:hAnsi="Verdana"/>
          <w:sz w:val="18"/>
          <w:szCs w:val="18"/>
        </w:rPr>
        <w:t xml:space="preserve"> matches met </w:t>
      </w:r>
      <w:r w:rsidRPr="00495809" w:rsidR="00E53670">
        <w:rPr>
          <w:rFonts w:ascii="Verdana" w:hAnsi="Verdana"/>
          <w:sz w:val="18"/>
          <w:szCs w:val="18"/>
        </w:rPr>
        <w:t xml:space="preserve">aan terrorisme gerelateerde </w:t>
      </w:r>
      <w:r w:rsidRPr="00495809" w:rsidR="00B33A8E">
        <w:rPr>
          <w:rFonts w:ascii="Verdana" w:hAnsi="Verdana"/>
          <w:sz w:val="18"/>
          <w:szCs w:val="18"/>
        </w:rPr>
        <w:t>SIS-signaleringen ook met Europol</w:t>
      </w:r>
      <w:bookmarkEnd w:id="2"/>
      <w:r w:rsidRPr="00495809" w:rsidR="00B33A8E">
        <w:rPr>
          <w:rFonts w:ascii="Verdana" w:hAnsi="Verdana"/>
          <w:sz w:val="18"/>
          <w:szCs w:val="18"/>
        </w:rPr>
        <w:t xml:space="preserve">. Nederland doet dit in beperkte mate. </w:t>
      </w:r>
      <w:bookmarkStart w:name="_Hlk225408952" w:id="3"/>
      <w:r w:rsidRPr="00495809" w:rsidR="008F661B">
        <w:rPr>
          <w:rFonts w:ascii="Verdana" w:hAnsi="Verdana"/>
          <w:sz w:val="18"/>
          <w:szCs w:val="18"/>
        </w:rPr>
        <w:t xml:space="preserve">Het kabinet </w:t>
      </w:r>
      <w:r w:rsidRPr="00495809" w:rsidR="000B4881">
        <w:rPr>
          <w:rFonts w:ascii="Verdana" w:hAnsi="Verdana"/>
          <w:sz w:val="18"/>
          <w:szCs w:val="18"/>
        </w:rPr>
        <w:t>zal zorgvuldig wegen of en, zo ja, onder welke voorwaarden het delen van uit Nederland afkomstige gegevens in Europese informatiesystemen (waaronder SIS) met derde landen opportuun is, ook gelet op het waarborgen van fundamentele rechten en gegevensbescherming</w:t>
      </w:r>
      <w:bookmarkEnd w:id="3"/>
      <w:r w:rsidRPr="00495809" w:rsidR="000B4881">
        <w:rPr>
          <w:rFonts w:ascii="Verdana" w:hAnsi="Verdana"/>
          <w:sz w:val="18"/>
          <w:szCs w:val="18"/>
        </w:rPr>
        <w:t xml:space="preserve">. </w:t>
      </w:r>
      <w:r w:rsidRPr="00495809" w:rsidR="008F661B">
        <w:rPr>
          <w:rFonts w:ascii="Verdana" w:hAnsi="Verdana"/>
          <w:sz w:val="18"/>
          <w:szCs w:val="18"/>
        </w:rPr>
        <w:t xml:space="preserve">SIS is een belangrijk kanaal voor </w:t>
      </w:r>
      <w:r w:rsidRPr="00495809" w:rsidR="00652796">
        <w:rPr>
          <w:rFonts w:ascii="Verdana" w:hAnsi="Verdana"/>
          <w:sz w:val="18"/>
          <w:szCs w:val="18"/>
        </w:rPr>
        <w:t xml:space="preserve">onder meer </w:t>
      </w:r>
      <w:r w:rsidRPr="00495809" w:rsidR="008F661B">
        <w:rPr>
          <w:rFonts w:ascii="Verdana" w:hAnsi="Verdana"/>
          <w:sz w:val="18"/>
          <w:szCs w:val="18"/>
        </w:rPr>
        <w:t>contraterrorisme-onderzoeken</w:t>
      </w:r>
      <w:r w:rsidR="009B01CF">
        <w:rPr>
          <w:rFonts w:ascii="Verdana" w:hAnsi="Verdana"/>
          <w:sz w:val="18"/>
          <w:szCs w:val="18"/>
        </w:rPr>
        <w:t>;</w:t>
      </w:r>
      <w:r w:rsidRPr="00495809" w:rsidR="008F661B">
        <w:rPr>
          <w:rFonts w:ascii="Verdana" w:hAnsi="Verdana"/>
          <w:sz w:val="18"/>
          <w:szCs w:val="18"/>
        </w:rPr>
        <w:t xml:space="preserve"> het Europe</w:t>
      </w:r>
      <w:r w:rsidR="009B01CF">
        <w:rPr>
          <w:rFonts w:ascii="Verdana" w:hAnsi="Verdana"/>
          <w:sz w:val="18"/>
          <w:szCs w:val="18"/>
        </w:rPr>
        <w:t>se</w:t>
      </w:r>
      <w:r w:rsidRPr="00495809" w:rsidR="008F661B">
        <w:rPr>
          <w:rFonts w:ascii="Verdana" w:hAnsi="Verdana"/>
          <w:sz w:val="18"/>
          <w:szCs w:val="18"/>
        </w:rPr>
        <w:t xml:space="preserve"> karakter</w:t>
      </w:r>
      <w:r w:rsidRPr="008F661B" w:rsidR="008F661B">
        <w:rPr>
          <w:rFonts w:ascii="Verdana" w:hAnsi="Verdana"/>
          <w:sz w:val="18"/>
          <w:szCs w:val="18"/>
        </w:rPr>
        <w:t xml:space="preserve"> en </w:t>
      </w:r>
      <w:r w:rsidR="009B01CF">
        <w:rPr>
          <w:rFonts w:ascii="Verdana" w:hAnsi="Verdana"/>
          <w:sz w:val="18"/>
          <w:szCs w:val="18"/>
        </w:rPr>
        <w:t xml:space="preserve">de </w:t>
      </w:r>
      <w:r w:rsidRPr="008F661B" w:rsidR="008F661B">
        <w:rPr>
          <w:rFonts w:ascii="Verdana" w:hAnsi="Verdana"/>
          <w:sz w:val="18"/>
          <w:szCs w:val="18"/>
        </w:rPr>
        <w:t>veiligheid van dit kanaal moet</w:t>
      </w:r>
      <w:r w:rsidR="009B01CF">
        <w:rPr>
          <w:rFonts w:ascii="Verdana" w:hAnsi="Verdana"/>
          <w:sz w:val="18"/>
          <w:szCs w:val="18"/>
        </w:rPr>
        <w:t>en</w:t>
      </w:r>
      <w:r w:rsidRPr="008F661B" w:rsidR="008F661B">
        <w:rPr>
          <w:rFonts w:ascii="Verdana" w:hAnsi="Verdana"/>
          <w:sz w:val="18"/>
          <w:szCs w:val="18"/>
        </w:rPr>
        <w:t xml:space="preserve"> worden behouden voor deze doeleinden.</w:t>
      </w:r>
      <w:r w:rsidRPr="008F661B" w:rsidR="008F661B">
        <w:rPr>
          <w:rFonts w:ascii="Verdana" w:hAnsi="Verdana"/>
          <w:i/>
          <w:iCs/>
          <w:sz w:val="18"/>
          <w:szCs w:val="18"/>
        </w:rPr>
        <w:t xml:space="preserve"> </w:t>
      </w:r>
      <w:r w:rsidRPr="00B76715" w:rsidR="00EF18D3">
        <w:rPr>
          <w:rFonts w:ascii="Verdana" w:hAnsi="Verdana"/>
          <w:sz w:val="18"/>
          <w:szCs w:val="18"/>
        </w:rPr>
        <w:t xml:space="preserve">Nederland verwerkt momenteel op basis van de </w:t>
      </w:r>
      <w:r w:rsidRPr="00016132" w:rsidR="00EF18D3">
        <w:rPr>
          <w:rFonts w:ascii="Verdana" w:hAnsi="Verdana"/>
          <w:i/>
          <w:iCs/>
          <w:sz w:val="18"/>
          <w:szCs w:val="18"/>
        </w:rPr>
        <w:t>Passenger Name Records</w:t>
      </w:r>
      <w:r w:rsidRPr="00B76715" w:rsidR="00EF18D3">
        <w:rPr>
          <w:rFonts w:ascii="Verdana" w:hAnsi="Verdana"/>
          <w:sz w:val="18"/>
          <w:szCs w:val="18"/>
        </w:rPr>
        <w:t xml:space="preserve"> (PNR)-Richtlijn</w:t>
      </w:r>
      <w:r w:rsidRPr="00B76715" w:rsidR="00EF18D3">
        <w:rPr>
          <w:rStyle w:val="FootnoteReference"/>
          <w:rFonts w:ascii="Verdana" w:hAnsi="Verdana"/>
          <w:sz w:val="18"/>
          <w:szCs w:val="18"/>
        </w:rPr>
        <w:footnoteReference w:id="10"/>
      </w:r>
      <w:r w:rsidRPr="00B76715" w:rsidR="00EF18D3">
        <w:rPr>
          <w:rFonts w:ascii="Verdana" w:hAnsi="Verdana"/>
          <w:sz w:val="18"/>
          <w:szCs w:val="18"/>
        </w:rPr>
        <w:t xml:space="preserve"> passagiersgegevens van luchtvervoerders in de strijd tegen terrorisme en ernstige criminaliteit. Nederland heeft daarbij, in tegenstelling tot sommige andere EU-lidstaten, geen nationale wetgeving voor het gebruik van passagiersgegevens van maritieme of landvervoersbedrijven. </w:t>
      </w:r>
      <w:r w:rsidRPr="00B76715" w:rsidR="00B33A8E">
        <w:rPr>
          <w:rFonts w:ascii="Verdana" w:hAnsi="Verdana"/>
          <w:sz w:val="18"/>
          <w:szCs w:val="18"/>
        </w:rPr>
        <w:t xml:space="preserve">Ten aanzien van de aanpak van modus operandi en aanslagmiddelen richt Nederland zich in de kern op het verhogen van de weerbaarheid, het faciliteren van een adequate </w:t>
      </w:r>
      <w:r w:rsidR="00E20D6F">
        <w:rPr>
          <w:rFonts w:ascii="Verdana" w:hAnsi="Verdana"/>
          <w:sz w:val="18"/>
          <w:szCs w:val="18"/>
        </w:rPr>
        <w:t>bestrijding</w:t>
      </w:r>
      <w:r w:rsidRPr="00B76715" w:rsidR="00B33A8E">
        <w:rPr>
          <w:rFonts w:ascii="Verdana" w:hAnsi="Verdana"/>
          <w:sz w:val="18"/>
          <w:szCs w:val="18"/>
        </w:rPr>
        <w:t xml:space="preserve"> </w:t>
      </w:r>
      <w:r w:rsidR="00E20D6F">
        <w:rPr>
          <w:rFonts w:ascii="Verdana" w:hAnsi="Verdana"/>
          <w:sz w:val="18"/>
          <w:szCs w:val="18"/>
        </w:rPr>
        <w:t>van</w:t>
      </w:r>
      <w:r w:rsidRPr="00B76715" w:rsidR="00B33A8E">
        <w:rPr>
          <w:rFonts w:ascii="Verdana" w:hAnsi="Verdana"/>
          <w:sz w:val="18"/>
          <w:szCs w:val="18"/>
        </w:rPr>
        <w:t xml:space="preserve"> terrorisme en </w:t>
      </w:r>
      <w:r w:rsidR="00E20D6F">
        <w:rPr>
          <w:rFonts w:ascii="Verdana" w:hAnsi="Verdana"/>
          <w:sz w:val="18"/>
          <w:szCs w:val="18"/>
        </w:rPr>
        <w:t>extremistisch</w:t>
      </w:r>
      <w:r w:rsidRPr="00B76715" w:rsidR="00B33A8E">
        <w:rPr>
          <w:rFonts w:ascii="Verdana" w:hAnsi="Verdana"/>
          <w:sz w:val="18"/>
          <w:szCs w:val="18"/>
        </w:rPr>
        <w:t xml:space="preserve"> geweld en het beperken van de beschikbaarheid van aanslagmiddelen. </w:t>
      </w:r>
    </w:p>
    <w:p w:rsidRPr="00B76715" w:rsidR="00BA1635" w:rsidP="00BA1635" w:rsidRDefault="00BA1635" w14:paraId="039142EF" w14:textId="77777777">
      <w:pPr>
        <w:spacing w:after="0" w:line="360" w:lineRule="auto"/>
        <w:rPr>
          <w:rFonts w:ascii="Verdana" w:hAnsi="Verdana"/>
          <w:sz w:val="18"/>
          <w:szCs w:val="18"/>
        </w:rPr>
      </w:pPr>
    </w:p>
    <w:p w:rsidRPr="00B76715" w:rsidR="000F5481" w:rsidP="00BA1635" w:rsidRDefault="000F5481" w14:paraId="7FB9DDC6" w14:textId="77777777">
      <w:pPr>
        <w:pStyle w:val="ListParagraph"/>
        <w:numPr>
          <w:ilvl w:val="0"/>
          <w:numId w:val="3"/>
        </w:numPr>
        <w:spacing w:after="0" w:line="360" w:lineRule="auto"/>
        <w:rPr>
          <w:rFonts w:ascii="Verdana" w:hAnsi="Verdana"/>
          <w:i/>
          <w:iCs/>
          <w:sz w:val="18"/>
          <w:szCs w:val="18"/>
        </w:rPr>
      </w:pPr>
      <w:r w:rsidRPr="00B76715">
        <w:rPr>
          <w:rFonts w:ascii="Verdana" w:hAnsi="Verdana"/>
          <w:i/>
          <w:iCs/>
          <w:sz w:val="18"/>
          <w:szCs w:val="18"/>
        </w:rPr>
        <w:t>Beoordeling + inzet ten aanzien van dit voorstel</w:t>
      </w:r>
    </w:p>
    <w:p w:rsidRPr="00B76715" w:rsidR="001625EA" w:rsidP="00BA1635" w:rsidRDefault="001F34F1" w14:paraId="72BCC49D" w14:textId="7CEAA197">
      <w:pPr>
        <w:spacing w:after="0" w:line="360" w:lineRule="auto"/>
        <w:rPr>
          <w:rFonts w:ascii="Verdana" w:hAnsi="Verdana"/>
          <w:sz w:val="18"/>
          <w:szCs w:val="18"/>
        </w:rPr>
      </w:pPr>
      <w:r w:rsidRPr="00B76715">
        <w:rPr>
          <w:rFonts w:ascii="Verdana" w:hAnsi="Verdana"/>
          <w:sz w:val="18"/>
          <w:szCs w:val="18"/>
        </w:rPr>
        <w:t xml:space="preserve">Het kabinet verwelkomt de </w:t>
      </w:r>
      <w:r w:rsidRPr="00B76715" w:rsidR="002F31D4">
        <w:rPr>
          <w:rFonts w:ascii="Verdana" w:hAnsi="Verdana"/>
          <w:sz w:val="18"/>
          <w:szCs w:val="18"/>
        </w:rPr>
        <w:t>EU-</w:t>
      </w:r>
      <w:r w:rsidRPr="00B76715" w:rsidR="003863E2">
        <w:rPr>
          <w:rFonts w:ascii="Verdana" w:hAnsi="Verdana"/>
          <w:sz w:val="18"/>
          <w:szCs w:val="18"/>
        </w:rPr>
        <w:t>agenda voor het voorkomen en bestrijden van terrorisme</w:t>
      </w:r>
      <w:r w:rsidRPr="00B76715">
        <w:rPr>
          <w:rFonts w:ascii="Verdana" w:hAnsi="Verdana"/>
          <w:sz w:val="18"/>
          <w:szCs w:val="18"/>
        </w:rPr>
        <w:t>. De agenda bouwt voort op stappen die eerder gezet zijn in de aanpak van terrorisme en beoogt een brede, geïntegreerde aanpak.</w:t>
      </w:r>
      <w:r w:rsidRPr="00B76715" w:rsidR="0023341A">
        <w:rPr>
          <w:rFonts w:ascii="Verdana" w:hAnsi="Verdana"/>
          <w:sz w:val="18"/>
          <w:szCs w:val="18"/>
        </w:rPr>
        <w:t xml:space="preserve"> In dit verband is </w:t>
      </w:r>
      <w:r w:rsidR="00F64FEC">
        <w:rPr>
          <w:rFonts w:ascii="Verdana" w:hAnsi="Verdana"/>
          <w:sz w:val="18"/>
          <w:szCs w:val="18"/>
        </w:rPr>
        <w:t xml:space="preserve">blijvende en </w:t>
      </w:r>
      <w:r w:rsidRPr="00B76715" w:rsidR="0023341A">
        <w:rPr>
          <w:rFonts w:ascii="Verdana" w:hAnsi="Verdana"/>
          <w:sz w:val="18"/>
          <w:szCs w:val="18"/>
        </w:rPr>
        <w:t xml:space="preserve">aanvullende inzet nodig om de actuele </w:t>
      </w:r>
      <w:r w:rsidR="0075002A">
        <w:rPr>
          <w:rFonts w:ascii="Verdana" w:hAnsi="Verdana"/>
          <w:sz w:val="18"/>
          <w:szCs w:val="18"/>
        </w:rPr>
        <w:lastRenderedPageBreak/>
        <w:t xml:space="preserve">en diffuse </w:t>
      </w:r>
      <w:r w:rsidRPr="00B76715" w:rsidR="0023341A">
        <w:rPr>
          <w:rFonts w:ascii="Verdana" w:hAnsi="Verdana"/>
          <w:sz w:val="18"/>
          <w:szCs w:val="18"/>
        </w:rPr>
        <w:t>dreiging gericht te bestrijden.</w:t>
      </w:r>
      <w:r w:rsidRPr="00B76715" w:rsidR="002E1D93">
        <w:rPr>
          <w:rFonts w:ascii="Verdana" w:hAnsi="Verdana"/>
          <w:sz w:val="18"/>
          <w:szCs w:val="18"/>
        </w:rPr>
        <w:t xml:space="preserve"> </w:t>
      </w:r>
      <w:r w:rsidRPr="00B76715">
        <w:rPr>
          <w:rFonts w:ascii="Verdana" w:hAnsi="Verdana"/>
          <w:sz w:val="18"/>
          <w:szCs w:val="18"/>
        </w:rPr>
        <w:t xml:space="preserve">In algemene zin </w:t>
      </w:r>
      <w:r w:rsidRPr="00B76715" w:rsidR="00F50DCC">
        <w:rPr>
          <w:rFonts w:ascii="Verdana" w:hAnsi="Verdana"/>
          <w:sz w:val="18"/>
          <w:szCs w:val="18"/>
        </w:rPr>
        <w:t>onderschrijft</w:t>
      </w:r>
      <w:r w:rsidRPr="00B76715">
        <w:rPr>
          <w:rFonts w:ascii="Verdana" w:hAnsi="Verdana"/>
          <w:sz w:val="18"/>
          <w:szCs w:val="18"/>
        </w:rPr>
        <w:t xml:space="preserve"> het kabinet de </w:t>
      </w:r>
      <w:r w:rsidRPr="00B76715" w:rsidR="000D59A4">
        <w:rPr>
          <w:rFonts w:ascii="Verdana" w:hAnsi="Verdana"/>
          <w:sz w:val="18"/>
          <w:szCs w:val="18"/>
        </w:rPr>
        <w:t xml:space="preserve">voorstellen van de Commissie om de weerbaarheid van de EU te vergroten tegen terrorisme, </w:t>
      </w:r>
      <w:r w:rsidRPr="00B76715" w:rsidR="00F50DCC">
        <w:rPr>
          <w:rFonts w:ascii="Verdana" w:hAnsi="Verdana"/>
          <w:sz w:val="18"/>
          <w:szCs w:val="18"/>
        </w:rPr>
        <w:t xml:space="preserve">de veiligheid van mensen zowel offline als online te </w:t>
      </w:r>
      <w:r w:rsidR="0075002A">
        <w:rPr>
          <w:rFonts w:ascii="Verdana" w:hAnsi="Verdana"/>
          <w:sz w:val="18"/>
          <w:szCs w:val="18"/>
        </w:rPr>
        <w:t>beschermen</w:t>
      </w:r>
      <w:r w:rsidRPr="00B76715" w:rsidR="00F50DCC">
        <w:rPr>
          <w:rFonts w:ascii="Verdana" w:hAnsi="Verdana"/>
          <w:sz w:val="18"/>
          <w:szCs w:val="18"/>
        </w:rPr>
        <w:t xml:space="preserve"> en de samenwerking met internationale partners te versterken. </w:t>
      </w:r>
      <w:r w:rsidRPr="00B76715" w:rsidR="00942726">
        <w:rPr>
          <w:rFonts w:ascii="Verdana" w:hAnsi="Verdana"/>
          <w:sz w:val="18"/>
          <w:szCs w:val="18"/>
        </w:rPr>
        <w:t xml:space="preserve">Het kabinet </w:t>
      </w:r>
      <w:r w:rsidR="008A1530">
        <w:rPr>
          <w:rFonts w:ascii="Verdana" w:hAnsi="Verdana"/>
          <w:sz w:val="18"/>
          <w:szCs w:val="18"/>
        </w:rPr>
        <w:t xml:space="preserve">gaat hieronder in op </w:t>
      </w:r>
      <w:r w:rsidRPr="00B76715" w:rsidR="0023341A">
        <w:rPr>
          <w:rFonts w:ascii="Verdana" w:hAnsi="Verdana"/>
          <w:sz w:val="18"/>
          <w:szCs w:val="18"/>
        </w:rPr>
        <w:t>een aantal specifieke thema’s, waarbij aanknopingspunten worden gezien</w:t>
      </w:r>
      <w:r w:rsidRPr="00B76715" w:rsidR="00F50DCC">
        <w:rPr>
          <w:rFonts w:ascii="Verdana" w:hAnsi="Verdana"/>
          <w:sz w:val="18"/>
          <w:szCs w:val="18"/>
        </w:rPr>
        <w:t>.</w:t>
      </w:r>
    </w:p>
    <w:p w:rsidRPr="00B76715" w:rsidR="00BA1635" w:rsidP="00BA1635" w:rsidRDefault="005414A2" w14:paraId="00389472" w14:textId="0E35CABF">
      <w:pPr>
        <w:pStyle w:val="NormalWeb"/>
        <w:spacing w:after="0" w:afterAutospacing="0" w:line="360" w:lineRule="auto"/>
        <w:rPr>
          <w:rFonts w:ascii="Verdana" w:hAnsi="Verdana"/>
          <w:sz w:val="18"/>
          <w:szCs w:val="18"/>
        </w:rPr>
      </w:pPr>
      <w:r>
        <w:rPr>
          <w:rFonts w:ascii="Verdana" w:hAnsi="Verdana"/>
          <w:sz w:val="18"/>
          <w:szCs w:val="18"/>
        </w:rPr>
        <w:t xml:space="preserve">Het kabinet is tevreden dat de agenda het belang onderkent van een brede aanpak en dat daarbinnen in het bijzonder aandacht is voor een aantal elementen die ook in de Nederlandse aanpak een grote rol hebben. </w:t>
      </w:r>
      <w:r w:rsidRPr="00B76715" w:rsidR="002F64A5">
        <w:rPr>
          <w:rFonts w:ascii="Verdana" w:hAnsi="Verdana"/>
          <w:sz w:val="18"/>
          <w:szCs w:val="18"/>
        </w:rPr>
        <w:t xml:space="preserve">Het kabinet verwelkomt de inzet van de Commissie voor het beschermen van personen online. In het kader van de </w:t>
      </w:r>
      <w:r w:rsidRPr="00B76715" w:rsidR="00981E90">
        <w:rPr>
          <w:rFonts w:ascii="Verdana" w:hAnsi="Verdana"/>
          <w:sz w:val="18"/>
          <w:szCs w:val="18"/>
        </w:rPr>
        <w:t>TOI-verordening</w:t>
      </w:r>
      <w:r w:rsidRPr="00B76715" w:rsidR="002F64A5">
        <w:rPr>
          <w:rFonts w:ascii="Verdana" w:hAnsi="Verdana"/>
          <w:sz w:val="18"/>
          <w:szCs w:val="18"/>
        </w:rPr>
        <w:t xml:space="preserve"> worden momenteel verwijderverzoeken </w:t>
      </w:r>
      <w:r w:rsidRPr="00B76715" w:rsidR="00981E90">
        <w:rPr>
          <w:rFonts w:ascii="Verdana" w:hAnsi="Verdana"/>
          <w:sz w:val="18"/>
          <w:szCs w:val="18"/>
        </w:rPr>
        <w:t xml:space="preserve">en verwijderbevelen </w:t>
      </w:r>
      <w:r w:rsidRPr="00B76715" w:rsidR="00C63159">
        <w:rPr>
          <w:rFonts w:ascii="Verdana" w:hAnsi="Verdana"/>
          <w:sz w:val="18"/>
          <w:szCs w:val="18"/>
        </w:rPr>
        <w:t xml:space="preserve">voor schadelijke content </w:t>
      </w:r>
      <w:r w:rsidRPr="00B76715" w:rsidR="002F64A5">
        <w:rPr>
          <w:rFonts w:ascii="Verdana" w:hAnsi="Verdana"/>
          <w:sz w:val="18"/>
          <w:szCs w:val="18"/>
        </w:rPr>
        <w:t xml:space="preserve">verstuurd. In Nederland is de Autoriteit online Terroristisch en </w:t>
      </w:r>
      <w:proofErr w:type="spellStart"/>
      <w:r w:rsidRPr="00B76715" w:rsidR="002F64A5">
        <w:rPr>
          <w:rFonts w:ascii="Verdana" w:hAnsi="Verdana"/>
          <w:sz w:val="18"/>
          <w:szCs w:val="18"/>
        </w:rPr>
        <w:t>Kinderpornografisch</w:t>
      </w:r>
      <w:proofErr w:type="spellEnd"/>
      <w:r w:rsidRPr="00B76715" w:rsidR="002F64A5">
        <w:rPr>
          <w:rFonts w:ascii="Verdana" w:hAnsi="Verdana"/>
          <w:sz w:val="18"/>
          <w:szCs w:val="18"/>
        </w:rPr>
        <w:t xml:space="preserve"> Materiaal (ATKM) op grond van de Uitvoeringswet Terroristische Online-Inhoud</w:t>
      </w:r>
      <w:r w:rsidRPr="00B76715" w:rsidR="002A714D">
        <w:rPr>
          <w:rFonts w:ascii="Verdana" w:hAnsi="Verdana"/>
          <w:sz w:val="18"/>
          <w:szCs w:val="18"/>
        </w:rPr>
        <w:t xml:space="preserve"> (Uitvoeringswet TOI), waarmee de TOI-verordening is geïmplementeerd, </w:t>
      </w:r>
      <w:r w:rsidRPr="00B76715" w:rsidR="002F64A5">
        <w:rPr>
          <w:rFonts w:ascii="Verdana" w:hAnsi="Verdana"/>
          <w:sz w:val="18"/>
          <w:szCs w:val="18"/>
        </w:rPr>
        <w:t xml:space="preserve">bevoegd om verwijderbevelen uit te vaardigen aan online platformen ten aanzien van terroristische content. Op dit moment </w:t>
      </w:r>
      <w:r w:rsidR="00170CCA">
        <w:rPr>
          <w:rFonts w:ascii="Verdana" w:hAnsi="Verdana"/>
          <w:sz w:val="18"/>
          <w:szCs w:val="18"/>
        </w:rPr>
        <w:t>onderzoekt</w:t>
      </w:r>
      <w:r w:rsidRPr="00B76715" w:rsidR="00365A13">
        <w:rPr>
          <w:rFonts w:ascii="Verdana" w:hAnsi="Verdana"/>
          <w:sz w:val="18"/>
          <w:szCs w:val="18"/>
        </w:rPr>
        <w:t xml:space="preserve"> het kabinet</w:t>
      </w:r>
      <w:r w:rsidRPr="00B76715" w:rsidR="002F64A5">
        <w:rPr>
          <w:rFonts w:ascii="Verdana" w:hAnsi="Verdana"/>
          <w:sz w:val="18"/>
          <w:szCs w:val="18"/>
        </w:rPr>
        <w:t xml:space="preserve"> of in Nederland ook het instrument</w:t>
      </w:r>
      <w:r w:rsidRPr="00B76715" w:rsidR="00C63159">
        <w:rPr>
          <w:rFonts w:ascii="Verdana" w:hAnsi="Verdana"/>
          <w:sz w:val="18"/>
          <w:szCs w:val="18"/>
        </w:rPr>
        <w:t>arium</w:t>
      </w:r>
      <w:r w:rsidRPr="00B76715" w:rsidR="002F64A5">
        <w:rPr>
          <w:rFonts w:ascii="Verdana" w:hAnsi="Verdana"/>
          <w:sz w:val="18"/>
          <w:szCs w:val="18"/>
        </w:rPr>
        <w:t xml:space="preserve"> van verwijderverzoeken (weer) actief kan worden ingezet – voor gewelddadig extremistische content. Hoewel verdere verduidelijking van juridische verplichtingen wenselijk is, is het daarbij van belang dat een mogelijke vereenvoudiging van de </w:t>
      </w:r>
      <w:r w:rsidRPr="00B76715" w:rsidR="00593B84">
        <w:rPr>
          <w:rFonts w:ascii="Verdana" w:hAnsi="Verdana"/>
          <w:sz w:val="18"/>
          <w:szCs w:val="18"/>
        </w:rPr>
        <w:t>TOI-verordening</w:t>
      </w:r>
      <w:r w:rsidRPr="00B76715" w:rsidR="002F64A5">
        <w:rPr>
          <w:rFonts w:ascii="Verdana" w:hAnsi="Verdana"/>
          <w:sz w:val="18"/>
          <w:szCs w:val="18"/>
        </w:rPr>
        <w:t xml:space="preserve"> in geen geval leidt tot een vermindering van de druk op online platformen om verantwoordelijkheid te nemen. Het is daarnaast in de basis een goede ontwikkeling dat er een Europese </w:t>
      </w:r>
      <w:proofErr w:type="spellStart"/>
      <w:r w:rsidRPr="00B76715" w:rsidR="002F64A5">
        <w:rPr>
          <w:rFonts w:ascii="Verdana" w:hAnsi="Verdana"/>
          <w:i/>
          <w:iCs/>
          <w:sz w:val="18"/>
          <w:szCs w:val="18"/>
        </w:rPr>
        <w:t>hash</w:t>
      </w:r>
      <w:proofErr w:type="spellEnd"/>
      <w:r w:rsidRPr="00B76715" w:rsidR="002F64A5">
        <w:rPr>
          <w:rFonts w:ascii="Verdana" w:hAnsi="Verdana"/>
          <w:i/>
          <w:iCs/>
          <w:sz w:val="18"/>
          <w:szCs w:val="18"/>
        </w:rPr>
        <w:t>-sharing</w:t>
      </w:r>
      <w:r w:rsidRPr="00B76715" w:rsidR="00722699">
        <w:rPr>
          <w:rFonts w:ascii="Verdana" w:hAnsi="Verdana"/>
          <w:i/>
          <w:iCs/>
          <w:sz w:val="18"/>
          <w:szCs w:val="18"/>
        </w:rPr>
        <w:t xml:space="preserve"> </w:t>
      </w:r>
      <w:r w:rsidRPr="00B76715" w:rsidR="002F64A5">
        <w:rPr>
          <w:rFonts w:ascii="Verdana" w:hAnsi="Verdana"/>
          <w:i/>
          <w:iCs/>
          <w:sz w:val="18"/>
          <w:szCs w:val="18"/>
        </w:rPr>
        <w:t>database</w:t>
      </w:r>
      <w:r w:rsidR="00853720">
        <w:rPr>
          <w:rStyle w:val="FootnoteReference"/>
          <w:rFonts w:ascii="Verdana" w:hAnsi="Verdana"/>
          <w:i/>
          <w:iCs/>
          <w:sz w:val="18"/>
          <w:szCs w:val="18"/>
        </w:rPr>
        <w:footnoteReference w:id="11"/>
      </w:r>
      <w:r w:rsidRPr="00B76715" w:rsidR="002F64A5">
        <w:rPr>
          <w:rFonts w:ascii="Verdana" w:hAnsi="Verdana"/>
          <w:sz w:val="18"/>
          <w:szCs w:val="18"/>
        </w:rPr>
        <w:t xml:space="preserve"> wordt ontwikkeld. Het kabinet zal de verdere vormgeving hiervan nauwlettend volgen, en kijkt tevens uit naar de resultaten van de Europese evaluatie van de </w:t>
      </w:r>
      <w:r w:rsidRPr="00B76715" w:rsidR="00297610">
        <w:rPr>
          <w:rFonts w:ascii="Verdana" w:hAnsi="Verdana"/>
          <w:sz w:val="18"/>
          <w:szCs w:val="18"/>
        </w:rPr>
        <w:t>TOI</w:t>
      </w:r>
      <w:r w:rsidRPr="00B76715" w:rsidR="002F64A5">
        <w:rPr>
          <w:rFonts w:ascii="Verdana" w:hAnsi="Verdana"/>
          <w:sz w:val="18"/>
          <w:szCs w:val="18"/>
        </w:rPr>
        <w:t>-</w:t>
      </w:r>
      <w:r w:rsidRPr="00B76715" w:rsidR="00297610">
        <w:rPr>
          <w:rFonts w:ascii="Verdana" w:hAnsi="Verdana"/>
          <w:sz w:val="18"/>
          <w:szCs w:val="18"/>
        </w:rPr>
        <w:t>v</w:t>
      </w:r>
      <w:r w:rsidRPr="00B76715" w:rsidR="002F64A5">
        <w:rPr>
          <w:rFonts w:ascii="Verdana" w:hAnsi="Verdana"/>
          <w:sz w:val="18"/>
          <w:szCs w:val="18"/>
        </w:rPr>
        <w:t xml:space="preserve">erordening, die dit jaar worden verwacht. Deze evaluatie zal naast de uitkomsten van de nationale evaluatie van de Uitvoeringswet TOI worden gelegd om integraal te bezien waar verdere verbeteringen mogelijk of noodzakelijk zijn. </w:t>
      </w:r>
      <w:r w:rsidR="008A1530">
        <w:rPr>
          <w:rFonts w:ascii="Verdana" w:hAnsi="Verdana"/>
          <w:sz w:val="18"/>
          <w:szCs w:val="18"/>
        </w:rPr>
        <w:t>Ook d</w:t>
      </w:r>
      <w:r w:rsidRPr="00B76715" w:rsidR="002F64A5">
        <w:rPr>
          <w:rFonts w:ascii="Verdana" w:hAnsi="Verdana"/>
          <w:sz w:val="18"/>
          <w:szCs w:val="18"/>
        </w:rPr>
        <w:t>eze evaluatie wordt dit najaar verwacht</w:t>
      </w:r>
      <w:r w:rsidR="00FD15F5">
        <w:rPr>
          <w:rFonts w:ascii="Verdana" w:hAnsi="Verdana"/>
          <w:sz w:val="18"/>
          <w:szCs w:val="18"/>
        </w:rPr>
        <w:t xml:space="preserve">. </w:t>
      </w:r>
      <w:r w:rsidR="00056026">
        <w:rPr>
          <w:rFonts w:ascii="Verdana" w:hAnsi="Verdana"/>
          <w:sz w:val="18"/>
          <w:szCs w:val="18"/>
        </w:rPr>
        <w:t>Uw Kamer zal hierover worden geïnformeerd.</w:t>
      </w:r>
      <w:r w:rsidR="00FD15F5">
        <w:rPr>
          <w:rFonts w:ascii="Verdana" w:hAnsi="Verdana"/>
          <w:sz w:val="18"/>
          <w:szCs w:val="18"/>
        </w:rPr>
        <w:t xml:space="preserve"> </w:t>
      </w:r>
    </w:p>
    <w:p w:rsidR="00BA1635" w:rsidP="00BA1635" w:rsidRDefault="00BA1635" w14:paraId="7F80F266" w14:textId="77777777">
      <w:pPr>
        <w:spacing w:after="0" w:line="360" w:lineRule="auto"/>
        <w:rPr>
          <w:rFonts w:ascii="Verdana" w:hAnsi="Verdana"/>
          <w:sz w:val="18"/>
          <w:szCs w:val="18"/>
        </w:rPr>
      </w:pPr>
    </w:p>
    <w:p w:rsidR="002F64A5" w:rsidP="00BA1635" w:rsidRDefault="002F64A5" w14:paraId="5055F4D7" w14:textId="4EAAFBAD">
      <w:pPr>
        <w:spacing w:after="0" w:line="360" w:lineRule="auto"/>
        <w:rPr>
          <w:rFonts w:ascii="Verdana" w:hAnsi="Verdana"/>
          <w:sz w:val="18"/>
          <w:szCs w:val="18"/>
        </w:rPr>
      </w:pPr>
      <w:r w:rsidRPr="00B76715">
        <w:rPr>
          <w:rFonts w:ascii="Verdana" w:hAnsi="Verdana"/>
          <w:sz w:val="18"/>
          <w:szCs w:val="18"/>
        </w:rPr>
        <w:t>Het is waardevol dat platformen zelf erkennen dat terrorisme en gewelddadig extremisme systeemrisico’s vormen. De DSA verplicht hen dan ook tot het nemen van mitigerende maatregelen tegen deze content. Voor een goede uitwerking van de DSA is de naleving en effectief toezicht hierop van groot belang. In dat kader verwelkomt het kabinet de nadruk op intensievere samenwerking tussen de Commissie en de digitale</w:t>
      </w:r>
      <w:r w:rsidRPr="00B76715" w:rsidR="00722699">
        <w:rPr>
          <w:rFonts w:ascii="Verdana" w:hAnsi="Verdana"/>
          <w:sz w:val="18"/>
          <w:szCs w:val="18"/>
        </w:rPr>
        <w:t>-</w:t>
      </w:r>
      <w:r w:rsidRPr="00B76715">
        <w:rPr>
          <w:rFonts w:ascii="Verdana" w:hAnsi="Verdana"/>
          <w:sz w:val="18"/>
          <w:szCs w:val="18"/>
        </w:rPr>
        <w:t>diensten</w:t>
      </w:r>
      <w:r w:rsidRPr="00B76715" w:rsidR="00722699">
        <w:rPr>
          <w:rFonts w:ascii="Verdana" w:hAnsi="Verdana"/>
          <w:sz w:val="18"/>
          <w:szCs w:val="18"/>
        </w:rPr>
        <w:t>-</w:t>
      </w:r>
      <w:r w:rsidRPr="00B76715">
        <w:rPr>
          <w:rFonts w:ascii="Verdana" w:hAnsi="Verdana"/>
          <w:sz w:val="18"/>
          <w:szCs w:val="18"/>
        </w:rPr>
        <w:t xml:space="preserve">coördinatoren, in Nederland de </w:t>
      </w:r>
      <w:r w:rsidRPr="00B76715" w:rsidR="00964581">
        <w:rPr>
          <w:rFonts w:ascii="Verdana" w:hAnsi="Verdana"/>
          <w:sz w:val="18"/>
          <w:szCs w:val="18"/>
        </w:rPr>
        <w:t>Autoriteit Consument en Markt (</w:t>
      </w:r>
      <w:r w:rsidRPr="00B76715">
        <w:rPr>
          <w:rFonts w:ascii="Verdana" w:hAnsi="Verdana"/>
          <w:sz w:val="18"/>
          <w:szCs w:val="18"/>
        </w:rPr>
        <w:t>ACM</w:t>
      </w:r>
      <w:r w:rsidRPr="00B76715" w:rsidR="00964581">
        <w:rPr>
          <w:rFonts w:ascii="Verdana" w:hAnsi="Verdana"/>
          <w:sz w:val="18"/>
          <w:szCs w:val="18"/>
        </w:rPr>
        <w:t>)</w:t>
      </w:r>
      <w:r w:rsidRPr="00B76715">
        <w:rPr>
          <w:rFonts w:ascii="Verdana" w:hAnsi="Verdana"/>
          <w:sz w:val="18"/>
          <w:szCs w:val="18"/>
        </w:rPr>
        <w:t xml:space="preserve">. Striktere naleving van de DSA is essentieel en vormt een centraal onderdeel van de Nederlandse Versterkte Aanpak Online. Het EUIF blijft het belangrijkste Europese gremium om in dialoog te blijven met platformen. </w:t>
      </w:r>
      <w:r w:rsidRPr="00B76715" w:rsidR="00272CC6">
        <w:rPr>
          <w:rFonts w:ascii="Verdana" w:hAnsi="Verdana"/>
          <w:sz w:val="18"/>
          <w:szCs w:val="18"/>
        </w:rPr>
        <w:t xml:space="preserve">Het kabinet </w:t>
      </w:r>
      <w:r w:rsidRPr="00B76715">
        <w:rPr>
          <w:rFonts w:ascii="Verdana" w:hAnsi="Verdana"/>
          <w:sz w:val="18"/>
          <w:szCs w:val="18"/>
        </w:rPr>
        <w:t>zal zich blijven</w:t>
      </w:r>
      <w:r w:rsidR="00670A12">
        <w:rPr>
          <w:rFonts w:ascii="Verdana" w:hAnsi="Verdana"/>
          <w:sz w:val="18"/>
          <w:szCs w:val="18"/>
        </w:rPr>
        <w:t>d</w:t>
      </w:r>
      <w:r w:rsidRPr="00B76715">
        <w:rPr>
          <w:rFonts w:ascii="Verdana" w:hAnsi="Verdana"/>
          <w:sz w:val="18"/>
          <w:szCs w:val="18"/>
        </w:rPr>
        <w:t xml:space="preserve"> inzetten voor verdere verbetering van de functionaliteit van dit forum en het behoud van de focus op online extremisme en terrorisme. </w:t>
      </w:r>
    </w:p>
    <w:p w:rsidR="00BA1635" w:rsidP="00BA1635" w:rsidRDefault="00BA1635" w14:paraId="15980A03" w14:textId="77777777">
      <w:pPr>
        <w:spacing w:after="0" w:line="360" w:lineRule="auto"/>
        <w:rPr>
          <w:rFonts w:ascii="Verdana" w:hAnsi="Verdana"/>
          <w:sz w:val="18"/>
          <w:szCs w:val="18"/>
        </w:rPr>
      </w:pPr>
    </w:p>
    <w:p w:rsidR="0025154B" w:rsidP="00BA1635" w:rsidRDefault="0025154B" w14:paraId="6FBE4247" w14:textId="77777777">
      <w:pPr>
        <w:spacing w:after="0" w:line="360" w:lineRule="auto"/>
        <w:rPr>
          <w:rFonts w:ascii="Verdana" w:hAnsi="Verdana"/>
          <w:sz w:val="18"/>
          <w:szCs w:val="18"/>
        </w:rPr>
      </w:pPr>
    </w:p>
    <w:p w:rsidRPr="00B76715" w:rsidR="0025154B" w:rsidP="00BA1635" w:rsidRDefault="0025154B" w14:paraId="63F20A02" w14:textId="77777777">
      <w:pPr>
        <w:spacing w:after="0" w:line="360" w:lineRule="auto"/>
        <w:rPr>
          <w:rFonts w:ascii="Verdana" w:hAnsi="Verdana"/>
          <w:sz w:val="18"/>
          <w:szCs w:val="18"/>
        </w:rPr>
      </w:pPr>
    </w:p>
    <w:p w:rsidR="00EF2705" w:rsidP="00BA1635" w:rsidRDefault="002F64A5" w14:paraId="30B960BB" w14:textId="1AB3A128">
      <w:pPr>
        <w:spacing w:after="0" w:line="360" w:lineRule="auto"/>
        <w:rPr>
          <w:rFonts w:ascii="Verdana" w:hAnsi="Verdana"/>
          <w:sz w:val="18"/>
          <w:szCs w:val="18"/>
        </w:rPr>
      </w:pPr>
      <w:r w:rsidRPr="00B76715">
        <w:rPr>
          <w:rFonts w:ascii="Verdana" w:hAnsi="Verdana"/>
          <w:sz w:val="18"/>
          <w:szCs w:val="18"/>
        </w:rPr>
        <w:lastRenderedPageBreak/>
        <w:t xml:space="preserve">In het bijzonder verwelkomt het kabinet dat de nieuwe agenda expliciet verwijst naar de mogelijkheid om een vrijwillige gedragscode op te zetten, zoals eerder bepleit in het </w:t>
      </w:r>
      <w:r w:rsidRPr="00B76715" w:rsidR="00C0366E">
        <w:rPr>
          <w:rFonts w:ascii="Verdana" w:hAnsi="Verdana"/>
          <w:sz w:val="18"/>
          <w:szCs w:val="18"/>
        </w:rPr>
        <w:t>Nederlands-Duits-Frans</w:t>
      </w:r>
      <w:r w:rsidR="002B3BFA">
        <w:rPr>
          <w:rFonts w:ascii="Verdana" w:hAnsi="Verdana"/>
          <w:sz w:val="18"/>
          <w:szCs w:val="18"/>
        </w:rPr>
        <w:t>e</w:t>
      </w:r>
      <w:r w:rsidRPr="00B76715" w:rsidR="00C0366E">
        <w:rPr>
          <w:rFonts w:ascii="Verdana" w:hAnsi="Verdana"/>
          <w:sz w:val="18"/>
          <w:szCs w:val="18"/>
        </w:rPr>
        <w:t xml:space="preserve"> </w:t>
      </w:r>
      <w:r w:rsidRPr="00B76715">
        <w:rPr>
          <w:rFonts w:ascii="Verdana" w:hAnsi="Verdana"/>
          <w:sz w:val="18"/>
          <w:szCs w:val="18"/>
        </w:rPr>
        <w:t>non-paper</w:t>
      </w:r>
      <w:r w:rsidRPr="00B76715" w:rsidR="00FC0B99">
        <w:rPr>
          <w:rFonts w:ascii="Verdana" w:hAnsi="Verdana"/>
          <w:sz w:val="18"/>
          <w:szCs w:val="18"/>
        </w:rPr>
        <w:t>.</w:t>
      </w:r>
      <w:r w:rsidRPr="00B76715" w:rsidR="00D65F50">
        <w:rPr>
          <w:rStyle w:val="FootnoteReference"/>
          <w:rFonts w:ascii="Verdana" w:hAnsi="Verdana"/>
          <w:sz w:val="18"/>
          <w:szCs w:val="18"/>
        </w:rPr>
        <w:footnoteReference w:id="12"/>
      </w:r>
      <w:r w:rsidRPr="00B76715">
        <w:rPr>
          <w:rFonts w:ascii="Verdana" w:hAnsi="Verdana"/>
          <w:sz w:val="18"/>
          <w:szCs w:val="18"/>
        </w:rPr>
        <w:t xml:space="preserve"> In dit non-paper dat op 17 december 202</w:t>
      </w:r>
      <w:r w:rsidR="00670A12">
        <w:rPr>
          <w:rFonts w:ascii="Verdana" w:hAnsi="Verdana"/>
          <w:sz w:val="18"/>
          <w:szCs w:val="18"/>
        </w:rPr>
        <w:t>5</w:t>
      </w:r>
      <w:r w:rsidRPr="00B76715">
        <w:rPr>
          <w:rFonts w:ascii="Verdana" w:hAnsi="Verdana"/>
          <w:sz w:val="18"/>
          <w:szCs w:val="18"/>
        </w:rPr>
        <w:t xml:space="preserve"> aan </w:t>
      </w:r>
      <w:r w:rsidR="002B3BFA">
        <w:rPr>
          <w:rFonts w:ascii="Verdana" w:hAnsi="Verdana"/>
          <w:sz w:val="18"/>
          <w:szCs w:val="18"/>
        </w:rPr>
        <w:t>uw</w:t>
      </w:r>
      <w:r w:rsidRPr="00B76715">
        <w:rPr>
          <w:rFonts w:ascii="Verdana" w:hAnsi="Verdana"/>
          <w:sz w:val="18"/>
          <w:szCs w:val="18"/>
        </w:rPr>
        <w:t xml:space="preserve"> Kamer is gezonden</w:t>
      </w:r>
      <w:r w:rsidR="002B3BFA">
        <w:rPr>
          <w:rFonts w:ascii="Verdana" w:hAnsi="Verdana"/>
          <w:sz w:val="18"/>
          <w:szCs w:val="18"/>
        </w:rPr>
        <w:t>,</w:t>
      </w:r>
      <w:r w:rsidRPr="00B76715">
        <w:rPr>
          <w:rFonts w:ascii="Verdana" w:hAnsi="Verdana"/>
          <w:sz w:val="18"/>
          <w:szCs w:val="18"/>
        </w:rPr>
        <w:t xml:space="preserve"> wordt de Commissie opgeroepen tot het treffen van aanvullende maatregelen ter bestrijding van online radicalisering, gewelddadig extremisme en terrorisme, in de vorm van een gedragscode. De opname van deze mogelijkheid in de agenda vormt een belangrijke stap richting meer gestructureerde en gezamenlijke afspraken met platformen over de aanpak van terroristische en extremistische content online. </w:t>
      </w:r>
      <w:r w:rsidRPr="00B76715" w:rsidR="00272CC6">
        <w:rPr>
          <w:rFonts w:ascii="Verdana" w:hAnsi="Verdana"/>
          <w:sz w:val="18"/>
          <w:szCs w:val="18"/>
        </w:rPr>
        <w:t xml:space="preserve">Het kabinet </w:t>
      </w:r>
      <w:r w:rsidRPr="00B76715">
        <w:rPr>
          <w:rFonts w:ascii="Verdana" w:hAnsi="Verdana"/>
          <w:sz w:val="18"/>
          <w:szCs w:val="18"/>
        </w:rPr>
        <w:t xml:space="preserve">kijkt dan ook nadrukkelijk uit naar concrete voorstellen en initiatieven vanuit de Commissie om dit verder uit te werken en te operationaliseren. Het kabinet hecht eraan dat daarbij ook de effectiviteit en uitvoerbaarheid (incl. bijbehorende regeldruk) van de voorgestelde maatregelen en het belang van een werkbare definitie van </w:t>
      </w:r>
      <w:r w:rsidRPr="00B76715" w:rsidR="00685DA9">
        <w:rPr>
          <w:rFonts w:ascii="Verdana" w:hAnsi="Verdana"/>
          <w:sz w:val="18"/>
          <w:szCs w:val="18"/>
        </w:rPr>
        <w:t>gewelddadige</w:t>
      </w:r>
      <w:r w:rsidRPr="00B76715">
        <w:rPr>
          <w:rFonts w:ascii="Verdana" w:hAnsi="Verdana"/>
          <w:sz w:val="18"/>
          <w:szCs w:val="18"/>
        </w:rPr>
        <w:t xml:space="preserve"> extremist</w:t>
      </w:r>
      <w:r w:rsidRPr="00B76715" w:rsidR="00685DA9">
        <w:rPr>
          <w:rFonts w:ascii="Verdana" w:hAnsi="Verdana"/>
          <w:sz w:val="18"/>
          <w:szCs w:val="18"/>
        </w:rPr>
        <w:t>ische</w:t>
      </w:r>
      <w:r w:rsidRPr="00B76715">
        <w:rPr>
          <w:rFonts w:ascii="Verdana" w:hAnsi="Verdana"/>
          <w:sz w:val="18"/>
          <w:szCs w:val="18"/>
        </w:rPr>
        <w:t xml:space="preserve"> content in acht worden genomen en zal dit nauwgezet in de gaten houden. </w:t>
      </w:r>
      <w:r w:rsidRPr="00010EC2" w:rsidR="00010EC2">
        <w:rPr>
          <w:rFonts w:ascii="Verdana" w:hAnsi="Verdana"/>
          <w:sz w:val="18"/>
          <w:szCs w:val="18"/>
        </w:rPr>
        <w:t>Daar waar mogelijk zal Nederland actief bijdragen aan het komen tot een werkbare definitie conform de motie van het lid Michon-</w:t>
      </w:r>
      <w:proofErr w:type="spellStart"/>
      <w:r w:rsidRPr="00010EC2" w:rsidR="00010EC2">
        <w:rPr>
          <w:rFonts w:ascii="Verdana" w:hAnsi="Verdana"/>
          <w:sz w:val="18"/>
          <w:szCs w:val="18"/>
        </w:rPr>
        <w:t>Derkzen</w:t>
      </w:r>
      <w:proofErr w:type="spellEnd"/>
      <w:r w:rsidRPr="00010EC2" w:rsidR="00010EC2">
        <w:rPr>
          <w:rFonts w:ascii="Verdana" w:hAnsi="Verdana"/>
          <w:sz w:val="18"/>
          <w:szCs w:val="18"/>
        </w:rPr>
        <w:t xml:space="preserve"> (VVD).</w:t>
      </w:r>
      <w:r w:rsidR="00010EC2">
        <w:rPr>
          <w:rStyle w:val="FootnoteReference"/>
          <w:rFonts w:ascii="Verdana" w:hAnsi="Verdana"/>
          <w:sz w:val="18"/>
          <w:szCs w:val="18"/>
        </w:rPr>
        <w:footnoteReference w:id="13"/>
      </w:r>
      <w:r w:rsidR="00010EC2">
        <w:rPr>
          <w:rFonts w:ascii="Verdana" w:hAnsi="Verdana"/>
          <w:sz w:val="18"/>
          <w:szCs w:val="18"/>
        </w:rPr>
        <w:t xml:space="preserve"> </w:t>
      </w:r>
      <w:r w:rsidRPr="00B76715">
        <w:rPr>
          <w:rFonts w:ascii="Verdana" w:hAnsi="Verdana"/>
          <w:sz w:val="18"/>
          <w:szCs w:val="18"/>
        </w:rPr>
        <w:t xml:space="preserve">Tot slot is het positief dat er meer aandacht uitgaat naar de aanpak van </w:t>
      </w:r>
      <w:r w:rsidRPr="00B76715">
        <w:rPr>
          <w:rFonts w:ascii="Verdana" w:hAnsi="Verdana"/>
          <w:i/>
          <w:iCs/>
          <w:sz w:val="18"/>
          <w:szCs w:val="18"/>
        </w:rPr>
        <w:t>borderline content</w:t>
      </w:r>
      <w:r w:rsidRPr="00B76715">
        <w:rPr>
          <w:rFonts w:ascii="Verdana" w:hAnsi="Verdana"/>
          <w:sz w:val="18"/>
          <w:szCs w:val="18"/>
        </w:rPr>
        <w:t xml:space="preserve">, zoals ook door Europol wordt onderstreept, naar online </w:t>
      </w:r>
      <w:proofErr w:type="spellStart"/>
      <w:r w:rsidRPr="00B76715">
        <w:rPr>
          <w:rFonts w:ascii="Verdana" w:hAnsi="Verdana"/>
          <w:sz w:val="18"/>
          <w:szCs w:val="18"/>
        </w:rPr>
        <w:t>gaming</w:t>
      </w:r>
      <w:proofErr w:type="spellEnd"/>
      <w:r w:rsidRPr="00B76715" w:rsidR="00741938">
        <w:rPr>
          <w:rFonts w:ascii="Verdana" w:hAnsi="Verdana"/>
          <w:sz w:val="18"/>
          <w:szCs w:val="18"/>
        </w:rPr>
        <w:t>-</w:t>
      </w:r>
      <w:r w:rsidRPr="00B76715">
        <w:rPr>
          <w:rFonts w:ascii="Verdana" w:hAnsi="Verdana"/>
          <w:sz w:val="18"/>
          <w:szCs w:val="18"/>
        </w:rPr>
        <w:t xml:space="preserve">omgevingen in de context van online radicalisering en naar de rol van AI in online radicalisering en de integratie in de bredere agenda. </w:t>
      </w:r>
    </w:p>
    <w:p w:rsidRPr="00B76715" w:rsidR="00BA1635" w:rsidP="00BA1635" w:rsidRDefault="00BA1635" w14:paraId="0AD1C68D" w14:textId="77777777">
      <w:pPr>
        <w:spacing w:after="0" w:line="360" w:lineRule="auto"/>
        <w:rPr>
          <w:rFonts w:ascii="Verdana" w:hAnsi="Verdana"/>
          <w:sz w:val="18"/>
          <w:szCs w:val="18"/>
        </w:rPr>
      </w:pPr>
    </w:p>
    <w:p w:rsidR="00971918" w:rsidP="00BA1635" w:rsidRDefault="00F50DCC" w14:paraId="5263EBA0" w14:textId="3B147886">
      <w:pPr>
        <w:spacing w:after="0" w:line="360" w:lineRule="auto"/>
        <w:rPr>
          <w:rFonts w:ascii="Verdana" w:hAnsi="Verdana"/>
          <w:sz w:val="18"/>
          <w:szCs w:val="18"/>
        </w:rPr>
      </w:pPr>
      <w:r w:rsidRPr="00B76715">
        <w:rPr>
          <w:rFonts w:ascii="Verdana" w:hAnsi="Verdana"/>
          <w:sz w:val="18"/>
          <w:szCs w:val="18"/>
        </w:rPr>
        <w:t>Met betrekking tot het beschermen van personen in de fysieke omgeving verwelkomt het kabinet</w:t>
      </w:r>
      <w:r w:rsidRPr="00B76715" w:rsidR="00971918">
        <w:rPr>
          <w:rFonts w:ascii="Verdana" w:hAnsi="Verdana"/>
          <w:sz w:val="18"/>
          <w:szCs w:val="18"/>
        </w:rPr>
        <w:t xml:space="preserve"> de inzet van de Commissie om werk te maken van de </w:t>
      </w:r>
      <w:r w:rsidRPr="00801DC2" w:rsidR="00971918">
        <w:rPr>
          <w:rFonts w:ascii="Verdana" w:hAnsi="Verdana"/>
          <w:sz w:val="18"/>
          <w:szCs w:val="18"/>
        </w:rPr>
        <w:t>implementatie van verschillende EU wetsvoorstellen die de afgelopen jaren zijn aangenomen om het toezicht aan de EU-buitengrenzen te verbeteren en daarmee ook bijdragen aan het tegengaan van terroristische reisbewegingen.</w:t>
      </w:r>
      <w:r w:rsidRPr="00801DC2" w:rsidR="007E4579">
        <w:rPr>
          <w:rFonts w:ascii="Verdana" w:hAnsi="Verdana"/>
          <w:sz w:val="18"/>
          <w:szCs w:val="18"/>
        </w:rPr>
        <w:t xml:space="preserve"> </w:t>
      </w:r>
      <w:bookmarkStart w:name="_Hlk225409153" w:id="4"/>
      <w:r w:rsidRPr="00801DC2" w:rsidR="007E4579">
        <w:rPr>
          <w:rFonts w:ascii="Verdana" w:hAnsi="Verdana"/>
          <w:sz w:val="18"/>
          <w:szCs w:val="18"/>
        </w:rPr>
        <w:t xml:space="preserve">Later dit jaar zal </w:t>
      </w:r>
      <w:r w:rsidRPr="00801DC2" w:rsidR="00B15371">
        <w:rPr>
          <w:rFonts w:ascii="Verdana" w:hAnsi="Verdana"/>
          <w:sz w:val="18"/>
          <w:szCs w:val="18"/>
        </w:rPr>
        <w:t>het</w:t>
      </w:r>
      <w:r w:rsidRPr="00801DC2" w:rsidR="007E4579">
        <w:rPr>
          <w:rFonts w:ascii="Verdana" w:hAnsi="Verdana"/>
          <w:sz w:val="18"/>
          <w:szCs w:val="18"/>
        </w:rPr>
        <w:t xml:space="preserve"> SIS ‘</w:t>
      </w:r>
      <w:r w:rsidRPr="00801DC2" w:rsidR="007E4579">
        <w:rPr>
          <w:rFonts w:ascii="Verdana" w:hAnsi="Verdana"/>
          <w:i/>
          <w:iCs/>
          <w:sz w:val="18"/>
          <w:szCs w:val="18"/>
        </w:rPr>
        <w:t>information alert</w:t>
      </w:r>
      <w:r w:rsidRPr="00801DC2" w:rsidR="007E4579">
        <w:rPr>
          <w:rFonts w:ascii="Verdana" w:hAnsi="Verdana"/>
          <w:sz w:val="18"/>
          <w:szCs w:val="18"/>
        </w:rPr>
        <w:t>’</w:t>
      </w:r>
      <w:r w:rsidRPr="00801DC2" w:rsidR="002B3BFA">
        <w:rPr>
          <w:rFonts w:ascii="Verdana" w:hAnsi="Verdana"/>
          <w:sz w:val="18"/>
          <w:szCs w:val="18"/>
        </w:rPr>
        <w:t>,</w:t>
      </w:r>
      <w:r w:rsidRPr="00801DC2" w:rsidR="007E4579">
        <w:rPr>
          <w:rFonts w:ascii="Verdana" w:hAnsi="Verdana"/>
          <w:sz w:val="18"/>
          <w:szCs w:val="18"/>
        </w:rPr>
        <w:t xml:space="preserve"> waarnaar de Commissie verwijst</w:t>
      </w:r>
      <w:r w:rsidRPr="00801DC2" w:rsidR="002B3BFA">
        <w:rPr>
          <w:rFonts w:ascii="Verdana" w:hAnsi="Verdana"/>
          <w:sz w:val="18"/>
          <w:szCs w:val="18"/>
        </w:rPr>
        <w:t>,</w:t>
      </w:r>
      <w:r w:rsidRPr="00801DC2" w:rsidR="007E4579">
        <w:rPr>
          <w:rFonts w:ascii="Verdana" w:hAnsi="Verdana"/>
          <w:sz w:val="18"/>
          <w:szCs w:val="18"/>
        </w:rPr>
        <w:t xml:space="preserve"> live gaan. Hiermee krijgt Europol een initiërende rol</w:t>
      </w:r>
      <w:r w:rsidRPr="00801DC2" w:rsidR="00652796">
        <w:rPr>
          <w:rFonts w:ascii="Verdana" w:hAnsi="Verdana"/>
          <w:sz w:val="18"/>
          <w:szCs w:val="18"/>
        </w:rPr>
        <w:t xml:space="preserve">. Zo kunnen de lidstaten op voorstel van Europol en op basis van informatie uit betrouwbare derde landen relevante alerts in het SIS invoeren, zodat informatie over terroristen en verdachten beschikbaar is voor grens- en rechtshandhavingsautoriteiten. Het </w:t>
      </w:r>
      <w:r w:rsidRPr="00801DC2" w:rsidR="007E4579">
        <w:rPr>
          <w:rFonts w:ascii="Verdana" w:hAnsi="Verdana"/>
          <w:sz w:val="18"/>
          <w:szCs w:val="18"/>
        </w:rPr>
        <w:t>blijft aan de lidstaten om te bepalen of zij het alert in het syste</w:t>
      </w:r>
      <w:r w:rsidRPr="00801DC2" w:rsidR="002B3BFA">
        <w:rPr>
          <w:rFonts w:ascii="Verdana" w:hAnsi="Verdana"/>
          <w:sz w:val="18"/>
          <w:szCs w:val="18"/>
        </w:rPr>
        <w:t>e</w:t>
      </w:r>
      <w:r w:rsidRPr="00801DC2" w:rsidR="007E4579">
        <w:rPr>
          <w:rFonts w:ascii="Verdana" w:hAnsi="Verdana"/>
          <w:sz w:val="18"/>
          <w:szCs w:val="18"/>
        </w:rPr>
        <w:t xml:space="preserve">m willen zetten. </w:t>
      </w:r>
      <w:bookmarkEnd w:id="4"/>
      <w:r w:rsidRPr="00801DC2" w:rsidR="007E4579">
        <w:rPr>
          <w:rFonts w:ascii="Verdana" w:hAnsi="Verdana"/>
          <w:sz w:val="18"/>
          <w:szCs w:val="18"/>
        </w:rPr>
        <w:t xml:space="preserve">In algemene zin heeft de Commissie in de </w:t>
      </w:r>
      <w:proofErr w:type="spellStart"/>
      <w:r w:rsidRPr="00801DC2" w:rsidR="007E4579">
        <w:rPr>
          <w:rFonts w:ascii="Verdana" w:hAnsi="Verdana"/>
          <w:i/>
          <w:iCs/>
          <w:sz w:val="18"/>
          <w:szCs w:val="18"/>
        </w:rPr>
        <w:t>ProtectEU</w:t>
      </w:r>
      <w:proofErr w:type="spellEnd"/>
      <w:r w:rsidRPr="00801DC2" w:rsidR="007E4579">
        <w:rPr>
          <w:rFonts w:ascii="Verdana" w:hAnsi="Verdana"/>
          <w:sz w:val="18"/>
          <w:szCs w:val="18"/>
        </w:rPr>
        <w:t>-strategie een ingrijpende herziening van het Europol</w:t>
      </w:r>
      <w:r w:rsidRPr="00E463C1" w:rsidR="007E4579">
        <w:rPr>
          <w:rFonts w:ascii="Verdana" w:hAnsi="Verdana"/>
          <w:sz w:val="18"/>
          <w:szCs w:val="18"/>
        </w:rPr>
        <w:t>-mandaat aangekondigd. Het kabinet benadrukt dat de huidige ondersteuning door Europol voldoet aan het merendeel van de vastgestelde behoeften van onze operationele d</w:t>
      </w:r>
      <w:r w:rsidRPr="009274A4" w:rsidR="007E4579">
        <w:rPr>
          <w:rFonts w:ascii="Verdana" w:hAnsi="Verdana"/>
          <w:sz w:val="18"/>
          <w:szCs w:val="18"/>
        </w:rPr>
        <w:t>iensten.</w:t>
      </w:r>
      <w:r w:rsidRPr="00B76715" w:rsidR="00971918">
        <w:rPr>
          <w:rFonts w:ascii="Verdana" w:hAnsi="Verdana"/>
          <w:sz w:val="18"/>
          <w:szCs w:val="18"/>
        </w:rPr>
        <w:t xml:space="preserve"> Met betrekking tot verbeterde samenwerking met derde landen hecht het kabinet er aan zorgvuldig te kunnen (blijven) afwegen of en onder welke voorwaarden </w:t>
      </w:r>
      <w:r w:rsidR="00320F98">
        <w:rPr>
          <w:rFonts w:ascii="Verdana" w:hAnsi="Verdana"/>
          <w:sz w:val="18"/>
          <w:szCs w:val="18"/>
        </w:rPr>
        <w:t>uit Nederland afkomstige gegevens in Europese informatiesystemen</w:t>
      </w:r>
      <w:r w:rsidR="0091511F">
        <w:rPr>
          <w:rFonts w:ascii="Verdana" w:hAnsi="Verdana"/>
          <w:sz w:val="18"/>
          <w:szCs w:val="18"/>
        </w:rPr>
        <w:t xml:space="preserve"> (waaronder SIS)</w:t>
      </w:r>
      <w:r w:rsidR="00320F98">
        <w:rPr>
          <w:rFonts w:ascii="Verdana" w:hAnsi="Verdana"/>
          <w:sz w:val="18"/>
          <w:szCs w:val="18"/>
        </w:rPr>
        <w:t xml:space="preserve"> worden gedeeld met </w:t>
      </w:r>
      <w:r w:rsidRPr="00B76715" w:rsidR="00971918">
        <w:rPr>
          <w:rFonts w:ascii="Verdana" w:hAnsi="Verdana"/>
          <w:sz w:val="18"/>
          <w:szCs w:val="18"/>
        </w:rPr>
        <w:t>derde landen</w:t>
      </w:r>
      <w:r w:rsidR="00016132">
        <w:rPr>
          <w:rFonts w:ascii="Verdana" w:hAnsi="Verdana"/>
          <w:sz w:val="18"/>
          <w:szCs w:val="18"/>
        </w:rPr>
        <w:t>.</w:t>
      </w:r>
      <w:r w:rsidR="00E54FCC">
        <w:rPr>
          <w:rFonts w:ascii="Verdana" w:hAnsi="Verdana"/>
          <w:sz w:val="18"/>
          <w:szCs w:val="18"/>
        </w:rPr>
        <w:t xml:space="preserve"> Het is</w:t>
      </w:r>
      <w:r w:rsidRPr="00B76715" w:rsidR="00534BBB">
        <w:rPr>
          <w:rFonts w:ascii="Verdana" w:hAnsi="Verdana"/>
          <w:sz w:val="18"/>
          <w:szCs w:val="18"/>
        </w:rPr>
        <w:t xml:space="preserve"> belangrijk om fundamentele mensenrechten, EU-gegevensbescherming en veiligheidseisen hierbij in het oog te houden.</w:t>
      </w:r>
      <w:r w:rsidR="003904C7">
        <w:rPr>
          <w:rFonts w:ascii="Verdana" w:hAnsi="Verdana"/>
          <w:sz w:val="18"/>
          <w:szCs w:val="18"/>
        </w:rPr>
        <w:t xml:space="preserve"> </w:t>
      </w:r>
      <w:r w:rsidRPr="00B76715" w:rsidR="00F851AB">
        <w:rPr>
          <w:rFonts w:ascii="Verdana" w:hAnsi="Verdana"/>
          <w:sz w:val="18"/>
          <w:szCs w:val="18"/>
        </w:rPr>
        <w:t xml:space="preserve">Het gebruik van passagiersgegevens speelt een essentiële rol bij het voorkomen, opsporen, onderzoeken en vervolgen van terrorisme en ernstige criminaliteit, zonder de reismogelijkheden van reguliere passagiers te belemmeren. Gezien het grensoverschrijdende karakter van terrorisme steunt het kabinet het initiatief van de Commissie om, in samenwerking met de lidstaten en de transportsector, de mogelijkheden te onderzoeken voor het verder versterken van het bestaande Europese </w:t>
      </w:r>
      <w:r w:rsidRPr="00B76715" w:rsidR="00F851AB">
        <w:rPr>
          <w:rFonts w:ascii="Verdana" w:hAnsi="Verdana"/>
          <w:i/>
          <w:iCs/>
          <w:sz w:val="18"/>
          <w:szCs w:val="18"/>
        </w:rPr>
        <w:t>Advance Passenger Information</w:t>
      </w:r>
      <w:r w:rsidRPr="00B76715" w:rsidR="00F851AB">
        <w:rPr>
          <w:rFonts w:ascii="Verdana" w:hAnsi="Verdana"/>
          <w:sz w:val="18"/>
          <w:szCs w:val="18"/>
        </w:rPr>
        <w:t xml:space="preserve"> (API)/</w:t>
      </w:r>
      <w:r w:rsidRPr="00B76715" w:rsidR="00F851AB">
        <w:rPr>
          <w:rFonts w:ascii="Verdana" w:hAnsi="Verdana"/>
          <w:i/>
          <w:iCs/>
          <w:sz w:val="18"/>
          <w:szCs w:val="18"/>
        </w:rPr>
        <w:t xml:space="preserve">Passenger Name </w:t>
      </w:r>
      <w:r w:rsidRPr="00B76715" w:rsidR="00F851AB">
        <w:rPr>
          <w:rFonts w:ascii="Verdana" w:hAnsi="Verdana"/>
          <w:i/>
          <w:iCs/>
          <w:sz w:val="18"/>
          <w:szCs w:val="18"/>
        </w:rPr>
        <w:lastRenderedPageBreak/>
        <w:t>Records</w:t>
      </w:r>
      <w:r w:rsidRPr="00B76715" w:rsidR="00F851AB">
        <w:rPr>
          <w:rFonts w:ascii="Verdana" w:hAnsi="Verdana"/>
          <w:sz w:val="18"/>
          <w:szCs w:val="18"/>
        </w:rPr>
        <w:t xml:space="preserve"> (PNR)-raamwerk. Dit omvat onder andere het delen van </w:t>
      </w:r>
      <w:r w:rsidRPr="00B76715" w:rsidR="00F851AB">
        <w:rPr>
          <w:rFonts w:ascii="Verdana" w:hAnsi="Verdana"/>
          <w:i/>
          <w:iCs/>
          <w:sz w:val="18"/>
          <w:szCs w:val="18"/>
        </w:rPr>
        <w:t>best practices</w:t>
      </w:r>
      <w:r w:rsidRPr="00B76715" w:rsidR="00F851AB">
        <w:rPr>
          <w:rFonts w:ascii="Verdana" w:hAnsi="Verdana"/>
          <w:sz w:val="18"/>
          <w:szCs w:val="18"/>
        </w:rPr>
        <w:t xml:space="preserve"> op het gebied van het gebruik van passagiersgegevens binnen Europees verband.</w:t>
      </w:r>
      <w:r w:rsidRPr="00B76715" w:rsidR="00971918">
        <w:rPr>
          <w:rFonts w:ascii="Verdana" w:hAnsi="Verdana"/>
          <w:sz w:val="18"/>
          <w:szCs w:val="18"/>
        </w:rPr>
        <w:t xml:space="preserve"> </w:t>
      </w:r>
      <w:r w:rsidRPr="00B76715" w:rsidR="00272CC6">
        <w:rPr>
          <w:rFonts w:ascii="Verdana" w:hAnsi="Verdana"/>
          <w:sz w:val="18"/>
          <w:szCs w:val="18"/>
        </w:rPr>
        <w:t xml:space="preserve">Het kabinet </w:t>
      </w:r>
      <w:r w:rsidRPr="00B76715" w:rsidR="00995B79">
        <w:rPr>
          <w:rFonts w:ascii="Verdana" w:hAnsi="Verdana"/>
          <w:sz w:val="18"/>
          <w:szCs w:val="18"/>
        </w:rPr>
        <w:t xml:space="preserve">volgt de ontwikkelingen rondom het voornemen van de Commissie om de mogelijkheden te onderzoeken om het gebruik van passagiersgegevens voor rechtshandhavingsdoeleinden uit te breiden naar maritieme en landvervoerders op de voet. Op dit moment is het </w:t>
      </w:r>
      <w:r w:rsidR="00E54FCC">
        <w:rPr>
          <w:rFonts w:ascii="Verdana" w:hAnsi="Verdana"/>
          <w:sz w:val="18"/>
          <w:szCs w:val="18"/>
        </w:rPr>
        <w:t>k</w:t>
      </w:r>
      <w:r w:rsidRPr="00B76715" w:rsidR="00995B79">
        <w:rPr>
          <w:rFonts w:ascii="Verdana" w:hAnsi="Verdana"/>
          <w:sz w:val="18"/>
          <w:szCs w:val="18"/>
        </w:rPr>
        <w:t>abinet niet voornemens om, vooruitlopend op de Europese ontwikkelingen, hier aanvullende nationale wetgeving voor op te stellen.</w:t>
      </w:r>
    </w:p>
    <w:p w:rsidRPr="00B76715" w:rsidR="00BA1635" w:rsidP="00BA1635" w:rsidRDefault="00BA1635" w14:paraId="0ED1E2C9" w14:textId="77777777">
      <w:pPr>
        <w:spacing w:after="0" w:line="360" w:lineRule="auto"/>
        <w:rPr>
          <w:rFonts w:ascii="Verdana" w:hAnsi="Verdana"/>
          <w:sz w:val="18"/>
          <w:szCs w:val="18"/>
        </w:rPr>
      </w:pPr>
    </w:p>
    <w:p w:rsidR="0006632B" w:rsidP="00BA1635" w:rsidRDefault="00A2758F" w14:paraId="631AA8E6" w14:textId="5B1040FD">
      <w:pPr>
        <w:spacing w:after="0" w:line="360" w:lineRule="auto"/>
        <w:rPr>
          <w:rFonts w:ascii="Verdana" w:hAnsi="Verdana"/>
          <w:sz w:val="18"/>
          <w:szCs w:val="18"/>
        </w:rPr>
      </w:pPr>
      <w:r w:rsidRPr="00B76715">
        <w:rPr>
          <w:rFonts w:ascii="Verdana" w:hAnsi="Verdana"/>
          <w:sz w:val="18"/>
          <w:szCs w:val="18"/>
        </w:rPr>
        <w:t xml:space="preserve">In de </w:t>
      </w:r>
      <w:r w:rsidRPr="00B76715" w:rsidR="00A2647A">
        <w:rPr>
          <w:rFonts w:ascii="Verdana" w:hAnsi="Verdana"/>
          <w:sz w:val="18"/>
          <w:szCs w:val="18"/>
        </w:rPr>
        <w:t>agenda</w:t>
      </w:r>
      <w:r w:rsidRPr="00B76715">
        <w:rPr>
          <w:rFonts w:ascii="Verdana" w:hAnsi="Verdana"/>
          <w:sz w:val="18"/>
          <w:szCs w:val="18"/>
        </w:rPr>
        <w:t xml:space="preserve"> wordt verwezen naar het </w:t>
      </w:r>
      <w:r w:rsidRPr="00B76715">
        <w:rPr>
          <w:rFonts w:ascii="Verdana" w:hAnsi="Verdana"/>
          <w:i/>
          <w:iCs/>
          <w:sz w:val="18"/>
          <w:szCs w:val="18"/>
        </w:rPr>
        <w:t xml:space="preserve">EU </w:t>
      </w:r>
      <w:r w:rsidRPr="00B76715" w:rsidR="00CE0B64">
        <w:rPr>
          <w:rFonts w:ascii="Verdana" w:hAnsi="Verdana"/>
          <w:i/>
          <w:iCs/>
          <w:sz w:val="18"/>
          <w:szCs w:val="18"/>
        </w:rPr>
        <w:t>Actionplan on Drone and Counter-Drone Security</w:t>
      </w:r>
      <w:r w:rsidRPr="00B76715">
        <w:rPr>
          <w:rFonts w:ascii="Verdana" w:hAnsi="Verdana"/>
          <w:sz w:val="18"/>
          <w:szCs w:val="18"/>
        </w:rPr>
        <w:t xml:space="preserve">. </w:t>
      </w:r>
      <w:r w:rsidRPr="00B76715" w:rsidR="002C2339">
        <w:rPr>
          <w:rFonts w:ascii="Verdana" w:hAnsi="Verdana"/>
          <w:sz w:val="18"/>
          <w:szCs w:val="18"/>
        </w:rPr>
        <w:t>Het kabinet verwelkomt</w:t>
      </w:r>
      <w:r w:rsidRPr="00B76715">
        <w:rPr>
          <w:rFonts w:ascii="Verdana" w:hAnsi="Verdana"/>
          <w:sz w:val="18"/>
          <w:szCs w:val="18"/>
        </w:rPr>
        <w:t xml:space="preserve"> de voorstellen uit dit actieplan </w:t>
      </w:r>
      <w:r w:rsidRPr="00B76715" w:rsidR="002C2339">
        <w:rPr>
          <w:rFonts w:ascii="Verdana" w:hAnsi="Verdana"/>
          <w:sz w:val="18"/>
          <w:szCs w:val="18"/>
        </w:rPr>
        <w:t xml:space="preserve">en heeft de Tweede Kamer hierover in het desbetreffende BNC-fiche </w:t>
      </w:r>
      <w:r w:rsidRPr="004D4534" w:rsidR="002C2339">
        <w:rPr>
          <w:rFonts w:ascii="Verdana" w:hAnsi="Verdana"/>
          <w:sz w:val="18"/>
          <w:szCs w:val="18"/>
        </w:rPr>
        <w:t>geïnformeerd.</w:t>
      </w:r>
      <w:r w:rsidRPr="004D4534">
        <w:rPr>
          <w:rStyle w:val="FootnoteReference"/>
          <w:rFonts w:ascii="Verdana" w:hAnsi="Verdana"/>
          <w:sz w:val="18"/>
          <w:szCs w:val="18"/>
        </w:rPr>
        <w:footnoteReference w:id="14"/>
      </w:r>
      <w:r w:rsidRPr="004D4534">
        <w:rPr>
          <w:rFonts w:ascii="Verdana" w:hAnsi="Verdana"/>
          <w:sz w:val="18"/>
          <w:szCs w:val="18"/>
        </w:rPr>
        <w:t xml:space="preserve"> Het kabinet</w:t>
      </w:r>
      <w:r w:rsidRPr="00B76715">
        <w:rPr>
          <w:rFonts w:ascii="Verdana" w:hAnsi="Verdana"/>
          <w:sz w:val="18"/>
          <w:szCs w:val="18"/>
        </w:rPr>
        <w:t xml:space="preserve"> onderschrijft </w:t>
      </w:r>
      <w:r w:rsidRPr="00B76715" w:rsidR="0006632B">
        <w:rPr>
          <w:rFonts w:ascii="Verdana" w:hAnsi="Verdana"/>
          <w:sz w:val="18"/>
          <w:szCs w:val="18"/>
        </w:rPr>
        <w:t>de ambitie van de Commissie om nieuwe trends en ontwikkelingen op het gebied van modus operandi en aanslagmiddelen nauwgezet te monitoren, en om onderzoek hiernaar een integraal onderdeel van deze inspanningen te laten zijn.</w:t>
      </w:r>
      <w:r w:rsidRPr="00B76715" w:rsidR="00714DA6">
        <w:rPr>
          <w:rFonts w:ascii="Verdana" w:hAnsi="Verdana"/>
          <w:sz w:val="18"/>
          <w:szCs w:val="18"/>
        </w:rPr>
        <w:t xml:space="preserve"> </w:t>
      </w:r>
      <w:r w:rsidRPr="00B76715" w:rsidR="0006632B">
        <w:rPr>
          <w:rFonts w:ascii="Verdana" w:hAnsi="Verdana"/>
          <w:sz w:val="18"/>
          <w:szCs w:val="18"/>
        </w:rPr>
        <w:t xml:space="preserve">Daarnaast </w:t>
      </w:r>
      <w:r w:rsidRPr="00B76715">
        <w:rPr>
          <w:rFonts w:ascii="Verdana" w:hAnsi="Verdana"/>
          <w:sz w:val="18"/>
          <w:szCs w:val="18"/>
        </w:rPr>
        <w:t>spreekt het kabinet haar</w:t>
      </w:r>
      <w:r w:rsidRPr="00B76715" w:rsidR="0006632B">
        <w:rPr>
          <w:rFonts w:ascii="Verdana" w:hAnsi="Verdana"/>
          <w:sz w:val="18"/>
          <w:szCs w:val="18"/>
        </w:rPr>
        <w:t xml:space="preserve"> waardering uit voor het werk van de Commissie met betrekking tot het</w:t>
      </w:r>
      <w:r w:rsidRPr="00B76715" w:rsidR="001630D6">
        <w:rPr>
          <w:rFonts w:ascii="Verdana" w:hAnsi="Verdana"/>
          <w:sz w:val="18"/>
          <w:szCs w:val="18"/>
        </w:rPr>
        <w:t xml:space="preserve"> </w:t>
      </w:r>
      <w:r w:rsidRPr="00B76715" w:rsidR="00FB0643">
        <w:rPr>
          <w:rFonts w:ascii="Verdana" w:hAnsi="Verdana"/>
          <w:sz w:val="18"/>
          <w:szCs w:val="18"/>
        </w:rPr>
        <w:t xml:space="preserve">voorstel voor een richtlijn ter bestrijding van de illegale handel in vuurwapens en andere vormen van vuurwapencriminaliteit, </w:t>
      </w:r>
      <w:r w:rsidRPr="00B76715" w:rsidR="0006632B">
        <w:rPr>
          <w:rFonts w:ascii="Verdana" w:hAnsi="Verdana"/>
          <w:sz w:val="18"/>
          <w:szCs w:val="18"/>
        </w:rPr>
        <w:t xml:space="preserve">de </w:t>
      </w:r>
      <w:r w:rsidRPr="00B76715" w:rsidR="006258D8">
        <w:rPr>
          <w:rFonts w:ascii="Verdana" w:hAnsi="Verdana"/>
          <w:sz w:val="18"/>
          <w:szCs w:val="18"/>
        </w:rPr>
        <w:t>herziening van de</w:t>
      </w:r>
      <w:r w:rsidRPr="00B76715" w:rsidR="007B32C7">
        <w:rPr>
          <w:rFonts w:ascii="Verdana" w:hAnsi="Verdana"/>
          <w:sz w:val="18"/>
          <w:szCs w:val="18"/>
        </w:rPr>
        <w:t xml:space="preserve"> EU-verordening over precursoren voor explosieven </w:t>
      </w:r>
      <w:r w:rsidRPr="00B76715" w:rsidR="0006632B">
        <w:rPr>
          <w:rFonts w:ascii="Verdana" w:hAnsi="Verdana"/>
          <w:sz w:val="18"/>
          <w:szCs w:val="18"/>
        </w:rPr>
        <w:t xml:space="preserve">en het </w:t>
      </w:r>
      <w:r w:rsidRPr="00B76715" w:rsidR="0006632B">
        <w:rPr>
          <w:rFonts w:ascii="Verdana" w:hAnsi="Verdana"/>
          <w:i/>
          <w:iCs/>
          <w:sz w:val="18"/>
          <w:szCs w:val="18"/>
        </w:rPr>
        <w:t>CBRN Preparedness and Response Action Plan</w:t>
      </w:r>
      <w:r w:rsidRPr="00B76715" w:rsidR="0006632B">
        <w:rPr>
          <w:rFonts w:ascii="Verdana" w:hAnsi="Verdana"/>
          <w:sz w:val="18"/>
          <w:szCs w:val="18"/>
        </w:rPr>
        <w:t xml:space="preserve">. In deze initiatieven </w:t>
      </w:r>
      <w:r w:rsidRPr="00B76715">
        <w:rPr>
          <w:rFonts w:ascii="Verdana" w:hAnsi="Verdana"/>
          <w:sz w:val="18"/>
          <w:szCs w:val="18"/>
        </w:rPr>
        <w:t>ziet het kabinet</w:t>
      </w:r>
      <w:r w:rsidRPr="00B76715" w:rsidR="0006632B">
        <w:rPr>
          <w:rFonts w:ascii="Verdana" w:hAnsi="Verdana"/>
          <w:sz w:val="18"/>
          <w:szCs w:val="18"/>
        </w:rPr>
        <w:t>, naast het belang van een robuust EU-breed programma voor training en oefeningen, tevens mogelijkheden om de internationale informatie-uitwisseling verder te versterken. Een verbeterde uitwisseling van informatie kan bijdragen aan het tijdig signaleren van nieuwe trends en ontwikkelingen en ondersteunt daarmee de bredere doelstellingen van de Commissie</w:t>
      </w:r>
      <w:r w:rsidRPr="00B76715" w:rsidR="005163C5">
        <w:rPr>
          <w:rFonts w:ascii="Verdana" w:hAnsi="Verdana"/>
          <w:sz w:val="18"/>
          <w:szCs w:val="18"/>
        </w:rPr>
        <w:t xml:space="preserve">. </w:t>
      </w:r>
      <w:r w:rsidRPr="00B76715" w:rsidR="0006632B">
        <w:rPr>
          <w:rFonts w:ascii="Verdana" w:hAnsi="Verdana"/>
          <w:sz w:val="18"/>
          <w:szCs w:val="18"/>
        </w:rPr>
        <w:t xml:space="preserve">Tegelijkertijd </w:t>
      </w:r>
      <w:r w:rsidRPr="00B76715">
        <w:rPr>
          <w:rFonts w:ascii="Verdana" w:hAnsi="Verdana"/>
          <w:sz w:val="18"/>
          <w:szCs w:val="18"/>
        </w:rPr>
        <w:t>wil het kabinet</w:t>
      </w:r>
      <w:r w:rsidRPr="00B76715" w:rsidR="0006632B">
        <w:rPr>
          <w:rFonts w:ascii="Verdana" w:hAnsi="Verdana"/>
          <w:sz w:val="18"/>
          <w:szCs w:val="18"/>
        </w:rPr>
        <w:t xml:space="preserve"> de aandacht vestigen op de toenemende zorgen rondom het misbruik van pyrotechnische artikelen en de momenteel beperkte controle op de beschikbaarheid van deze artikelen binnen de Europese Unie. In dit licht wil</w:t>
      </w:r>
      <w:r w:rsidRPr="00B76715">
        <w:rPr>
          <w:rFonts w:ascii="Verdana" w:hAnsi="Verdana"/>
          <w:sz w:val="18"/>
          <w:szCs w:val="18"/>
        </w:rPr>
        <w:t xml:space="preserve"> het kabinet </w:t>
      </w:r>
      <w:r w:rsidRPr="00B76715" w:rsidR="0006632B">
        <w:rPr>
          <w:rFonts w:ascii="Verdana" w:hAnsi="Verdana"/>
          <w:sz w:val="18"/>
          <w:szCs w:val="18"/>
        </w:rPr>
        <w:t>het belang benadrukken van voortgang in het proces rond de herziening van Richtlijn 2013/29/EU.</w:t>
      </w:r>
      <w:r w:rsidR="00465A68">
        <w:rPr>
          <w:rFonts w:ascii="Verdana" w:hAnsi="Verdana"/>
          <w:sz w:val="18"/>
          <w:szCs w:val="18"/>
        </w:rPr>
        <w:t xml:space="preserve"> Deze richtlijn ziet op de harmonisatie van de wetgevingen van de lidstaten inzake het op de markt aanbieden van pyrotechnische artikelen.</w:t>
      </w:r>
      <w:r w:rsidRPr="00B76715" w:rsidR="0006632B">
        <w:rPr>
          <w:rFonts w:ascii="Verdana" w:hAnsi="Verdana"/>
          <w:sz w:val="18"/>
          <w:szCs w:val="18"/>
        </w:rPr>
        <w:t xml:space="preserve"> </w:t>
      </w:r>
      <w:r w:rsidRPr="00B76715" w:rsidR="00942726">
        <w:rPr>
          <w:rFonts w:ascii="Verdana" w:hAnsi="Verdana"/>
          <w:sz w:val="18"/>
          <w:szCs w:val="18"/>
        </w:rPr>
        <w:t>Het kabinet heeft</w:t>
      </w:r>
      <w:r w:rsidRPr="00B76715" w:rsidR="0006632B">
        <w:rPr>
          <w:rFonts w:ascii="Verdana" w:hAnsi="Verdana"/>
          <w:sz w:val="18"/>
          <w:szCs w:val="18"/>
        </w:rPr>
        <w:t xml:space="preserve"> deze zorgen reeds onder </w:t>
      </w:r>
      <w:r w:rsidRPr="00B76715" w:rsidR="00293510">
        <w:rPr>
          <w:rFonts w:ascii="Verdana" w:hAnsi="Verdana"/>
          <w:sz w:val="18"/>
          <w:szCs w:val="18"/>
        </w:rPr>
        <w:t>de</w:t>
      </w:r>
      <w:r w:rsidRPr="00B76715" w:rsidR="0006632B">
        <w:rPr>
          <w:rFonts w:ascii="Verdana" w:hAnsi="Verdana"/>
          <w:sz w:val="18"/>
          <w:szCs w:val="18"/>
        </w:rPr>
        <w:t xml:space="preserve"> aandacht gebracht in een brief </w:t>
      </w:r>
      <w:r w:rsidRPr="00B76715" w:rsidR="00293510">
        <w:rPr>
          <w:rFonts w:ascii="Verdana" w:hAnsi="Verdana"/>
          <w:sz w:val="18"/>
          <w:szCs w:val="18"/>
        </w:rPr>
        <w:t xml:space="preserve">aan de Commissie </w:t>
      </w:r>
      <w:r w:rsidRPr="00B76715" w:rsidR="0006632B">
        <w:rPr>
          <w:rFonts w:ascii="Verdana" w:hAnsi="Verdana"/>
          <w:sz w:val="18"/>
          <w:szCs w:val="18"/>
        </w:rPr>
        <w:t>die in april 2025 is verzonde</w:t>
      </w:r>
      <w:r w:rsidRPr="00B76715" w:rsidR="00293510">
        <w:rPr>
          <w:rFonts w:ascii="Verdana" w:hAnsi="Verdana"/>
          <w:sz w:val="18"/>
          <w:szCs w:val="18"/>
        </w:rPr>
        <w:t>n.</w:t>
      </w:r>
      <w:r w:rsidR="00FA4A1E">
        <w:rPr>
          <w:rStyle w:val="FootnoteReference"/>
          <w:rFonts w:ascii="Verdana" w:hAnsi="Verdana"/>
          <w:sz w:val="18"/>
          <w:szCs w:val="18"/>
        </w:rPr>
        <w:footnoteReference w:id="15"/>
      </w:r>
      <w:r w:rsidRPr="00B76715" w:rsidR="0006632B">
        <w:rPr>
          <w:rFonts w:ascii="Verdana" w:hAnsi="Verdana"/>
          <w:sz w:val="18"/>
          <w:szCs w:val="18"/>
        </w:rPr>
        <w:t xml:space="preserve"> In aanvulling daarop zal binnenkort een nieuwe gezamenlijke brief van de ministers van Nederland, Frankrijk en Zweden over dit onderwerp aan de </w:t>
      </w:r>
      <w:r w:rsidR="000F6ED8">
        <w:rPr>
          <w:rFonts w:ascii="Verdana" w:hAnsi="Verdana"/>
          <w:sz w:val="18"/>
          <w:szCs w:val="18"/>
        </w:rPr>
        <w:t>Commissie</w:t>
      </w:r>
      <w:r w:rsidRPr="00B76715" w:rsidR="0006632B">
        <w:rPr>
          <w:rFonts w:ascii="Verdana" w:hAnsi="Verdana"/>
          <w:sz w:val="18"/>
          <w:szCs w:val="18"/>
        </w:rPr>
        <w:t xml:space="preserve"> worden verzonden.</w:t>
      </w:r>
    </w:p>
    <w:p w:rsidRPr="00B76715" w:rsidR="00BA1635" w:rsidP="00BA1635" w:rsidRDefault="00BA1635" w14:paraId="0EA955BF" w14:textId="77777777">
      <w:pPr>
        <w:spacing w:after="0" w:line="360" w:lineRule="auto"/>
        <w:rPr>
          <w:rFonts w:ascii="Verdana" w:hAnsi="Verdana"/>
          <w:sz w:val="18"/>
          <w:szCs w:val="18"/>
        </w:rPr>
      </w:pPr>
    </w:p>
    <w:p w:rsidR="001A2B2E" w:rsidP="00BA1635" w:rsidRDefault="000F6ED8" w14:paraId="74AD944F" w14:textId="041D8E3E">
      <w:pPr>
        <w:spacing w:after="0" w:line="360" w:lineRule="auto"/>
        <w:rPr>
          <w:rFonts w:ascii="Verdana" w:hAnsi="Verdana"/>
          <w:sz w:val="18"/>
          <w:szCs w:val="18"/>
        </w:rPr>
      </w:pPr>
      <w:r w:rsidRPr="00D71D11">
        <w:rPr>
          <w:rFonts w:ascii="Verdana" w:hAnsi="Verdana"/>
          <w:sz w:val="18"/>
          <w:szCs w:val="18"/>
        </w:rPr>
        <w:t>Ten aanzien van de inzet van de Commissie op het tegengaan van terro</w:t>
      </w:r>
      <w:r w:rsidRPr="00D71D11" w:rsidR="0081756C">
        <w:rPr>
          <w:rFonts w:ascii="Verdana" w:hAnsi="Verdana"/>
          <w:sz w:val="18"/>
          <w:szCs w:val="18"/>
        </w:rPr>
        <w:t>ris</w:t>
      </w:r>
      <w:r w:rsidRPr="00D71D11">
        <w:rPr>
          <w:rFonts w:ascii="Verdana" w:hAnsi="Verdana"/>
          <w:sz w:val="18"/>
          <w:szCs w:val="18"/>
        </w:rPr>
        <w:t xml:space="preserve">mefinanciering en ongewenste buitenlandse financiering, </w:t>
      </w:r>
      <w:r w:rsidRPr="00D71D11" w:rsidR="00A2758F">
        <w:rPr>
          <w:rFonts w:ascii="Verdana" w:hAnsi="Verdana"/>
          <w:sz w:val="18"/>
          <w:szCs w:val="18"/>
        </w:rPr>
        <w:t xml:space="preserve">benadrukt het kabinet het belang </w:t>
      </w:r>
      <w:r w:rsidRPr="00D71D11">
        <w:rPr>
          <w:rFonts w:ascii="Verdana" w:hAnsi="Verdana"/>
          <w:sz w:val="18"/>
          <w:szCs w:val="18"/>
        </w:rPr>
        <w:t>om</w:t>
      </w:r>
      <w:r w:rsidRPr="00D71D11" w:rsidR="00A2758F">
        <w:rPr>
          <w:rFonts w:ascii="Verdana" w:hAnsi="Verdana"/>
          <w:sz w:val="18"/>
          <w:szCs w:val="18"/>
        </w:rPr>
        <w:t xml:space="preserve"> onderscheid </w:t>
      </w:r>
      <w:r w:rsidRPr="00D71D11">
        <w:rPr>
          <w:rFonts w:ascii="Verdana" w:hAnsi="Verdana"/>
          <w:sz w:val="18"/>
          <w:szCs w:val="18"/>
        </w:rPr>
        <w:t xml:space="preserve">te blijven </w:t>
      </w:r>
      <w:r w:rsidRPr="00D71D11" w:rsidR="00A2758F">
        <w:rPr>
          <w:rFonts w:ascii="Verdana" w:hAnsi="Verdana"/>
          <w:sz w:val="18"/>
          <w:szCs w:val="18"/>
        </w:rPr>
        <w:t xml:space="preserve">maken tussen </w:t>
      </w:r>
      <w:r w:rsidRPr="00D71D11">
        <w:rPr>
          <w:rFonts w:ascii="Verdana" w:hAnsi="Verdana"/>
          <w:sz w:val="18"/>
          <w:szCs w:val="18"/>
        </w:rPr>
        <w:t>deze twee onderwerpen</w:t>
      </w:r>
      <w:r w:rsidRPr="00D71D11" w:rsidR="00A2758F">
        <w:rPr>
          <w:rFonts w:ascii="Verdana" w:hAnsi="Verdana"/>
          <w:sz w:val="18"/>
          <w:szCs w:val="18"/>
        </w:rPr>
        <w:t xml:space="preserve">. </w:t>
      </w:r>
      <w:r w:rsidRPr="00D71D11" w:rsidR="008A7051">
        <w:rPr>
          <w:rFonts w:ascii="Verdana" w:hAnsi="Verdana"/>
          <w:sz w:val="18"/>
          <w:szCs w:val="18"/>
        </w:rPr>
        <w:t xml:space="preserve">Gerichte financiële stromen richting de EU kunnen overigens wel bijdragen aan </w:t>
      </w:r>
      <w:r w:rsidRPr="00D71D11" w:rsidR="00670A12">
        <w:rPr>
          <w:rFonts w:ascii="Verdana" w:hAnsi="Verdana"/>
          <w:sz w:val="18"/>
          <w:szCs w:val="18"/>
        </w:rPr>
        <w:t xml:space="preserve">onder andere </w:t>
      </w:r>
      <w:r w:rsidRPr="00D71D11" w:rsidR="008A7051">
        <w:rPr>
          <w:rFonts w:ascii="Verdana" w:hAnsi="Verdana"/>
          <w:sz w:val="18"/>
          <w:szCs w:val="18"/>
        </w:rPr>
        <w:t>radicalisering en polarisatie</w:t>
      </w:r>
      <w:r w:rsidRPr="00D71D11" w:rsidR="00205B55">
        <w:rPr>
          <w:rFonts w:ascii="Verdana" w:hAnsi="Verdana"/>
          <w:sz w:val="18"/>
          <w:szCs w:val="18"/>
        </w:rPr>
        <w:t>.</w:t>
      </w:r>
    </w:p>
    <w:p w:rsidRPr="00B76715" w:rsidR="00190B64" w:rsidP="00BA1635" w:rsidRDefault="00190B64" w14:paraId="711A16BC" w14:textId="77777777">
      <w:pPr>
        <w:spacing w:after="0" w:line="360" w:lineRule="auto"/>
        <w:rPr>
          <w:rFonts w:ascii="Verdana" w:hAnsi="Verdana"/>
          <w:sz w:val="18"/>
          <w:szCs w:val="18"/>
        </w:rPr>
      </w:pPr>
    </w:p>
    <w:p w:rsidR="00460A16" w:rsidP="00BA1635" w:rsidRDefault="00153DFC" w14:paraId="542B43F3" w14:textId="02ACE387">
      <w:pPr>
        <w:spacing w:after="0" w:line="360" w:lineRule="auto"/>
        <w:rPr>
          <w:rFonts w:ascii="Verdana" w:hAnsi="Verdana"/>
          <w:sz w:val="18"/>
          <w:szCs w:val="18"/>
        </w:rPr>
      </w:pPr>
      <w:r w:rsidRPr="00B76715">
        <w:rPr>
          <w:rFonts w:ascii="Verdana" w:hAnsi="Verdana"/>
          <w:sz w:val="18"/>
          <w:szCs w:val="18"/>
        </w:rPr>
        <w:t>Het kabinet benadrukt, w</w:t>
      </w:r>
      <w:r w:rsidRPr="00B76715" w:rsidR="00C81CFB">
        <w:rPr>
          <w:rFonts w:ascii="Verdana" w:hAnsi="Verdana"/>
          <w:sz w:val="18"/>
          <w:szCs w:val="18"/>
        </w:rPr>
        <w:t xml:space="preserve">at betreft </w:t>
      </w:r>
      <w:r w:rsidRPr="00B76715">
        <w:rPr>
          <w:rFonts w:ascii="Verdana" w:hAnsi="Verdana"/>
          <w:sz w:val="18"/>
          <w:szCs w:val="18"/>
        </w:rPr>
        <w:t xml:space="preserve">het </w:t>
      </w:r>
      <w:r w:rsidRPr="00B76715" w:rsidR="00C81CFB">
        <w:rPr>
          <w:rFonts w:ascii="Verdana" w:hAnsi="Verdana"/>
          <w:sz w:val="18"/>
          <w:szCs w:val="18"/>
        </w:rPr>
        <w:t>versterken</w:t>
      </w:r>
      <w:r w:rsidRPr="00B76715">
        <w:rPr>
          <w:rFonts w:ascii="Verdana" w:hAnsi="Verdana"/>
          <w:sz w:val="18"/>
          <w:szCs w:val="18"/>
        </w:rPr>
        <w:t xml:space="preserve"> van de</w:t>
      </w:r>
      <w:r w:rsidRPr="00B76715" w:rsidR="00C81CFB">
        <w:rPr>
          <w:rFonts w:ascii="Verdana" w:hAnsi="Verdana"/>
          <w:sz w:val="18"/>
          <w:szCs w:val="18"/>
        </w:rPr>
        <w:t xml:space="preserve"> juridische samenwerking</w:t>
      </w:r>
      <w:r w:rsidR="00E54FCC">
        <w:rPr>
          <w:rFonts w:ascii="Verdana" w:hAnsi="Verdana"/>
          <w:sz w:val="18"/>
          <w:szCs w:val="18"/>
        </w:rPr>
        <w:t>,</w:t>
      </w:r>
      <w:r w:rsidRPr="00B76715" w:rsidR="00C81CFB">
        <w:rPr>
          <w:rFonts w:ascii="Verdana" w:hAnsi="Verdana"/>
          <w:sz w:val="18"/>
          <w:szCs w:val="18"/>
        </w:rPr>
        <w:t xml:space="preserve"> </w:t>
      </w:r>
      <w:r w:rsidRPr="00B76715">
        <w:rPr>
          <w:rFonts w:ascii="Verdana" w:hAnsi="Verdana"/>
          <w:sz w:val="18"/>
          <w:szCs w:val="18"/>
        </w:rPr>
        <w:t>om in het</w:t>
      </w:r>
      <w:r w:rsidRPr="00B76715" w:rsidR="00C81CFB">
        <w:rPr>
          <w:rFonts w:ascii="Verdana" w:hAnsi="Verdana"/>
          <w:sz w:val="18"/>
          <w:szCs w:val="18"/>
        </w:rPr>
        <w:t xml:space="preserve"> bijzonder aandacht </w:t>
      </w:r>
      <w:r w:rsidRPr="00B76715">
        <w:rPr>
          <w:rFonts w:ascii="Verdana" w:hAnsi="Verdana"/>
          <w:sz w:val="18"/>
          <w:szCs w:val="18"/>
        </w:rPr>
        <w:t>te hebben</w:t>
      </w:r>
      <w:r w:rsidRPr="00B76715" w:rsidR="00C81CFB">
        <w:rPr>
          <w:rFonts w:ascii="Verdana" w:hAnsi="Verdana"/>
          <w:sz w:val="18"/>
          <w:szCs w:val="18"/>
        </w:rPr>
        <w:t xml:space="preserve"> en blijven </w:t>
      </w:r>
      <w:r w:rsidRPr="00B76715">
        <w:rPr>
          <w:rFonts w:ascii="Verdana" w:hAnsi="Verdana"/>
          <w:sz w:val="18"/>
          <w:szCs w:val="18"/>
        </w:rPr>
        <w:t xml:space="preserve">houden </w:t>
      </w:r>
      <w:r w:rsidRPr="00B76715" w:rsidR="00C81CFB">
        <w:rPr>
          <w:rFonts w:ascii="Verdana" w:hAnsi="Verdana"/>
          <w:sz w:val="18"/>
          <w:szCs w:val="18"/>
        </w:rPr>
        <w:t xml:space="preserve">voor (samenwerking ten behoeve van) cumulatieve vervolging voor zowel terrorisme als internationale misdrijven zoals oorlogsmisdrijven, </w:t>
      </w:r>
      <w:r w:rsidRPr="00B76715" w:rsidR="00C81CFB">
        <w:rPr>
          <w:rFonts w:ascii="Verdana" w:hAnsi="Verdana"/>
          <w:sz w:val="18"/>
          <w:szCs w:val="18"/>
        </w:rPr>
        <w:lastRenderedPageBreak/>
        <w:t xml:space="preserve">misdrijven tegen de menselijkheid en genocide. </w:t>
      </w:r>
      <w:r w:rsidR="006B110E">
        <w:rPr>
          <w:rFonts w:ascii="Verdana" w:hAnsi="Verdana"/>
          <w:sz w:val="18"/>
          <w:szCs w:val="18"/>
        </w:rPr>
        <w:t>Aandacht hiervoor is van belang, omdat het zorgt voor volledige strafrechtelijke aansprakelijkheid en gerechtigheid voor slachtoffers.</w:t>
      </w:r>
    </w:p>
    <w:p w:rsidRPr="00B76715" w:rsidR="00190B64" w:rsidP="00BA1635" w:rsidRDefault="00190B64" w14:paraId="084B19F6" w14:textId="77777777">
      <w:pPr>
        <w:spacing w:after="0" w:line="360" w:lineRule="auto"/>
        <w:rPr>
          <w:rFonts w:ascii="Verdana" w:hAnsi="Verdana"/>
          <w:sz w:val="18"/>
          <w:szCs w:val="18"/>
        </w:rPr>
      </w:pPr>
    </w:p>
    <w:p w:rsidR="00FB0643" w:rsidP="00BA1635" w:rsidRDefault="00942726" w14:paraId="296A53F0" w14:textId="69B9F024">
      <w:pPr>
        <w:spacing w:after="0" w:line="360" w:lineRule="auto"/>
        <w:rPr>
          <w:rFonts w:ascii="Verdana" w:hAnsi="Verdana"/>
          <w:sz w:val="18"/>
          <w:szCs w:val="18"/>
        </w:rPr>
      </w:pPr>
      <w:r w:rsidRPr="00B76715">
        <w:rPr>
          <w:rFonts w:ascii="Verdana" w:hAnsi="Verdana"/>
          <w:sz w:val="18"/>
          <w:szCs w:val="18"/>
        </w:rPr>
        <w:t xml:space="preserve">In lijn met de </w:t>
      </w:r>
      <w:r w:rsidR="00670A12">
        <w:rPr>
          <w:rFonts w:ascii="Verdana" w:hAnsi="Verdana"/>
          <w:sz w:val="18"/>
          <w:szCs w:val="18"/>
        </w:rPr>
        <w:t>NCTS</w:t>
      </w:r>
      <w:r w:rsidRPr="00B76715">
        <w:rPr>
          <w:rFonts w:ascii="Verdana" w:hAnsi="Verdana"/>
          <w:sz w:val="18"/>
          <w:szCs w:val="18"/>
        </w:rPr>
        <w:t>, blijft het kabinet ook in Europees verband inzetten op gezamenlijke bestrijding van terrorisme</w:t>
      </w:r>
      <w:r w:rsidRPr="00B76715" w:rsidR="00741938">
        <w:rPr>
          <w:rFonts w:ascii="Verdana" w:hAnsi="Verdana"/>
          <w:sz w:val="18"/>
          <w:szCs w:val="18"/>
        </w:rPr>
        <w:t xml:space="preserve"> </w:t>
      </w:r>
      <w:r w:rsidR="008B59F5">
        <w:rPr>
          <w:rFonts w:ascii="Verdana" w:hAnsi="Verdana"/>
          <w:sz w:val="18"/>
          <w:szCs w:val="18"/>
        </w:rPr>
        <w:t xml:space="preserve">en gewelddadig extremisme </w:t>
      </w:r>
      <w:r w:rsidRPr="00B76715" w:rsidR="00741938">
        <w:rPr>
          <w:rFonts w:ascii="Verdana" w:hAnsi="Verdana"/>
          <w:sz w:val="18"/>
          <w:szCs w:val="18"/>
        </w:rPr>
        <w:t xml:space="preserve">en het versterken van onze veiligheid. </w:t>
      </w:r>
      <w:r w:rsidR="009D28A2">
        <w:rPr>
          <w:rFonts w:ascii="Verdana" w:hAnsi="Verdana"/>
          <w:sz w:val="18"/>
          <w:szCs w:val="18"/>
        </w:rPr>
        <w:t>Daarnaast wordt i</w:t>
      </w:r>
      <w:r w:rsidRPr="00B76715" w:rsidR="00741938">
        <w:rPr>
          <w:rFonts w:ascii="Verdana" w:hAnsi="Verdana"/>
          <w:sz w:val="18"/>
          <w:szCs w:val="18"/>
        </w:rPr>
        <w:t xml:space="preserve">nternationaal </w:t>
      </w:r>
      <w:proofErr w:type="spellStart"/>
      <w:r w:rsidRPr="00B76715" w:rsidR="00741938">
        <w:rPr>
          <w:rFonts w:ascii="Verdana" w:hAnsi="Verdana"/>
          <w:sz w:val="18"/>
          <w:szCs w:val="18"/>
        </w:rPr>
        <w:t>contraterrorismebeleid</w:t>
      </w:r>
      <w:proofErr w:type="spellEnd"/>
      <w:r w:rsidRPr="00B76715" w:rsidR="00741938">
        <w:rPr>
          <w:rFonts w:ascii="Verdana" w:hAnsi="Verdana"/>
          <w:sz w:val="18"/>
          <w:szCs w:val="18"/>
        </w:rPr>
        <w:t xml:space="preserve"> vormgegeven middels verschillende multilaterale fora zoals de Anti-ISIS-coalitie</w:t>
      </w:r>
      <w:r w:rsidR="001C7279">
        <w:rPr>
          <w:rFonts w:ascii="Verdana" w:hAnsi="Verdana"/>
          <w:sz w:val="18"/>
          <w:szCs w:val="18"/>
        </w:rPr>
        <w:t xml:space="preserve"> en </w:t>
      </w:r>
      <w:r w:rsidR="00555763">
        <w:rPr>
          <w:rFonts w:ascii="Verdana" w:hAnsi="Verdana"/>
          <w:sz w:val="18"/>
          <w:szCs w:val="18"/>
        </w:rPr>
        <w:t xml:space="preserve">het </w:t>
      </w:r>
      <w:r w:rsidR="00555763">
        <w:rPr>
          <w:rFonts w:ascii="Verdana" w:hAnsi="Verdana"/>
          <w:i/>
          <w:iCs/>
          <w:sz w:val="18"/>
          <w:szCs w:val="18"/>
        </w:rPr>
        <w:t xml:space="preserve">Global Counter Terrorism Forum </w:t>
      </w:r>
      <w:r w:rsidRPr="001670BD" w:rsidR="00555763">
        <w:rPr>
          <w:rFonts w:ascii="Verdana" w:hAnsi="Verdana"/>
          <w:sz w:val="18"/>
          <w:szCs w:val="18"/>
        </w:rPr>
        <w:t>(</w:t>
      </w:r>
      <w:r w:rsidR="001C7279">
        <w:rPr>
          <w:rFonts w:ascii="Verdana" w:hAnsi="Verdana"/>
          <w:sz w:val="18"/>
          <w:szCs w:val="18"/>
        </w:rPr>
        <w:t>GCTF</w:t>
      </w:r>
      <w:r w:rsidR="00555763">
        <w:rPr>
          <w:rFonts w:ascii="Verdana" w:hAnsi="Verdana"/>
          <w:sz w:val="18"/>
          <w:szCs w:val="18"/>
        </w:rPr>
        <w:t>)</w:t>
      </w:r>
      <w:r w:rsidRPr="00B76715" w:rsidR="00741938">
        <w:rPr>
          <w:rFonts w:ascii="Verdana" w:hAnsi="Verdana"/>
          <w:sz w:val="18"/>
          <w:szCs w:val="18"/>
        </w:rPr>
        <w:t>. Gezamenlijk kunnen nieuwe mondiale terrorismedreigingen geïdentificeerd, geduid en aangepakt worden, in lijn met onze nationale prioriteiten</w:t>
      </w:r>
      <w:r w:rsidRPr="00B76715">
        <w:rPr>
          <w:rFonts w:ascii="Verdana" w:hAnsi="Verdana"/>
          <w:sz w:val="18"/>
          <w:szCs w:val="18"/>
        </w:rPr>
        <w:t xml:space="preserve">. Daarbij blijft het uitwisselen van informatie </w:t>
      </w:r>
      <w:r w:rsidRPr="00B76715" w:rsidR="00741938">
        <w:rPr>
          <w:rFonts w:ascii="Verdana" w:hAnsi="Verdana"/>
          <w:sz w:val="18"/>
          <w:szCs w:val="18"/>
        </w:rPr>
        <w:t xml:space="preserve">en de samenwerking </w:t>
      </w:r>
      <w:r w:rsidRPr="00B76715">
        <w:rPr>
          <w:rFonts w:ascii="Verdana" w:hAnsi="Verdana"/>
          <w:sz w:val="18"/>
          <w:szCs w:val="18"/>
        </w:rPr>
        <w:t>tussen lidstaten</w:t>
      </w:r>
      <w:r w:rsidRPr="00B76715" w:rsidR="00741938">
        <w:rPr>
          <w:rFonts w:ascii="Verdana" w:hAnsi="Verdana"/>
          <w:sz w:val="18"/>
          <w:szCs w:val="18"/>
        </w:rPr>
        <w:t xml:space="preserve"> ook bilateraal</w:t>
      </w:r>
      <w:r w:rsidRPr="00B76715">
        <w:rPr>
          <w:rFonts w:ascii="Verdana" w:hAnsi="Verdana"/>
          <w:sz w:val="18"/>
          <w:szCs w:val="18"/>
        </w:rPr>
        <w:t xml:space="preserve"> van groot belang. </w:t>
      </w:r>
    </w:p>
    <w:p w:rsidRPr="00B76715" w:rsidR="00190B64" w:rsidP="00BA1635" w:rsidRDefault="00190B64" w14:paraId="0EEBE71C" w14:textId="77777777">
      <w:pPr>
        <w:spacing w:after="0" w:line="360" w:lineRule="auto"/>
        <w:rPr>
          <w:rFonts w:ascii="Verdana" w:hAnsi="Verdana"/>
          <w:sz w:val="18"/>
          <w:szCs w:val="18"/>
        </w:rPr>
      </w:pPr>
    </w:p>
    <w:p w:rsidRPr="00B76715" w:rsidR="000F5481" w:rsidP="00BA1635" w:rsidRDefault="000F5481" w14:paraId="187DFDD4" w14:textId="77777777">
      <w:pPr>
        <w:pStyle w:val="ListParagraph"/>
        <w:numPr>
          <w:ilvl w:val="0"/>
          <w:numId w:val="3"/>
        </w:numPr>
        <w:spacing w:after="0" w:line="360" w:lineRule="auto"/>
        <w:rPr>
          <w:rFonts w:ascii="Verdana" w:hAnsi="Verdana"/>
          <w:i/>
          <w:iCs/>
          <w:sz w:val="18"/>
          <w:szCs w:val="18"/>
        </w:rPr>
      </w:pPr>
      <w:r w:rsidRPr="00B76715">
        <w:rPr>
          <w:rFonts w:ascii="Verdana" w:hAnsi="Verdana"/>
          <w:i/>
          <w:iCs/>
          <w:sz w:val="18"/>
          <w:szCs w:val="18"/>
        </w:rPr>
        <w:t xml:space="preserve">Eerste inschatting van krachtenveld </w:t>
      </w:r>
    </w:p>
    <w:p w:rsidRPr="00B76715" w:rsidR="007A6597" w:rsidP="00BA1635" w:rsidRDefault="00A07837" w14:paraId="6FE2043F" w14:textId="0B993511">
      <w:pPr>
        <w:spacing w:after="0" w:line="360" w:lineRule="auto"/>
        <w:rPr>
          <w:rFonts w:ascii="Verdana" w:hAnsi="Verdana"/>
          <w:sz w:val="18"/>
          <w:szCs w:val="18"/>
        </w:rPr>
      </w:pPr>
      <w:r w:rsidRPr="00B76715">
        <w:rPr>
          <w:rFonts w:ascii="Verdana" w:hAnsi="Verdana"/>
          <w:sz w:val="18"/>
          <w:szCs w:val="18"/>
        </w:rPr>
        <w:t>Naar verwachting zal een grote meerderheid van de EU-lidstaten de agenda ondersteunen. In algemene zin onderschrijven alle lidstaten het belang van een brede aanpak van terrorisme en extremistisch geweld. De verwachting is dat lidstaten</w:t>
      </w:r>
      <w:r w:rsidR="00D744B7">
        <w:rPr>
          <w:rFonts w:ascii="Verdana" w:hAnsi="Verdana"/>
          <w:sz w:val="18"/>
          <w:szCs w:val="18"/>
        </w:rPr>
        <w:t xml:space="preserve"> </w:t>
      </w:r>
      <w:r w:rsidRPr="00B76715">
        <w:rPr>
          <w:rFonts w:ascii="Verdana" w:hAnsi="Verdana"/>
          <w:sz w:val="18"/>
          <w:szCs w:val="18"/>
        </w:rPr>
        <w:t xml:space="preserve">beperkt commentaar en wensen tot aanscherpingen op onderdelen zullen hebben, zoals versterking van de aanpak van de online dimensie van terrorisme en extremistisch geweld </w:t>
      </w:r>
      <w:r w:rsidRPr="0086111B">
        <w:rPr>
          <w:rFonts w:ascii="Verdana" w:hAnsi="Verdana"/>
          <w:sz w:val="18"/>
          <w:szCs w:val="18"/>
        </w:rPr>
        <w:t>en de bescherming van kritieke infrastructuur.</w:t>
      </w:r>
      <w:r w:rsidRPr="00B76715">
        <w:rPr>
          <w:rFonts w:ascii="Verdana" w:hAnsi="Verdana"/>
          <w:sz w:val="18"/>
          <w:szCs w:val="18"/>
        </w:rPr>
        <w:t xml:space="preserve"> </w:t>
      </w:r>
      <w:r w:rsidRPr="007C7234" w:rsidR="007C7234">
        <w:rPr>
          <w:rFonts w:ascii="Verdana" w:hAnsi="Verdana"/>
          <w:sz w:val="18"/>
          <w:szCs w:val="18"/>
        </w:rPr>
        <w:t>Naar verwachting kan de strategie op steun rekenen van het Europees Parlement.</w:t>
      </w:r>
    </w:p>
    <w:p w:rsidRPr="00B76715" w:rsidR="007C7155" w:rsidP="00BA1635" w:rsidRDefault="007C7155" w14:paraId="736C7B95" w14:textId="77777777">
      <w:pPr>
        <w:spacing w:after="0" w:line="360" w:lineRule="auto"/>
        <w:rPr>
          <w:rFonts w:ascii="Verdana" w:hAnsi="Verdana"/>
          <w:sz w:val="18"/>
          <w:szCs w:val="18"/>
        </w:rPr>
      </w:pPr>
    </w:p>
    <w:p w:rsidRPr="00B76715" w:rsidR="000F5481" w:rsidP="00BA1635" w:rsidRDefault="000F5481" w14:paraId="347F5C19" w14:textId="77777777">
      <w:pPr>
        <w:pStyle w:val="ListParagraph"/>
        <w:numPr>
          <w:ilvl w:val="0"/>
          <w:numId w:val="1"/>
        </w:numPr>
        <w:spacing w:after="0" w:line="360" w:lineRule="auto"/>
        <w:rPr>
          <w:rFonts w:ascii="Verdana" w:hAnsi="Verdana"/>
          <w:sz w:val="18"/>
          <w:szCs w:val="18"/>
        </w:rPr>
      </w:pPr>
      <w:r w:rsidRPr="00B76715">
        <w:rPr>
          <w:rFonts w:ascii="Verdana" w:hAnsi="Verdana"/>
          <w:b/>
          <w:sz w:val="18"/>
          <w:szCs w:val="18"/>
        </w:rPr>
        <w:t>Grondhouding ten aanzien van bevoegdheid, subsidiariteit, proportionaliteit, financiële gevolgen en gevolgen voor regeldruk, concurrentiekracht en geopolitieke aspecten</w:t>
      </w:r>
    </w:p>
    <w:p w:rsidRPr="00B76715" w:rsidR="000F5481" w:rsidP="00BA1635" w:rsidRDefault="000F5481" w14:paraId="14FCF9C2" w14:textId="77777777">
      <w:pPr>
        <w:pStyle w:val="ListParagraph"/>
        <w:numPr>
          <w:ilvl w:val="0"/>
          <w:numId w:val="4"/>
        </w:numPr>
        <w:spacing w:after="0" w:line="360" w:lineRule="auto"/>
        <w:rPr>
          <w:rFonts w:ascii="Verdana" w:hAnsi="Verdana"/>
          <w:i/>
          <w:iCs/>
          <w:sz w:val="18"/>
          <w:szCs w:val="18"/>
        </w:rPr>
      </w:pPr>
      <w:r w:rsidRPr="00B76715">
        <w:rPr>
          <w:rFonts w:ascii="Verdana" w:hAnsi="Verdana"/>
          <w:i/>
          <w:iCs/>
          <w:sz w:val="18"/>
          <w:szCs w:val="18"/>
        </w:rPr>
        <w:t>Bevoegdheid</w:t>
      </w:r>
    </w:p>
    <w:p w:rsidRPr="00B76715" w:rsidR="00F57409" w:rsidP="00BA1635" w:rsidRDefault="00F57409" w14:paraId="7B25162E" w14:textId="0092D5C1">
      <w:pPr>
        <w:spacing w:after="0" w:line="360" w:lineRule="auto"/>
        <w:rPr>
          <w:rFonts w:ascii="Verdana" w:hAnsi="Verdana"/>
          <w:sz w:val="18"/>
          <w:szCs w:val="18"/>
        </w:rPr>
      </w:pPr>
      <w:r w:rsidRPr="00B76715">
        <w:rPr>
          <w:rFonts w:ascii="Verdana" w:hAnsi="Verdana"/>
          <w:sz w:val="18"/>
          <w:szCs w:val="18"/>
        </w:rPr>
        <w:t>De grondhouding van het kabinet is positief ten aanzien van de bevoegdheid.</w:t>
      </w:r>
      <w:r w:rsidRPr="00B76715" w:rsidR="00AF2E3A">
        <w:rPr>
          <w:rFonts w:ascii="Verdana" w:hAnsi="Verdana"/>
          <w:sz w:val="18"/>
          <w:szCs w:val="18"/>
        </w:rPr>
        <w:t xml:space="preserve"> De mededeling heeft betrekking op de ruimte van vrijheid, veiligheid en recht.</w:t>
      </w:r>
      <w:r w:rsidRPr="00B76715">
        <w:rPr>
          <w:rFonts w:ascii="Verdana" w:hAnsi="Verdana"/>
          <w:sz w:val="18"/>
          <w:szCs w:val="18"/>
        </w:rPr>
        <w:t xml:space="preserve"> Op het terrein van de ruimte van vrijheid, veiligheid en recht is sprake van een gedeelde bevoegdheid tussen de EU en de lidstaten (artikel 4, lid 2, sub j, VWEU). </w:t>
      </w:r>
      <w:r w:rsidR="0026217D">
        <w:rPr>
          <w:rFonts w:ascii="Verdana" w:hAnsi="Verdana"/>
          <w:sz w:val="18"/>
          <w:szCs w:val="18"/>
        </w:rPr>
        <w:t>Daarnaast</w:t>
      </w:r>
      <w:r w:rsidRPr="00B76715" w:rsidR="0026217D">
        <w:rPr>
          <w:rFonts w:ascii="Verdana" w:hAnsi="Verdana"/>
          <w:sz w:val="18"/>
          <w:szCs w:val="18"/>
        </w:rPr>
        <w:t xml:space="preserve"> </w:t>
      </w:r>
      <w:r w:rsidRPr="00B76715">
        <w:rPr>
          <w:rFonts w:ascii="Verdana" w:hAnsi="Verdana"/>
          <w:sz w:val="18"/>
          <w:szCs w:val="18"/>
        </w:rPr>
        <w:t xml:space="preserve">bevindt een aantal van de aangekondigde plannen en maatregelen zich dicht tegen of op het terrein van nationale veiligheid. Op grond van artikel 4, lid 2, VEU dient de EU de essentiële staatsfuncties, zoals de handhaving van de openbare orde en de bescherming van de nationale veiligheid te eerbiedigen. </w:t>
      </w:r>
    </w:p>
    <w:p w:rsidRPr="00B76715" w:rsidR="00F57409" w:rsidP="00BA1635" w:rsidRDefault="00F57409" w14:paraId="3B4D187D" w14:textId="77777777">
      <w:pPr>
        <w:pStyle w:val="ListParagraph"/>
        <w:spacing w:after="0" w:line="360" w:lineRule="auto"/>
        <w:ind w:left="360"/>
        <w:rPr>
          <w:rFonts w:ascii="Verdana" w:hAnsi="Verdana"/>
          <w:sz w:val="18"/>
          <w:szCs w:val="18"/>
        </w:rPr>
      </w:pPr>
    </w:p>
    <w:p w:rsidRPr="00B76715" w:rsidR="000F5481" w:rsidP="00BA1635" w:rsidRDefault="000F5481" w14:paraId="480656AD" w14:textId="77777777">
      <w:pPr>
        <w:pStyle w:val="ListParagraph"/>
        <w:numPr>
          <w:ilvl w:val="0"/>
          <w:numId w:val="4"/>
        </w:numPr>
        <w:spacing w:after="0" w:line="360" w:lineRule="auto"/>
        <w:rPr>
          <w:rFonts w:ascii="Verdana" w:hAnsi="Verdana"/>
          <w:i/>
          <w:iCs/>
          <w:sz w:val="18"/>
          <w:szCs w:val="18"/>
        </w:rPr>
      </w:pPr>
      <w:r w:rsidRPr="00B76715">
        <w:rPr>
          <w:rFonts w:ascii="Verdana" w:hAnsi="Verdana"/>
          <w:i/>
          <w:iCs/>
          <w:sz w:val="18"/>
          <w:szCs w:val="18"/>
        </w:rPr>
        <w:t>Subsidiariteit</w:t>
      </w:r>
    </w:p>
    <w:p w:rsidRPr="00B76715" w:rsidR="00F57409" w:rsidP="00BA1635" w:rsidRDefault="00F57409" w14:paraId="59B36BAB" w14:textId="46D06AF2">
      <w:pPr>
        <w:spacing w:after="0" w:line="360" w:lineRule="auto"/>
        <w:rPr>
          <w:rFonts w:ascii="Verdana" w:hAnsi="Verdana"/>
          <w:sz w:val="18"/>
          <w:szCs w:val="18"/>
        </w:rPr>
      </w:pPr>
      <w:r w:rsidRPr="00B76715">
        <w:rPr>
          <w:rFonts w:ascii="Verdana" w:hAnsi="Verdana"/>
          <w:sz w:val="18"/>
          <w:szCs w:val="18"/>
        </w:rPr>
        <w:t xml:space="preserve">De grondhouding van het kabinet is positief ten aanzien van de subsidiariteit. De mededeling heeft tot doel lidstaten te ondersteunen in het bestrijden van terrorisme en gewelddadig extremisme. Gezien het inherent grensoverschrijdende karakter van de relevante dreigingen, </w:t>
      </w:r>
      <w:r w:rsidRPr="00B76715" w:rsidR="00AD3684">
        <w:rPr>
          <w:rFonts w:ascii="Verdana" w:hAnsi="Verdana"/>
          <w:sz w:val="18"/>
          <w:szCs w:val="18"/>
        </w:rPr>
        <w:t xml:space="preserve">waaronder de online dreiging, </w:t>
      </w:r>
      <w:r w:rsidRPr="00B76715">
        <w:rPr>
          <w:rFonts w:ascii="Verdana" w:hAnsi="Verdana"/>
          <w:sz w:val="18"/>
          <w:szCs w:val="18"/>
        </w:rPr>
        <w:t xml:space="preserve">kan dit niet alleen door lidstaten op centraal, regionaal of lokaal niveau worden verwezenlijkt. Daarom is een EU-aanpak nodig. Verder is de Unie het beste gepositioneerd om de </w:t>
      </w:r>
      <w:r w:rsidRPr="00B76715" w:rsidR="002F31D4">
        <w:rPr>
          <w:rFonts w:ascii="Verdana" w:hAnsi="Verdana"/>
          <w:sz w:val="18"/>
          <w:szCs w:val="18"/>
        </w:rPr>
        <w:t>a</w:t>
      </w:r>
      <w:r w:rsidRPr="00B76715">
        <w:rPr>
          <w:rFonts w:ascii="Verdana" w:hAnsi="Verdana"/>
          <w:sz w:val="18"/>
          <w:szCs w:val="18"/>
        </w:rPr>
        <w:t>genda te bewerkstelligen gelet op de aard en de omvang ervan. Om die redenen is optreden op het niveau van de EU gerechtvaardigd.</w:t>
      </w:r>
    </w:p>
    <w:p w:rsidRPr="00B76715" w:rsidR="00975E35" w:rsidP="00BA1635" w:rsidRDefault="00975E35" w14:paraId="44DD26B4" w14:textId="77777777">
      <w:pPr>
        <w:spacing w:after="0" w:line="360" w:lineRule="auto"/>
        <w:rPr>
          <w:rFonts w:ascii="Verdana" w:hAnsi="Verdana"/>
          <w:sz w:val="18"/>
          <w:szCs w:val="18"/>
        </w:rPr>
      </w:pPr>
    </w:p>
    <w:p w:rsidRPr="00B76715" w:rsidR="000F5481" w:rsidP="00BA1635" w:rsidRDefault="000F5481" w14:paraId="36380476" w14:textId="77777777">
      <w:pPr>
        <w:pStyle w:val="ListParagraph"/>
        <w:numPr>
          <w:ilvl w:val="0"/>
          <w:numId w:val="4"/>
        </w:numPr>
        <w:spacing w:after="0" w:line="360" w:lineRule="auto"/>
        <w:rPr>
          <w:rFonts w:ascii="Verdana" w:hAnsi="Verdana"/>
          <w:i/>
          <w:iCs/>
          <w:sz w:val="18"/>
          <w:szCs w:val="18"/>
        </w:rPr>
      </w:pPr>
      <w:r w:rsidRPr="00B76715">
        <w:rPr>
          <w:rFonts w:ascii="Verdana" w:hAnsi="Verdana"/>
          <w:i/>
          <w:iCs/>
          <w:sz w:val="18"/>
          <w:szCs w:val="18"/>
        </w:rPr>
        <w:t>Proportionaliteit</w:t>
      </w:r>
    </w:p>
    <w:p w:rsidRPr="00B76715" w:rsidR="00F57409" w:rsidP="00BA1635" w:rsidRDefault="00F57409" w14:paraId="77C0898D" w14:textId="63859401">
      <w:pPr>
        <w:spacing w:after="0" w:line="360" w:lineRule="auto"/>
        <w:rPr>
          <w:rFonts w:ascii="Verdana" w:hAnsi="Verdana"/>
          <w:sz w:val="18"/>
          <w:szCs w:val="18"/>
        </w:rPr>
      </w:pPr>
      <w:r w:rsidRPr="00B76715">
        <w:rPr>
          <w:rFonts w:ascii="Verdana" w:hAnsi="Verdana"/>
          <w:sz w:val="18"/>
          <w:szCs w:val="18"/>
        </w:rPr>
        <w:t xml:space="preserve">Het kabinet heeft een positieve grondhouding ten aanzien van de proportionaliteit. De mededeling heeft tot doel lidstaten te ondersteunen in het bestrijden van terrorisme en gewelddadig </w:t>
      </w:r>
      <w:r w:rsidRPr="00B76715">
        <w:rPr>
          <w:rFonts w:ascii="Verdana" w:hAnsi="Verdana"/>
          <w:sz w:val="18"/>
          <w:szCs w:val="18"/>
        </w:rPr>
        <w:lastRenderedPageBreak/>
        <w:t xml:space="preserve">extremisme. Het voorgestelde optreden is geschikt om deze doelstelling te bereiken, </w:t>
      </w:r>
      <w:r w:rsidR="002D1A85">
        <w:rPr>
          <w:rFonts w:ascii="Verdana" w:hAnsi="Verdana"/>
          <w:sz w:val="18"/>
          <w:szCs w:val="18"/>
        </w:rPr>
        <w:t>doordat de zes voorgestelde pijlers en de daarbij horende acties, namelijk het versterken van adequate voorbereiding op dreigingen, het versterken van de radicaliseringspreventie, de grotere inzet op de bescherming van (kwetsbare) personen en jongeren online, het versterken van grenstoezicht samen met zowel opsporing en vervolging in Europa als internationale samenwerking, allemaal wezenlijk bijdragen aan het bestrijden van terrorisme en gewelddadig extremisme binnen de Unie.</w:t>
      </w:r>
      <w:r w:rsidRPr="00B76715">
        <w:rPr>
          <w:rFonts w:ascii="Verdana" w:hAnsi="Verdana"/>
          <w:sz w:val="18"/>
          <w:szCs w:val="18"/>
        </w:rPr>
        <w:t xml:space="preserve"> Bovendien gaat het voorgestelde optreden niet verder dan noodzakelijk, doordat de mededeling bestaande samenwerking en initiatieven versterkt en nieuwe voorstellen doet zonder de ruimte van lidstaten te beperken of verdere verplichtingen op te leggen dan noodzakelijk.</w:t>
      </w:r>
    </w:p>
    <w:p w:rsidRPr="00B76715" w:rsidR="00F57409" w:rsidP="00BA1635" w:rsidRDefault="00F57409" w14:paraId="09106784" w14:textId="77777777">
      <w:pPr>
        <w:spacing w:after="0" w:line="360" w:lineRule="auto"/>
        <w:rPr>
          <w:rFonts w:ascii="Verdana" w:hAnsi="Verdana"/>
          <w:sz w:val="18"/>
          <w:szCs w:val="18"/>
        </w:rPr>
      </w:pPr>
    </w:p>
    <w:p w:rsidRPr="00B76715" w:rsidR="000F5481" w:rsidP="00BA1635" w:rsidRDefault="000F5481" w14:paraId="1E100600" w14:textId="77777777">
      <w:pPr>
        <w:pStyle w:val="ListParagraph"/>
        <w:numPr>
          <w:ilvl w:val="0"/>
          <w:numId w:val="4"/>
        </w:numPr>
        <w:spacing w:after="0" w:line="360" w:lineRule="auto"/>
        <w:rPr>
          <w:rFonts w:ascii="Verdana" w:hAnsi="Verdana"/>
          <w:i/>
          <w:iCs/>
          <w:sz w:val="18"/>
          <w:szCs w:val="18"/>
        </w:rPr>
      </w:pPr>
      <w:r w:rsidRPr="00B76715">
        <w:rPr>
          <w:rFonts w:ascii="Verdana" w:hAnsi="Verdana"/>
          <w:i/>
          <w:iCs/>
          <w:sz w:val="18"/>
          <w:szCs w:val="18"/>
        </w:rPr>
        <w:t>Financiële gevolgen</w:t>
      </w:r>
    </w:p>
    <w:p w:rsidR="007F7C14" w:rsidP="00BA1635" w:rsidRDefault="007F7C14" w14:paraId="0E92B9A7" w14:textId="425A9753">
      <w:pPr>
        <w:spacing w:after="0" w:line="360" w:lineRule="auto"/>
        <w:rPr>
          <w:rFonts w:ascii="Verdana" w:hAnsi="Verdana"/>
          <w:sz w:val="18"/>
          <w:szCs w:val="18"/>
        </w:rPr>
      </w:pPr>
      <w:r w:rsidRPr="00B76715">
        <w:rPr>
          <w:rFonts w:ascii="Verdana" w:hAnsi="Verdana"/>
          <w:sz w:val="18"/>
          <w:szCs w:val="18"/>
        </w:rPr>
        <w:t>Er wordt geen concrete informatie gegeven over eventueel verwachte financiële impact op de hoogte of uitgaven van de EU-begroting. Het kabinet is van mening dat de benodigde EU-middelen gevonden dienen te worden binnen de in de Raad afgesproken financiële kaders van het Meerjarig Financieel Kader (MFK) 2021–2027, en dat deze moeten passen bij een prudente ontwikkeling van de jaarbegroting van de EU.</w:t>
      </w:r>
    </w:p>
    <w:p w:rsidR="007878E4" w:rsidP="00BA1635" w:rsidRDefault="007878E4" w14:paraId="2B07FB0C" w14:textId="77777777">
      <w:pPr>
        <w:spacing w:after="0" w:line="360" w:lineRule="auto"/>
        <w:rPr>
          <w:rFonts w:ascii="Verdana" w:hAnsi="Verdana"/>
          <w:sz w:val="18"/>
          <w:szCs w:val="18"/>
        </w:rPr>
      </w:pPr>
    </w:p>
    <w:p w:rsidRPr="00B76715" w:rsidR="007F7C14" w:rsidP="00BA1635" w:rsidRDefault="007F7C14" w14:paraId="014C70A7" w14:textId="012348AC">
      <w:pPr>
        <w:spacing w:after="0" w:line="360" w:lineRule="auto"/>
        <w:rPr>
          <w:rFonts w:ascii="Verdana" w:hAnsi="Verdana"/>
          <w:sz w:val="18"/>
          <w:szCs w:val="18"/>
        </w:rPr>
      </w:pPr>
      <w:r w:rsidRPr="00B76715">
        <w:rPr>
          <w:rFonts w:ascii="Verdana" w:hAnsi="Verdana"/>
          <w:sz w:val="18"/>
          <w:szCs w:val="18"/>
        </w:rPr>
        <w:t>Er wordt geen concrete informatie gegeven over eventueel verwachte financiële gevolgen voor de lidstaten.</w:t>
      </w:r>
      <w:r w:rsidRPr="00B76715" w:rsidR="00713E54">
        <w:rPr>
          <w:rFonts w:ascii="Verdana" w:hAnsi="Verdana"/>
          <w:sz w:val="18"/>
          <w:szCs w:val="18"/>
        </w:rPr>
        <w:t xml:space="preserve"> Vooralsnog lijkt het erop dat de agenda geen financiële gevolgen voor het Rijk heeft.</w:t>
      </w:r>
      <w:r w:rsidR="003904C7">
        <w:rPr>
          <w:rFonts w:ascii="Verdana" w:hAnsi="Verdana"/>
          <w:sz w:val="18"/>
          <w:szCs w:val="18"/>
        </w:rPr>
        <w:t xml:space="preserve"> </w:t>
      </w:r>
      <w:r w:rsidRPr="00B76715">
        <w:rPr>
          <w:rFonts w:ascii="Verdana" w:hAnsi="Verdana"/>
          <w:sz w:val="18"/>
          <w:szCs w:val="18"/>
        </w:rPr>
        <w:t>Eventuele budgettaire gevolgen voor de nationale begroting worden in ieder geval ingepast op de begroting van het beleidsverantwoordelijke departement, conform de regels van de budgetdiscipline.</w:t>
      </w:r>
    </w:p>
    <w:p w:rsidRPr="00B76715" w:rsidR="00713E54" w:rsidP="00BA1635" w:rsidRDefault="00713E54" w14:paraId="0255DF1C" w14:textId="77777777">
      <w:pPr>
        <w:spacing w:after="0" w:line="360" w:lineRule="auto"/>
        <w:rPr>
          <w:rFonts w:ascii="Verdana" w:hAnsi="Verdana"/>
          <w:sz w:val="18"/>
          <w:szCs w:val="18"/>
        </w:rPr>
      </w:pPr>
    </w:p>
    <w:p w:rsidRPr="002D1A85" w:rsidR="00F54514" w:rsidP="002D1A85" w:rsidRDefault="002F7C6A" w14:paraId="1F36D48E" w14:textId="19F97312">
      <w:pPr>
        <w:pStyle w:val="ListParagraph"/>
        <w:numPr>
          <w:ilvl w:val="0"/>
          <w:numId w:val="4"/>
        </w:numPr>
        <w:spacing w:after="0" w:line="360" w:lineRule="auto"/>
        <w:rPr>
          <w:rFonts w:ascii="Verdana" w:hAnsi="Verdana"/>
          <w:i/>
          <w:sz w:val="18"/>
          <w:szCs w:val="18"/>
        </w:rPr>
      </w:pPr>
      <w:r w:rsidRPr="00B76715">
        <w:rPr>
          <w:rFonts w:ascii="Verdana" w:hAnsi="Verdana"/>
          <w:i/>
          <w:sz w:val="18"/>
          <w:szCs w:val="18"/>
        </w:rPr>
        <w:t xml:space="preserve">Gevolgen voor regeldruk, concurrentiekracht en </w:t>
      </w:r>
      <w:r w:rsidRPr="00B76715" w:rsidR="002D1A85">
        <w:rPr>
          <w:rFonts w:ascii="Verdana" w:hAnsi="Verdana"/>
          <w:i/>
          <w:sz w:val="18"/>
          <w:szCs w:val="18"/>
        </w:rPr>
        <w:t>geopolitieke aspecten</w:t>
      </w:r>
    </w:p>
    <w:p w:rsidRPr="00B76715" w:rsidR="00700F76" w:rsidP="00BA1635" w:rsidRDefault="00EA28FD" w14:paraId="68D45EE4" w14:textId="0060E8B4">
      <w:pPr>
        <w:spacing w:after="0" w:line="360" w:lineRule="auto"/>
        <w:rPr>
          <w:rFonts w:ascii="Verdana" w:hAnsi="Verdana"/>
          <w:sz w:val="18"/>
          <w:szCs w:val="18"/>
        </w:rPr>
      </w:pPr>
      <w:r w:rsidRPr="00B76715">
        <w:rPr>
          <w:rFonts w:ascii="Verdana" w:hAnsi="Verdana"/>
          <w:sz w:val="18"/>
          <w:szCs w:val="18"/>
        </w:rPr>
        <w:t xml:space="preserve">De mededeling zelf bevat geen nieuwe wettelijke maatregelen en geeft daarmee geen aanleiding om gevolgen te verwachten op regeldruk en administratieve lasten, voor de overheid, bedrijfsleven of burgers. </w:t>
      </w:r>
      <w:r w:rsidRPr="00B76715" w:rsidR="008D649C">
        <w:rPr>
          <w:rFonts w:ascii="Verdana" w:hAnsi="Verdana"/>
          <w:sz w:val="18"/>
          <w:szCs w:val="18"/>
        </w:rPr>
        <w:t xml:space="preserve">Enkele initiatieven die in de mededeling worden benoemd, worden nog verkend door de Commissie. </w:t>
      </w:r>
      <w:r w:rsidRPr="00B76715" w:rsidR="0074731D">
        <w:rPr>
          <w:rFonts w:ascii="Verdana" w:hAnsi="Verdana"/>
          <w:sz w:val="18"/>
          <w:szCs w:val="18"/>
        </w:rPr>
        <w:t xml:space="preserve">Mogelijke regeldrukeffecten van deze initiatieven worden in kaart gebracht bij concretere en/of wetgevende voorstellen. </w:t>
      </w:r>
      <w:r w:rsidRPr="00B76715">
        <w:rPr>
          <w:rFonts w:ascii="Verdana" w:hAnsi="Verdana"/>
          <w:sz w:val="18"/>
          <w:szCs w:val="18"/>
        </w:rPr>
        <w:t>De uiteindelijke regeldruk en administratieve lasten zijn afhankelijk van de specifieke invulling van de doelen in concre</w:t>
      </w:r>
      <w:r w:rsidRPr="00B76715" w:rsidR="007831D3">
        <w:rPr>
          <w:rFonts w:ascii="Verdana" w:hAnsi="Verdana"/>
          <w:sz w:val="18"/>
          <w:szCs w:val="18"/>
        </w:rPr>
        <w:t>et</w:t>
      </w:r>
      <w:r w:rsidRPr="00B76715">
        <w:rPr>
          <w:rFonts w:ascii="Verdana" w:hAnsi="Verdana"/>
          <w:sz w:val="18"/>
          <w:szCs w:val="18"/>
        </w:rPr>
        <w:t xml:space="preserve"> aangekondigde beleidsmaatregelen. Het is niet uit te sluiten dat zowel de uitvoering van afzonderlijke beleidsmaatregelen als de uitvoering van de beleidsmaatregelen in onderling verband bezien aanleiding geven tot nieuwe regels of verhoging van de uitvoeringslasten. Bij de uitwerking van eventuele maatregelen zal het kabinet zich inspannen om onwenselijke gevolgen voor de regeldruk, administratieve lasten en andere uitvoeringslasten te voorkomen of te mitigeren. Daarbij dient ook rekening gehouden te worden met eventuele gevolgen voor lokale overheden.</w:t>
      </w:r>
      <w:r w:rsidR="00673C1E">
        <w:rPr>
          <w:rFonts w:ascii="Verdana" w:hAnsi="Verdana"/>
          <w:sz w:val="18"/>
          <w:szCs w:val="18"/>
        </w:rPr>
        <w:t xml:space="preserve"> </w:t>
      </w:r>
      <w:r w:rsidRPr="00673C1E" w:rsidR="00673C1E">
        <w:rPr>
          <w:rFonts w:ascii="Verdana" w:hAnsi="Verdana"/>
          <w:sz w:val="18"/>
          <w:szCs w:val="18"/>
        </w:rPr>
        <w:t>Tegen de achtergrond van de huidige geopolitieke ontwikkelingen, draagt de agenda bij aan het vergroten van de weerbaarheid van de EU tegen terroristische dreigingen die hier mogelijk het gevolg van zijn. Gelet op het gedeeltelijke transnationale karakter van de EU-inzet op terrorismebestrijding kan de agenda geopolitieke gevolgen hebben.</w:t>
      </w:r>
      <w:r w:rsidR="00B144AF">
        <w:rPr>
          <w:rFonts w:ascii="Verdana" w:hAnsi="Verdana"/>
          <w:sz w:val="18"/>
          <w:szCs w:val="18"/>
        </w:rPr>
        <w:t xml:space="preserve"> </w:t>
      </w:r>
    </w:p>
    <w:p w:rsidR="00327430" w:rsidP="00BA1635" w:rsidRDefault="00327430" w14:paraId="7B488C1F" w14:textId="77777777">
      <w:pPr>
        <w:spacing w:after="0" w:line="360" w:lineRule="auto"/>
        <w:rPr>
          <w:rFonts w:ascii="Verdana" w:hAnsi="Verdana"/>
          <w:sz w:val="18"/>
          <w:szCs w:val="18"/>
        </w:rPr>
      </w:pPr>
    </w:p>
    <w:p w:rsidR="0025154B" w:rsidP="00BA1635" w:rsidRDefault="0025154B" w14:paraId="05E492BA" w14:textId="77777777">
      <w:pPr>
        <w:spacing w:after="0" w:line="360" w:lineRule="auto"/>
        <w:rPr>
          <w:rFonts w:ascii="Verdana" w:hAnsi="Verdana"/>
          <w:sz w:val="18"/>
          <w:szCs w:val="18"/>
        </w:rPr>
      </w:pPr>
    </w:p>
    <w:p w:rsidRPr="00F56404" w:rsidR="00747911" w:rsidP="00BA1635" w:rsidRDefault="00190B64" w14:paraId="04B35D7A" w14:textId="44E75C3B">
      <w:pPr>
        <w:spacing w:after="0" w:line="360" w:lineRule="auto"/>
        <w:rPr>
          <w:rFonts w:ascii="Verdana" w:hAnsi="Verdana"/>
          <w:sz w:val="18"/>
          <w:szCs w:val="18"/>
        </w:rPr>
      </w:pPr>
      <w:r w:rsidRPr="00F56404">
        <w:rPr>
          <w:rFonts w:ascii="Verdana" w:hAnsi="Verdana"/>
          <w:sz w:val="18"/>
          <w:szCs w:val="18"/>
        </w:rPr>
        <w:t xml:space="preserve"> </w:t>
      </w:r>
    </w:p>
    <w:sectPr w:rsidRPr="00F56404" w:rsidR="00747911">
      <w:headerReference w:type="default" r:id="rId12"/>
      <w:footerReference w:type="even" r:id="rId13"/>
      <w:footerReference w:type="defaul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1021" w14:textId="77777777" w:rsidR="00BB2902" w:rsidRDefault="00BB2902" w:rsidP="00971918">
      <w:pPr>
        <w:spacing w:after="0" w:line="240" w:lineRule="auto"/>
      </w:pPr>
      <w:r>
        <w:separator/>
      </w:r>
    </w:p>
  </w:endnote>
  <w:endnote w:type="continuationSeparator" w:id="0">
    <w:p w14:paraId="4F0708FA" w14:textId="77777777" w:rsidR="00BB2902" w:rsidRDefault="00BB2902" w:rsidP="0097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EDEE" w14:textId="2A7ED175" w:rsidR="004B31A9" w:rsidRDefault="004B31A9">
    <w:pPr>
      <w:pStyle w:val="Footer"/>
    </w:pPr>
    <w:r>
      <w:rPr>
        <w:noProof/>
      </w:rPr>
      <mc:AlternateContent>
        <mc:Choice Requires="wps">
          <w:drawing>
            <wp:anchor distT="0" distB="0" distL="0" distR="0" simplePos="0" relativeHeight="251659264" behindDoc="0" locked="0" layoutInCell="1" allowOverlap="1" wp14:anchorId="5E364141" wp14:editId="48C7E0A5">
              <wp:simplePos x="635" y="635"/>
              <wp:positionH relativeFrom="page">
                <wp:align>left</wp:align>
              </wp:positionH>
              <wp:positionV relativeFrom="page">
                <wp:align>bottom</wp:align>
              </wp:positionV>
              <wp:extent cx="1007110" cy="370205"/>
              <wp:effectExtent l="0" t="0" r="2540" b="0"/>
              <wp:wrapNone/>
              <wp:docPr id="157738613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70205"/>
                      </a:xfrm>
                      <a:prstGeom prst="rect">
                        <a:avLst/>
                      </a:prstGeom>
                      <a:noFill/>
                      <a:ln>
                        <a:noFill/>
                      </a:ln>
                    </wps:spPr>
                    <wps:txbx>
                      <w:txbxContent>
                        <w:p w14:paraId="34B6A233" w14:textId="5D79542B" w:rsidR="004B31A9" w:rsidRPr="004B31A9" w:rsidRDefault="004B31A9" w:rsidP="004B31A9">
                          <w:pPr>
                            <w:spacing w:after="0"/>
                            <w:rPr>
                              <w:rFonts w:ascii="Aptos" w:eastAsia="Aptos" w:hAnsi="Aptos" w:cs="Aptos"/>
                              <w:noProof/>
                              <w:color w:val="000000"/>
                              <w:sz w:val="20"/>
                              <w:szCs w:val="20"/>
                            </w:rPr>
                          </w:pPr>
                          <w:r w:rsidRPr="004B31A9">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364141" id="_x0000_t202" coordsize="21600,21600" o:spt="202" path="m,l,21600r21600,l21600,xe">
              <v:stroke joinstyle="miter"/>
              <v:path gradientshapeok="t" o:connecttype="rect"/>
            </v:shapetype>
            <v:shape id="Tekstvak 2" o:spid="_x0000_s1026" type="#_x0000_t202" alt="Intern gebruik" style="position:absolute;margin-left:0;margin-top:0;width:79.3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" filled="f" stroked="f">
              <v:textbox style="mso-fit-shape-to-text:t" inset="20pt,0,0,15pt">
                <w:txbxContent>
                  <w:p w14:paraId="34B6A233" w14:textId="5D79542B" w:rsidR="004B31A9" w:rsidRPr="004B31A9" w:rsidRDefault="004B31A9" w:rsidP="004B31A9">
                    <w:pPr>
                      <w:spacing w:after="0"/>
                      <w:rPr>
                        <w:rFonts w:ascii="Aptos" w:eastAsia="Aptos" w:hAnsi="Aptos" w:cs="Aptos"/>
                        <w:noProof/>
                        <w:color w:val="000000"/>
                        <w:sz w:val="20"/>
                        <w:szCs w:val="20"/>
                      </w:rPr>
                    </w:pPr>
                    <w:r w:rsidRPr="004B31A9">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419652"/>
      <w:docPartObj>
        <w:docPartGallery w:val="Page Numbers (Bottom of Page)"/>
        <w:docPartUnique/>
      </w:docPartObj>
    </w:sdtPr>
    <w:sdtEndPr>
      <w:rPr>
        <w:rFonts w:ascii="Times New Roman" w:hAnsi="Times New Roman" w:cs="Times New Roman"/>
        <w:sz w:val="16"/>
        <w:szCs w:val="16"/>
      </w:rPr>
    </w:sdtEndPr>
    <w:sdtContent>
      <w:p w14:paraId="2235653A" w14:textId="3558D605" w:rsidR="00C55AA5" w:rsidRPr="00C55AA5" w:rsidRDefault="00C55AA5">
        <w:pPr>
          <w:pStyle w:val="Footer"/>
          <w:jc w:val="center"/>
          <w:rPr>
            <w:rFonts w:ascii="Times New Roman" w:hAnsi="Times New Roman" w:cs="Times New Roman"/>
            <w:sz w:val="16"/>
            <w:szCs w:val="16"/>
          </w:rPr>
        </w:pPr>
        <w:r w:rsidRPr="00C55AA5">
          <w:rPr>
            <w:rFonts w:ascii="Times New Roman" w:hAnsi="Times New Roman" w:cs="Times New Roman"/>
            <w:sz w:val="16"/>
            <w:szCs w:val="16"/>
          </w:rPr>
          <w:fldChar w:fldCharType="begin"/>
        </w:r>
        <w:r w:rsidRPr="00C55AA5">
          <w:rPr>
            <w:rFonts w:ascii="Times New Roman" w:hAnsi="Times New Roman" w:cs="Times New Roman"/>
            <w:sz w:val="16"/>
            <w:szCs w:val="16"/>
          </w:rPr>
          <w:instrText>PAGE   \* MERGEFORMAT</w:instrText>
        </w:r>
        <w:r w:rsidRPr="00C55AA5">
          <w:rPr>
            <w:rFonts w:ascii="Times New Roman" w:hAnsi="Times New Roman" w:cs="Times New Roman"/>
            <w:sz w:val="16"/>
            <w:szCs w:val="16"/>
          </w:rPr>
          <w:fldChar w:fldCharType="separate"/>
        </w:r>
        <w:r w:rsidRPr="00C55AA5">
          <w:rPr>
            <w:rFonts w:ascii="Times New Roman" w:hAnsi="Times New Roman" w:cs="Times New Roman"/>
            <w:sz w:val="16"/>
            <w:szCs w:val="16"/>
          </w:rPr>
          <w:t>2</w:t>
        </w:r>
        <w:r w:rsidRPr="00C55AA5">
          <w:rPr>
            <w:rFonts w:ascii="Times New Roman" w:hAnsi="Times New Roman" w:cs="Times New Roman"/>
            <w:sz w:val="16"/>
            <w:szCs w:val="16"/>
          </w:rPr>
          <w:fldChar w:fldCharType="end"/>
        </w:r>
      </w:p>
    </w:sdtContent>
  </w:sdt>
  <w:p w14:paraId="665E2BAF" w14:textId="751EA53F" w:rsidR="004B31A9" w:rsidRDefault="004B3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1459" w14:textId="7F6513C6" w:rsidR="004B31A9" w:rsidRDefault="004B31A9">
    <w:pPr>
      <w:pStyle w:val="Footer"/>
    </w:pPr>
    <w:r>
      <w:rPr>
        <w:noProof/>
      </w:rPr>
      <mc:AlternateContent>
        <mc:Choice Requires="wps">
          <w:drawing>
            <wp:anchor distT="0" distB="0" distL="0" distR="0" simplePos="0" relativeHeight="251658240" behindDoc="0" locked="0" layoutInCell="1" allowOverlap="1" wp14:anchorId="63B4923B" wp14:editId="21008A30">
              <wp:simplePos x="635" y="635"/>
              <wp:positionH relativeFrom="page">
                <wp:align>left</wp:align>
              </wp:positionH>
              <wp:positionV relativeFrom="page">
                <wp:align>bottom</wp:align>
              </wp:positionV>
              <wp:extent cx="1007110" cy="370205"/>
              <wp:effectExtent l="0" t="0" r="2540" b="0"/>
              <wp:wrapNone/>
              <wp:docPr id="70286134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70205"/>
                      </a:xfrm>
                      <a:prstGeom prst="rect">
                        <a:avLst/>
                      </a:prstGeom>
                      <a:noFill/>
                      <a:ln>
                        <a:noFill/>
                      </a:ln>
                    </wps:spPr>
                    <wps:txbx>
                      <w:txbxContent>
                        <w:p w14:paraId="7F5F52B8" w14:textId="06F5533C" w:rsidR="004B31A9" w:rsidRPr="004B31A9" w:rsidRDefault="004B31A9" w:rsidP="004B31A9">
                          <w:pPr>
                            <w:spacing w:after="0"/>
                            <w:rPr>
                              <w:rFonts w:ascii="Aptos" w:eastAsia="Aptos" w:hAnsi="Aptos" w:cs="Aptos"/>
                              <w:noProof/>
                              <w:color w:val="000000"/>
                              <w:sz w:val="20"/>
                              <w:szCs w:val="20"/>
                            </w:rPr>
                          </w:pPr>
                          <w:r w:rsidRPr="004B31A9">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B4923B" id="_x0000_t202" coordsize="21600,21600" o:spt="202" path="m,l,21600r21600,l21600,xe">
              <v:stroke joinstyle="miter"/>
              <v:path gradientshapeok="t" o:connecttype="rect"/>
            </v:shapetype>
            <v:shape id="Tekstvak 1" o:spid="_x0000_s1027" type="#_x0000_t202" alt="Intern gebruik" style="position:absolute;margin-left:0;margin-top:0;width:79.3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" filled="f" stroked="f">
              <v:textbox style="mso-fit-shape-to-text:t" inset="20pt,0,0,15pt">
                <w:txbxContent>
                  <w:p w14:paraId="7F5F52B8" w14:textId="06F5533C" w:rsidR="004B31A9" w:rsidRPr="004B31A9" w:rsidRDefault="004B31A9" w:rsidP="004B31A9">
                    <w:pPr>
                      <w:spacing w:after="0"/>
                      <w:rPr>
                        <w:rFonts w:ascii="Aptos" w:eastAsia="Aptos" w:hAnsi="Aptos" w:cs="Aptos"/>
                        <w:noProof/>
                        <w:color w:val="000000"/>
                        <w:sz w:val="20"/>
                        <w:szCs w:val="20"/>
                      </w:rPr>
                    </w:pPr>
                    <w:r w:rsidRPr="004B31A9">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756F" w14:textId="77777777" w:rsidR="00BB2902" w:rsidRDefault="00BB2902" w:rsidP="00971918">
      <w:pPr>
        <w:spacing w:after="0" w:line="240" w:lineRule="auto"/>
      </w:pPr>
      <w:r>
        <w:separator/>
      </w:r>
    </w:p>
  </w:footnote>
  <w:footnote w:type="continuationSeparator" w:id="0">
    <w:p w14:paraId="4799BB62" w14:textId="77777777" w:rsidR="00BB2902" w:rsidRDefault="00BB2902" w:rsidP="00971918">
      <w:pPr>
        <w:spacing w:after="0" w:line="240" w:lineRule="auto"/>
      </w:pPr>
      <w:r>
        <w:continuationSeparator/>
      </w:r>
    </w:p>
  </w:footnote>
  <w:footnote w:id="1">
    <w:p w14:paraId="6AD25282" w14:textId="30C7BD35" w:rsidR="008B45AB" w:rsidRPr="00190B64" w:rsidRDefault="008B45AB">
      <w:pPr>
        <w:pStyle w:val="FootnoteText"/>
        <w:rPr>
          <w:sz w:val="16"/>
          <w:szCs w:val="16"/>
          <w:lang w:val="en-US"/>
        </w:rPr>
      </w:pPr>
      <w:r w:rsidRPr="00190B64">
        <w:rPr>
          <w:rStyle w:val="FootnoteReference"/>
          <w:sz w:val="16"/>
          <w:szCs w:val="16"/>
        </w:rPr>
        <w:footnoteRef/>
      </w:r>
      <w:r w:rsidRPr="00190B64">
        <w:rPr>
          <w:sz w:val="16"/>
          <w:szCs w:val="16"/>
          <w:lang w:val="en-US"/>
        </w:rPr>
        <w:t xml:space="preserve"> COM(2025) 148</w:t>
      </w:r>
      <w:r w:rsidR="00EB7309">
        <w:rPr>
          <w:sz w:val="16"/>
          <w:szCs w:val="16"/>
          <w:lang w:val="en-US"/>
        </w:rPr>
        <w:t>.</w:t>
      </w:r>
    </w:p>
  </w:footnote>
  <w:footnote w:id="2">
    <w:p w14:paraId="44C4DA7C" w14:textId="79B25F2F" w:rsidR="008B45AB" w:rsidRPr="0037552D" w:rsidRDefault="008B45AB">
      <w:pPr>
        <w:pStyle w:val="FootnoteText"/>
        <w:rPr>
          <w:lang w:val="en-US"/>
        </w:rPr>
      </w:pPr>
      <w:r w:rsidRPr="00190B64">
        <w:rPr>
          <w:rStyle w:val="FootnoteReference"/>
          <w:sz w:val="16"/>
          <w:szCs w:val="16"/>
        </w:rPr>
        <w:footnoteRef/>
      </w:r>
      <w:r w:rsidRPr="00190B64">
        <w:rPr>
          <w:sz w:val="16"/>
          <w:szCs w:val="16"/>
          <w:lang w:val="en-US"/>
        </w:rPr>
        <w:t xml:space="preserve"> COM (2020) 795</w:t>
      </w:r>
      <w:r w:rsidR="00EB7309">
        <w:rPr>
          <w:sz w:val="16"/>
          <w:szCs w:val="16"/>
          <w:lang w:val="en-US"/>
        </w:rPr>
        <w:t>.</w:t>
      </w:r>
    </w:p>
  </w:footnote>
  <w:footnote w:id="3">
    <w:p w14:paraId="07DB6C67" w14:textId="4AFA9279" w:rsidR="00FA2D8E" w:rsidRPr="00190B64" w:rsidRDefault="00FA2D8E" w:rsidP="00FA2D8E">
      <w:pPr>
        <w:pStyle w:val="FootnoteText"/>
        <w:rPr>
          <w:sz w:val="16"/>
          <w:szCs w:val="16"/>
          <w:lang w:val="en-US"/>
        </w:rPr>
      </w:pPr>
      <w:r w:rsidRPr="00190B64">
        <w:rPr>
          <w:rStyle w:val="FootnoteReference"/>
          <w:sz w:val="16"/>
          <w:szCs w:val="16"/>
        </w:rPr>
        <w:footnoteRef/>
      </w:r>
      <w:r w:rsidRPr="00190B64">
        <w:rPr>
          <w:sz w:val="16"/>
          <w:szCs w:val="16"/>
          <w:lang w:val="en-US"/>
        </w:rPr>
        <w:t xml:space="preserve"> COM (2026) 81</w:t>
      </w:r>
      <w:r w:rsidR="00EB7309">
        <w:rPr>
          <w:sz w:val="16"/>
          <w:szCs w:val="16"/>
          <w:lang w:val="en-US"/>
        </w:rPr>
        <w:t>.</w:t>
      </w:r>
    </w:p>
  </w:footnote>
  <w:footnote w:id="4">
    <w:p w14:paraId="31546156" w14:textId="09D2044D" w:rsidR="008415F2" w:rsidRPr="00190B64" w:rsidRDefault="008415F2" w:rsidP="008415F2">
      <w:pPr>
        <w:pStyle w:val="FootnoteText"/>
        <w:rPr>
          <w:sz w:val="16"/>
          <w:szCs w:val="16"/>
          <w:lang w:val="en-US"/>
        </w:rPr>
      </w:pPr>
      <w:r w:rsidRPr="00190B64">
        <w:rPr>
          <w:rStyle w:val="FootnoteReference"/>
          <w:sz w:val="16"/>
          <w:szCs w:val="16"/>
        </w:rPr>
        <w:footnoteRef/>
      </w:r>
      <w:r w:rsidRPr="00190B64">
        <w:rPr>
          <w:sz w:val="16"/>
          <w:szCs w:val="16"/>
          <w:lang w:val="en-US"/>
        </w:rPr>
        <w:t xml:space="preserve"> United Nations Investigative Team to Promote Accountability for Crimes Committed by Da'esh/ISIL</w:t>
      </w:r>
      <w:r w:rsidR="00EB7309">
        <w:rPr>
          <w:sz w:val="16"/>
          <w:szCs w:val="16"/>
          <w:lang w:val="en-US"/>
        </w:rPr>
        <w:t>.</w:t>
      </w:r>
    </w:p>
  </w:footnote>
  <w:footnote w:id="5">
    <w:p w14:paraId="723003A7" w14:textId="401DFAD0" w:rsidR="00293510" w:rsidRPr="00FA7878" w:rsidRDefault="00293510">
      <w:pPr>
        <w:pStyle w:val="FootnoteText"/>
        <w:rPr>
          <w:sz w:val="16"/>
          <w:szCs w:val="16"/>
        </w:rPr>
      </w:pPr>
      <w:r w:rsidRPr="00190B64">
        <w:rPr>
          <w:rStyle w:val="FootnoteReference"/>
          <w:sz w:val="16"/>
          <w:szCs w:val="16"/>
        </w:rPr>
        <w:footnoteRef/>
      </w:r>
      <w:r w:rsidRPr="00190B64">
        <w:rPr>
          <w:rStyle w:val="FootnoteReference"/>
          <w:sz w:val="16"/>
          <w:szCs w:val="16"/>
        </w:rPr>
        <w:t xml:space="preserve"> </w:t>
      </w:r>
      <w:r w:rsidRPr="00190B64">
        <w:rPr>
          <w:sz w:val="16"/>
          <w:szCs w:val="16"/>
        </w:rPr>
        <w:t xml:space="preserve">De NCTS hanteert vier V’s voor de integrale aanpak: Verwerven, Voorkomen, Voorbereiden en Vervolgen. De NCTS loopt dit jaar af. Met </w:t>
      </w:r>
      <w:r w:rsidR="00EB7309">
        <w:rPr>
          <w:sz w:val="16"/>
          <w:szCs w:val="16"/>
        </w:rPr>
        <w:t>relevante keten</w:t>
      </w:r>
      <w:r w:rsidRPr="00190B64">
        <w:rPr>
          <w:sz w:val="16"/>
          <w:szCs w:val="16"/>
        </w:rPr>
        <w:t xml:space="preserve">partners wordt gewerkt aan een nieuwe strategie, gebaseerd op de vier V’s. </w:t>
      </w:r>
    </w:p>
  </w:footnote>
  <w:footnote w:id="6">
    <w:p w14:paraId="271D1785" w14:textId="37108A79" w:rsidR="000D14D5" w:rsidRPr="00AD42BF" w:rsidRDefault="000D14D5">
      <w:pPr>
        <w:pStyle w:val="FootnoteText"/>
        <w:rPr>
          <w:sz w:val="16"/>
          <w:szCs w:val="16"/>
        </w:rPr>
      </w:pPr>
      <w:r w:rsidRPr="00AD42BF">
        <w:rPr>
          <w:rStyle w:val="FootnoteReference"/>
          <w:sz w:val="16"/>
          <w:szCs w:val="16"/>
        </w:rPr>
        <w:footnoteRef/>
      </w:r>
      <w:r w:rsidRPr="00AD42BF">
        <w:rPr>
          <w:sz w:val="16"/>
          <w:szCs w:val="16"/>
        </w:rPr>
        <w:t xml:space="preserve"> Dreigingsbeeld Terrorisme Nederland, december 2025</w:t>
      </w:r>
    </w:p>
  </w:footnote>
  <w:footnote w:id="7">
    <w:p w14:paraId="5BD9D72B" w14:textId="6B0254B7" w:rsidR="00822A74" w:rsidRPr="00822A74" w:rsidRDefault="00822A74">
      <w:pPr>
        <w:pStyle w:val="FootnoteText"/>
        <w:rPr>
          <w:sz w:val="16"/>
          <w:szCs w:val="16"/>
        </w:rPr>
      </w:pPr>
      <w:r w:rsidRPr="00822A74">
        <w:rPr>
          <w:rStyle w:val="FootnoteReference"/>
          <w:sz w:val="16"/>
          <w:szCs w:val="16"/>
        </w:rPr>
        <w:footnoteRef/>
      </w:r>
      <w:r w:rsidRPr="00822A74">
        <w:rPr>
          <w:sz w:val="16"/>
          <w:szCs w:val="16"/>
        </w:rPr>
        <w:t xml:space="preserve"> </w:t>
      </w:r>
      <w:r>
        <w:rPr>
          <w:sz w:val="16"/>
          <w:szCs w:val="16"/>
        </w:rPr>
        <w:t>Kamerstukken II, 2025-</w:t>
      </w:r>
      <w:r w:rsidR="00EB7309">
        <w:rPr>
          <w:sz w:val="16"/>
          <w:szCs w:val="16"/>
        </w:rPr>
        <w:t>20</w:t>
      </w:r>
      <w:r>
        <w:rPr>
          <w:sz w:val="16"/>
          <w:szCs w:val="16"/>
        </w:rPr>
        <w:t>26, 29754, nr. 774</w:t>
      </w:r>
      <w:r w:rsidR="00EB7309">
        <w:rPr>
          <w:sz w:val="16"/>
          <w:szCs w:val="16"/>
        </w:rPr>
        <w:t>.</w:t>
      </w:r>
    </w:p>
  </w:footnote>
  <w:footnote w:id="8">
    <w:p w14:paraId="3B12A779" w14:textId="18CE647F" w:rsidR="008A7EC0" w:rsidRPr="00C672AB" w:rsidRDefault="008A7EC0" w:rsidP="008A7EC0">
      <w:pPr>
        <w:pStyle w:val="FootnoteText"/>
        <w:rPr>
          <w:sz w:val="16"/>
          <w:szCs w:val="16"/>
        </w:rPr>
      </w:pPr>
      <w:r w:rsidRPr="00C672AB">
        <w:rPr>
          <w:rStyle w:val="FootnoteReference"/>
          <w:sz w:val="16"/>
          <w:szCs w:val="16"/>
        </w:rPr>
        <w:footnoteRef/>
      </w:r>
      <w:r w:rsidRPr="00C672AB">
        <w:rPr>
          <w:sz w:val="16"/>
          <w:szCs w:val="16"/>
        </w:rPr>
        <w:t xml:space="preserve"> Het Europese In- en Uitreissysteem (EES), de Europese Reisautorisatie (ETIAS), het herziene Visuminformatiesysteem (VIS) en het interoperabiliteitsraamwerk.</w:t>
      </w:r>
    </w:p>
  </w:footnote>
  <w:footnote w:id="9">
    <w:p w14:paraId="00E4D6C8" w14:textId="66107871" w:rsidR="00B76715" w:rsidRPr="00190B64" w:rsidRDefault="00B33A8E" w:rsidP="00B33A8E">
      <w:pPr>
        <w:pStyle w:val="FootnoteText"/>
        <w:rPr>
          <w:sz w:val="16"/>
          <w:szCs w:val="16"/>
        </w:rPr>
      </w:pPr>
      <w:r w:rsidRPr="00190B64">
        <w:rPr>
          <w:rStyle w:val="FootnoteReference"/>
          <w:sz w:val="16"/>
          <w:szCs w:val="16"/>
        </w:rPr>
        <w:footnoteRef/>
      </w:r>
      <w:r w:rsidRPr="00190B64">
        <w:rPr>
          <w:sz w:val="16"/>
          <w:szCs w:val="16"/>
        </w:rPr>
        <w:t xml:space="preserve"> Het SIS is operationeel in de meeste EU-landen en in de geassocieerde Schengenlanden (Zwitserland, Noorwegen, Liechtenstein en IJsland).</w:t>
      </w:r>
    </w:p>
  </w:footnote>
  <w:footnote w:id="10">
    <w:p w14:paraId="362262E0" w14:textId="58A76652" w:rsidR="00EF18D3" w:rsidRPr="005566CA" w:rsidRDefault="00EF18D3" w:rsidP="00EF18D3">
      <w:pPr>
        <w:pStyle w:val="FootnoteText"/>
        <w:rPr>
          <w:sz w:val="14"/>
          <w:szCs w:val="14"/>
        </w:rPr>
      </w:pPr>
      <w:r w:rsidRPr="00190B64">
        <w:rPr>
          <w:rStyle w:val="FootnoteReference"/>
          <w:sz w:val="16"/>
          <w:szCs w:val="16"/>
        </w:rPr>
        <w:footnoteRef/>
      </w:r>
      <w:r w:rsidRPr="00190B64">
        <w:rPr>
          <w:sz w:val="16"/>
          <w:szCs w:val="16"/>
        </w:rPr>
        <w:t xml:space="preserve"> Richtlijn (EU) 2016/681</w:t>
      </w:r>
      <w:r w:rsidR="00056026">
        <w:rPr>
          <w:sz w:val="16"/>
          <w:szCs w:val="16"/>
        </w:rPr>
        <w:t>.</w:t>
      </w:r>
    </w:p>
  </w:footnote>
  <w:footnote w:id="11">
    <w:p w14:paraId="5DA0FD07" w14:textId="6CB9FDA6" w:rsidR="00853720" w:rsidRPr="00853720" w:rsidRDefault="00853720">
      <w:pPr>
        <w:pStyle w:val="FootnoteText"/>
        <w:rPr>
          <w:sz w:val="16"/>
          <w:szCs w:val="16"/>
        </w:rPr>
      </w:pPr>
      <w:r w:rsidRPr="00BB1783">
        <w:rPr>
          <w:rStyle w:val="FootnoteReference"/>
          <w:sz w:val="16"/>
          <w:szCs w:val="16"/>
        </w:rPr>
        <w:footnoteRef/>
      </w:r>
      <w:r w:rsidRPr="00BB1783">
        <w:rPr>
          <w:sz w:val="16"/>
          <w:szCs w:val="16"/>
        </w:rPr>
        <w:t xml:space="preserve"> </w:t>
      </w:r>
      <w:r w:rsidR="00BB1783" w:rsidRPr="00BB1783">
        <w:rPr>
          <w:sz w:val="16"/>
          <w:szCs w:val="16"/>
        </w:rPr>
        <w:t>Een ‘</w:t>
      </w:r>
      <w:proofErr w:type="spellStart"/>
      <w:r w:rsidR="00BB1783" w:rsidRPr="00BB1783">
        <w:rPr>
          <w:sz w:val="16"/>
          <w:szCs w:val="16"/>
        </w:rPr>
        <w:t>hash</w:t>
      </w:r>
      <w:proofErr w:type="spellEnd"/>
      <w:r w:rsidR="00BB1783" w:rsidRPr="00BB1783">
        <w:rPr>
          <w:sz w:val="16"/>
          <w:szCs w:val="16"/>
        </w:rPr>
        <w:t>’ is een numerieke weergave van de oorspronkelijke inhoud van online content.</w:t>
      </w:r>
    </w:p>
  </w:footnote>
  <w:footnote w:id="12">
    <w:p w14:paraId="62607F4E" w14:textId="0BEBECC0" w:rsidR="00D65F50" w:rsidRPr="00190B64" w:rsidRDefault="00D65F50">
      <w:pPr>
        <w:pStyle w:val="FootnoteText"/>
        <w:rPr>
          <w:sz w:val="16"/>
          <w:szCs w:val="16"/>
        </w:rPr>
      </w:pPr>
      <w:r w:rsidRPr="00190B64">
        <w:rPr>
          <w:rStyle w:val="FootnoteReference"/>
          <w:sz w:val="16"/>
          <w:szCs w:val="16"/>
        </w:rPr>
        <w:footnoteRef/>
      </w:r>
      <w:r w:rsidRPr="00190B64">
        <w:rPr>
          <w:sz w:val="16"/>
          <w:szCs w:val="16"/>
        </w:rPr>
        <w:t xml:space="preserve"> Kamerstukken II, 2025-</w:t>
      </w:r>
      <w:r w:rsidR="00056026">
        <w:rPr>
          <w:sz w:val="16"/>
          <w:szCs w:val="16"/>
        </w:rPr>
        <w:t>20</w:t>
      </w:r>
      <w:r w:rsidRPr="00190B64">
        <w:rPr>
          <w:sz w:val="16"/>
          <w:szCs w:val="16"/>
        </w:rPr>
        <w:t>26, 29754 nr.</w:t>
      </w:r>
      <w:r w:rsidR="00FC0B99" w:rsidRPr="00190B64">
        <w:rPr>
          <w:sz w:val="16"/>
          <w:szCs w:val="16"/>
        </w:rPr>
        <w:t xml:space="preserve"> </w:t>
      </w:r>
      <w:r w:rsidRPr="00190B64">
        <w:rPr>
          <w:sz w:val="16"/>
          <w:szCs w:val="16"/>
        </w:rPr>
        <w:t>773.</w:t>
      </w:r>
    </w:p>
  </w:footnote>
  <w:footnote w:id="13">
    <w:p w14:paraId="15C3A502" w14:textId="1B2D3490" w:rsidR="00010EC2" w:rsidRPr="00407955" w:rsidRDefault="00010EC2">
      <w:pPr>
        <w:pStyle w:val="FootnoteText"/>
        <w:rPr>
          <w:sz w:val="16"/>
          <w:szCs w:val="16"/>
        </w:rPr>
      </w:pPr>
      <w:r w:rsidRPr="009E7313">
        <w:rPr>
          <w:rStyle w:val="FootnoteReference"/>
          <w:sz w:val="16"/>
          <w:szCs w:val="16"/>
        </w:rPr>
        <w:footnoteRef/>
      </w:r>
      <w:r w:rsidRPr="009E7313">
        <w:rPr>
          <w:sz w:val="16"/>
          <w:szCs w:val="16"/>
        </w:rPr>
        <w:t xml:space="preserve"> </w:t>
      </w:r>
      <w:r w:rsidR="009E7313">
        <w:rPr>
          <w:sz w:val="16"/>
          <w:szCs w:val="16"/>
        </w:rPr>
        <w:t>Kamerstukken II, 2025-29,</w:t>
      </w:r>
      <w:r w:rsidR="009E7313" w:rsidRPr="009E7313">
        <w:t xml:space="preserve"> </w:t>
      </w:r>
      <w:r w:rsidR="009E7313" w:rsidRPr="009E7313">
        <w:rPr>
          <w:sz w:val="16"/>
          <w:szCs w:val="16"/>
        </w:rPr>
        <w:t>29754</w:t>
      </w:r>
      <w:r w:rsidR="009E7313">
        <w:rPr>
          <w:sz w:val="16"/>
          <w:szCs w:val="16"/>
        </w:rPr>
        <w:t>, nr. 758</w:t>
      </w:r>
      <w:r w:rsidR="009C3BA8">
        <w:rPr>
          <w:sz w:val="16"/>
          <w:szCs w:val="16"/>
        </w:rPr>
        <w:t>.</w:t>
      </w:r>
    </w:p>
  </w:footnote>
  <w:footnote w:id="14">
    <w:p w14:paraId="40DA6DFD" w14:textId="73994193" w:rsidR="00A2758F" w:rsidRPr="00190B64" w:rsidRDefault="00A2758F">
      <w:pPr>
        <w:pStyle w:val="FootnoteText"/>
        <w:rPr>
          <w:sz w:val="16"/>
          <w:szCs w:val="16"/>
          <w:highlight w:val="yellow"/>
        </w:rPr>
      </w:pPr>
      <w:r w:rsidRPr="004D4534">
        <w:rPr>
          <w:rStyle w:val="FootnoteReference"/>
          <w:sz w:val="16"/>
          <w:szCs w:val="16"/>
        </w:rPr>
        <w:footnoteRef/>
      </w:r>
      <w:r w:rsidRPr="004D4534">
        <w:rPr>
          <w:sz w:val="16"/>
          <w:szCs w:val="16"/>
        </w:rPr>
        <w:t xml:space="preserve"> </w:t>
      </w:r>
      <w:hyperlink r:id="rId1" w:history="1">
        <w:r w:rsidR="004D4534" w:rsidRPr="004D4534">
          <w:rPr>
            <w:rStyle w:val="Hyperlink"/>
            <w:sz w:val="16"/>
            <w:szCs w:val="16"/>
          </w:rPr>
          <w:t>BNC Fiche - Actieplan inzake beveiliging van en tegen drones | Publicatie | Rijksoverheid.nl</w:t>
        </w:r>
      </w:hyperlink>
    </w:p>
  </w:footnote>
  <w:footnote w:id="15">
    <w:p w14:paraId="07B0551E" w14:textId="5B17CFE3" w:rsidR="00FA4A1E" w:rsidRDefault="00FA4A1E">
      <w:pPr>
        <w:pStyle w:val="FootnoteText"/>
      </w:pPr>
      <w:r>
        <w:rPr>
          <w:rStyle w:val="FootnoteReference"/>
        </w:rPr>
        <w:footnoteRef/>
      </w:r>
      <w:r>
        <w:t xml:space="preserve"> </w:t>
      </w:r>
      <w:hyperlink r:id="rId2" w:history="1">
        <w:r w:rsidRPr="00FA4A1E">
          <w:rPr>
            <w:sz w:val="16"/>
            <w:szCs w:val="16"/>
          </w:rPr>
          <w:t>Nederland en Frankrijk vragen opnieuw aandacht voor Europese aanpak van zwaar vuurwerk | Nieuwsbericht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A824" w14:textId="6F6D27DD" w:rsidR="0025154B" w:rsidRPr="0025154B" w:rsidRDefault="0025154B">
    <w:pPr>
      <w:pStyle w:val="Header"/>
      <w:rPr>
        <w:rFonts w:ascii="Verdana" w:hAnsi="Verdana"/>
        <w:b/>
        <w:bCs/>
        <w:sz w:val="18"/>
        <w:szCs w:val="18"/>
      </w:rPr>
    </w:pPr>
    <w:r>
      <w:rPr>
        <w:rFonts w:ascii="Verdana" w:hAnsi="Verdana"/>
        <w:b/>
        <w:bCs/>
        <w:sz w:val="18"/>
        <w:szCs w:val="18"/>
      </w:rPr>
      <w:tab/>
    </w:r>
    <w:r>
      <w:rPr>
        <w:rFonts w:ascii="Verdana" w:hAnsi="Verdana"/>
        <w:b/>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C8F"/>
    <w:multiLevelType w:val="hybridMultilevel"/>
    <w:tmpl w:val="6F74305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C71832"/>
    <w:multiLevelType w:val="hybridMultilevel"/>
    <w:tmpl w:val="1A186C92"/>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0B34B8D"/>
    <w:multiLevelType w:val="hybridMultilevel"/>
    <w:tmpl w:val="1968E99A"/>
    <w:lvl w:ilvl="0" w:tplc="371E08AA">
      <w:start w:val="1"/>
      <w:numFmt w:val="decimal"/>
      <w:lvlText w:val="%1."/>
      <w:lvlJc w:val="left"/>
      <w:pPr>
        <w:ind w:left="360" w:hanging="360"/>
      </w:pPr>
      <w:rPr>
        <w:rFonts w:hint="default"/>
        <w:b/>
        <w:bCs/>
      </w:rPr>
    </w:lvl>
    <w:lvl w:ilvl="1" w:tplc="04130019">
      <w:start w:val="1"/>
      <w:numFmt w:val="lowerLetter"/>
      <w:lvlText w:val="%2."/>
      <w:lvlJc w:val="left"/>
      <w:pPr>
        <w:ind w:left="36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5AC4315"/>
    <w:multiLevelType w:val="hybridMultilevel"/>
    <w:tmpl w:val="524A308C"/>
    <w:lvl w:ilvl="0" w:tplc="D154428C">
      <w:start w:val="1"/>
      <w:numFmt w:val="lowerLetter"/>
      <w:lvlText w:val="%1)"/>
      <w:lvlJc w:val="left"/>
      <w:pPr>
        <w:ind w:left="360" w:hanging="360"/>
      </w:pPr>
      <w:rPr>
        <w:rFonts w:hint="default"/>
        <w:i/>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88663228">
    <w:abstractNumId w:val="2"/>
  </w:num>
  <w:num w:numId="2" w16cid:durableId="2038845991">
    <w:abstractNumId w:val="4"/>
  </w:num>
  <w:num w:numId="3" w16cid:durableId="76220502">
    <w:abstractNumId w:val="1"/>
  </w:num>
  <w:num w:numId="4" w16cid:durableId="1709138554">
    <w:abstractNumId w:val="0"/>
  </w:num>
  <w:num w:numId="5" w16cid:durableId="1079516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E3"/>
    <w:rsid w:val="000009E3"/>
    <w:rsid w:val="00003B15"/>
    <w:rsid w:val="00006332"/>
    <w:rsid w:val="00010EC2"/>
    <w:rsid w:val="00014CE9"/>
    <w:rsid w:val="00016132"/>
    <w:rsid w:val="00020CC4"/>
    <w:rsid w:val="00024F99"/>
    <w:rsid w:val="0002650D"/>
    <w:rsid w:val="00036830"/>
    <w:rsid w:val="00052B54"/>
    <w:rsid w:val="00054335"/>
    <w:rsid w:val="00056026"/>
    <w:rsid w:val="00061F56"/>
    <w:rsid w:val="0006632B"/>
    <w:rsid w:val="00066A50"/>
    <w:rsid w:val="000709DD"/>
    <w:rsid w:val="00072C07"/>
    <w:rsid w:val="0007407D"/>
    <w:rsid w:val="00086470"/>
    <w:rsid w:val="000876B7"/>
    <w:rsid w:val="000948CA"/>
    <w:rsid w:val="000A11E8"/>
    <w:rsid w:val="000B148A"/>
    <w:rsid w:val="000B17BB"/>
    <w:rsid w:val="000B3313"/>
    <w:rsid w:val="000B4881"/>
    <w:rsid w:val="000B5E80"/>
    <w:rsid w:val="000C025D"/>
    <w:rsid w:val="000D0797"/>
    <w:rsid w:val="000D14D5"/>
    <w:rsid w:val="000D59A4"/>
    <w:rsid w:val="000E569F"/>
    <w:rsid w:val="000F5481"/>
    <w:rsid w:val="000F6ED8"/>
    <w:rsid w:val="0010235D"/>
    <w:rsid w:val="00114391"/>
    <w:rsid w:val="00117562"/>
    <w:rsid w:val="00117665"/>
    <w:rsid w:val="00135FAF"/>
    <w:rsid w:val="00140CE3"/>
    <w:rsid w:val="001424B8"/>
    <w:rsid w:val="00146685"/>
    <w:rsid w:val="00153DFC"/>
    <w:rsid w:val="00155CA1"/>
    <w:rsid w:val="001613F0"/>
    <w:rsid w:val="001625EA"/>
    <w:rsid w:val="001630D6"/>
    <w:rsid w:val="001670BD"/>
    <w:rsid w:val="00170CCA"/>
    <w:rsid w:val="0017198B"/>
    <w:rsid w:val="00181C94"/>
    <w:rsid w:val="00190B64"/>
    <w:rsid w:val="0019586F"/>
    <w:rsid w:val="001A1EDB"/>
    <w:rsid w:val="001A2B2E"/>
    <w:rsid w:val="001A548B"/>
    <w:rsid w:val="001B7477"/>
    <w:rsid w:val="001C5143"/>
    <w:rsid w:val="001C7279"/>
    <w:rsid w:val="001C7456"/>
    <w:rsid w:val="001E1893"/>
    <w:rsid w:val="001E20A9"/>
    <w:rsid w:val="001E260B"/>
    <w:rsid w:val="001E78AC"/>
    <w:rsid w:val="001E7D0C"/>
    <w:rsid w:val="001F0681"/>
    <w:rsid w:val="001F34F1"/>
    <w:rsid w:val="001F39A9"/>
    <w:rsid w:val="001F6AF6"/>
    <w:rsid w:val="00205B55"/>
    <w:rsid w:val="00215F46"/>
    <w:rsid w:val="00216320"/>
    <w:rsid w:val="002211C1"/>
    <w:rsid w:val="0022360A"/>
    <w:rsid w:val="00225B42"/>
    <w:rsid w:val="00227EB0"/>
    <w:rsid w:val="00230AC3"/>
    <w:rsid w:val="0023341A"/>
    <w:rsid w:val="0025154B"/>
    <w:rsid w:val="00253098"/>
    <w:rsid w:val="0026217D"/>
    <w:rsid w:val="0026343B"/>
    <w:rsid w:val="002675D0"/>
    <w:rsid w:val="00267843"/>
    <w:rsid w:val="00271183"/>
    <w:rsid w:val="00272CC6"/>
    <w:rsid w:val="0027327E"/>
    <w:rsid w:val="00274F9C"/>
    <w:rsid w:val="00280867"/>
    <w:rsid w:val="00291A99"/>
    <w:rsid w:val="00292FB2"/>
    <w:rsid w:val="00293510"/>
    <w:rsid w:val="00294C2F"/>
    <w:rsid w:val="0029728E"/>
    <w:rsid w:val="00297610"/>
    <w:rsid w:val="002A4D90"/>
    <w:rsid w:val="002A714D"/>
    <w:rsid w:val="002B3BFA"/>
    <w:rsid w:val="002B522B"/>
    <w:rsid w:val="002C2339"/>
    <w:rsid w:val="002C7E25"/>
    <w:rsid w:val="002D1A85"/>
    <w:rsid w:val="002D470E"/>
    <w:rsid w:val="002E1188"/>
    <w:rsid w:val="002E1D93"/>
    <w:rsid w:val="002F31D4"/>
    <w:rsid w:val="002F64A5"/>
    <w:rsid w:val="002F6991"/>
    <w:rsid w:val="002F72CC"/>
    <w:rsid w:val="002F7C6A"/>
    <w:rsid w:val="00301A8A"/>
    <w:rsid w:val="003022C5"/>
    <w:rsid w:val="0030238E"/>
    <w:rsid w:val="003148D6"/>
    <w:rsid w:val="00320F98"/>
    <w:rsid w:val="00327430"/>
    <w:rsid w:val="003317F0"/>
    <w:rsid w:val="0033180D"/>
    <w:rsid w:val="0033744F"/>
    <w:rsid w:val="00350C95"/>
    <w:rsid w:val="0035298D"/>
    <w:rsid w:val="00365739"/>
    <w:rsid w:val="00365A13"/>
    <w:rsid w:val="0037099F"/>
    <w:rsid w:val="00371C2C"/>
    <w:rsid w:val="0037552D"/>
    <w:rsid w:val="00377E00"/>
    <w:rsid w:val="00384503"/>
    <w:rsid w:val="003863E2"/>
    <w:rsid w:val="003904C7"/>
    <w:rsid w:val="00390526"/>
    <w:rsid w:val="00393CD4"/>
    <w:rsid w:val="003A1E5F"/>
    <w:rsid w:val="003C389A"/>
    <w:rsid w:val="003C6EAF"/>
    <w:rsid w:val="003C7AE7"/>
    <w:rsid w:val="003D50F6"/>
    <w:rsid w:val="003D5850"/>
    <w:rsid w:val="003E69E6"/>
    <w:rsid w:val="003E7A71"/>
    <w:rsid w:val="003F3303"/>
    <w:rsid w:val="003F34C0"/>
    <w:rsid w:val="003F68C5"/>
    <w:rsid w:val="00406D7D"/>
    <w:rsid w:val="00407955"/>
    <w:rsid w:val="00410A36"/>
    <w:rsid w:val="00422671"/>
    <w:rsid w:val="00425BCD"/>
    <w:rsid w:val="00434D71"/>
    <w:rsid w:val="004450B0"/>
    <w:rsid w:val="0045350F"/>
    <w:rsid w:val="004544FA"/>
    <w:rsid w:val="00460A16"/>
    <w:rsid w:val="00462C9E"/>
    <w:rsid w:val="00465A68"/>
    <w:rsid w:val="004673CA"/>
    <w:rsid w:val="0047335D"/>
    <w:rsid w:val="00473675"/>
    <w:rsid w:val="004800F9"/>
    <w:rsid w:val="00482F67"/>
    <w:rsid w:val="00491710"/>
    <w:rsid w:val="0049286D"/>
    <w:rsid w:val="00495809"/>
    <w:rsid w:val="004A20EE"/>
    <w:rsid w:val="004B1B41"/>
    <w:rsid w:val="004B2748"/>
    <w:rsid w:val="004B3069"/>
    <w:rsid w:val="004B31A9"/>
    <w:rsid w:val="004C3503"/>
    <w:rsid w:val="004D4534"/>
    <w:rsid w:val="004D7AD6"/>
    <w:rsid w:val="004E3760"/>
    <w:rsid w:val="004F5421"/>
    <w:rsid w:val="0051152C"/>
    <w:rsid w:val="005163C5"/>
    <w:rsid w:val="005230E7"/>
    <w:rsid w:val="005256AE"/>
    <w:rsid w:val="00533B31"/>
    <w:rsid w:val="00534BBB"/>
    <w:rsid w:val="00540D0C"/>
    <w:rsid w:val="005414A2"/>
    <w:rsid w:val="005436AE"/>
    <w:rsid w:val="00543E0A"/>
    <w:rsid w:val="00545E47"/>
    <w:rsid w:val="00553F54"/>
    <w:rsid w:val="00555763"/>
    <w:rsid w:val="005566CA"/>
    <w:rsid w:val="00563C93"/>
    <w:rsid w:val="0057605C"/>
    <w:rsid w:val="005845F6"/>
    <w:rsid w:val="005863FE"/>
    <w:rsid w:val="005865EA"/>
    <w:rsid w:val="00593B84"/>
    <w:rsid w:val="00593E72"/>
    <w:rsid w:val="005940A8"/>
    <w:rsid w:val="005A3A50"/>
    <w:rsid w:val="005A3EBF"/>
    <w:rsid w:val="005A7C1F"/>
    <w:rsid w:val="005B0B93"/>
    <w:rsid w:val="005B2CDA"/>
    <w:rsid w:val="005B5ED1"/>
    <w:rsid w:val="005C1725"/>
    <w:rsid w:val="005D6EDD"/>
    <w:rsid w:val="005F299F"/>
    <w:rsid w:val="00602D31"/>
    <w:rsid w:val="00604BE8"/>
    <w:rsid w:val="00605FAE"/>
    <w:rsid w:val="00605FD5"/>
    <w:rsid w:val="00610DFF"/>
    <w:rsid w:val="00613919"/>
    <w:rsid w:val="00624E8E"/>
    <w:rsid w:val="006258D8"/>
    <w:rsid w:val="00625EEA"/>
    <w:rsid w:val="00631183"/>
    <w:rsid w:val="00640FC0"/>
    <w:rsid w:val="00642F5C"/>
    <w:rsid w:val="00643844"/>
    <w:rsid w:val="00643DE9"/>
    <w:rsid w:val="00652796"/>
    <w:rsid w:val="00661B51"/>
    <w:rsid w:val="006625FB"/>
    <w:rsid w:val="006706B7"/>
    <w:rsid w:val="00670A12"/>
    <w:rsid w:val="00673C1E"/>
    <w:rsid w:val="00680BC1"/>
    <w:rsid w:val="00683B1E"/>
    <w:rsid w:val="00685DA9"/>
    <w:rsid w:val="006A1C5A"/>
    <w:rsid w:val="006A217B"/>
    <w:rsid w:val="006A58A4"/>
    <w:rsid w:val="006B110E"/>
    <w:rsid w:val="006B251B"/>
    <w:rsid w:val="006C00B8"/>
    <w:rsid w:val="006C1993"/>
    <w:rsid w:val="006C49B1"/>
    <w:rsid w:val="006D60EC"/>
    <w:rsid w:val="006D67EB"/>
    <w:rsid w:val="006E0B70"/>
    <w:rsid w:val="006E51C3"/>
    <w:rsid w:val="007001D2"/>
    <w:rsid w:val="00700F76"/>
    <w:rsid w:val="00702F1E"/>
    <w:rsid w:val="00704197"/>
    <w:rsid w:val="00707EDD"/>
    <w:rsid w:val="00713E54"/>
    <w:rsid w:val="00714DA6"/>
    <w:rsid w:val="00722699"/>
    <w:rsid w:val="0072440E"/>
    <w:rsid w:val="007252FF"/>
    <w:rsid w:val="00735F1B"/>
    <w:rsid w:val="00741938"/>
    <w:rsid w:val="00742719"/>
    <w:rsid w:val="007431CE"/>
    <w:rsid w:val="0074731D"/>
    <w:rsid w:val="00747911"/>
    <w:rsid w:val="0075002A"/>
    <w:rsid w:val="00751BCE"/>
    <w:rsid w:val="007613DB"/>
    <w:rsid w:val="007660D8"/>
    <w:rsid w:val="007666CE"/>
    <w:rsid w:val="00776D7D"/>
    <w:rsid w:val="007831D3"/>
    <w:rsid w:val="007848A5"/>
    <w:rsid w:val="0078624F"/>
    <w:rsid w:val="007878E4"/>
    <w:rsid w:val="007A221C"/>
    <w:rsid w:val="007A2BDF"/>
    <w:rsid w:val="007A6597"/>
    <w:rsid w:val="007A6944"/>
    <w:rsid w:val="007B0569"/>
    <w:rsid w:val="007B096E"/>
    <w:rsid w:val="007B32C7"/>
    <w:rsid w:val="007B393C"/>
    <w:rsid w:val="007B6BC3"/>
    <w:rsid w:val="007C39FC"/>
    <w:rsid w:val="007C46AA"/>
    <w:rsid w:val="007C7155"/>
    <w:rsid w:val="007C7234"/>
    <w:rsid w:val="007E2F2D"/>
    <w:rsid w:val="007E43B5"/>
    <w:rsid w:val="007E4579"/>
    <w:rsid w:val="007F671A"/>
    <w:rsid w:val="007F7C14"/>
    <w:rsid w:val="007F7DBD"/>
    <w:rsid w:val="00801DC2"/>
    <w:rsid w:val="00802D19"/>
    <w:rsid w:val="0080660A"/>
    <w:rsid w:val="0081175F"/>
    <w:rsid w:val="00812978"/>
    <w:rsid w:val="0081656F"/>
    <w:rsid w:val="0081756C"/>
    <w:rsid w:val="00820B63"/>
    <w:rsid w:val="00822A74"/>
    <w:rsid w:val="008415F2"/>
    <w:rsid w:val="008419E0"/>
    <w:rsid w:val="00842C48"/>
    <w:rsid w:val="00843470"/>
    <w:rsid w:val="00850E25"/>
    <w:rsid w:val="008514AC"/>
    <w:rsid w:val="00853720"/>
    <w:rsid w:val="0086111B"/>
    <w:rsid w:val="00873DB8"/>
    <w:rsid w:val="00881C32"/>
    <w:rsid w:val="00886A10"/>
    <w:rsid w:val="0089771D"/>
    <w:rsid w:val="008A1530"/>
    <w:rsid w:val="008A7051"/>
    <w:rsid w:val="008A7EC0"/>
    <w:rsid w:val="008B0118"/>
    <w:rsid w:val="008B45AB"/>
    <w:rsid w:val="008B4D87"/>
    <w:rsid w:val="008B59F5"/>
    <w:rsid w:val="008C3698"/>
    <w:rsid w:val="008C3821"/>
    <w:rsid w:val="008D0900"/>
    <w:rsid w:val="008D649C"/>
    <w:rsid w:val="008F38CE"/>
    <w:rsid w:val="008F43D4"/>
    <w:rsid w:val="008F661B"/>
    <w:rsid w:val="009072E7"/>
    <w:rsid w:val="009102BC"/>
    <w:rsid w:val="00912246"/>
    <w:rsid w:val="009127AB"/>
    <w:rsid w:val="00913597"/>
    <w:rsid w:val="0091511F"/>
    <w:rsid w:val="00920F1D"/>
    <w:rsid w:val="00926653"/>
    <w:rsid w:val="009274A4"/>
    <w:rsid w:val="00931980"/>
    <w:rsid w:val="0093249A"/>
    <w:rsid w:val="00933A23"/>
    <w:rsid w:val="00942726"/>
    <w:rsid w:val="00943AF0"/>
    <w:rsid w:val="00943E36"/>
    <w:rsid w:val="00944067"/>
    <w:rsid w:val="00947DA7"/>
    <w:rsid w:val="00964581"/>
    <w:rsid w:val="009673DB"/>
    <w:rsid w:val="00971918"/>
    <w:rsid w:val="00975E35"/>
    <w:rsid w:val="00981E90"/>
    <w:rsid w:val="00983B24"/>
    <w:rsid w:val="00995B79"/>
    <w:rsid w:val="009968D6"/>
    <w:rsid w:val="00996D06"/>
    <w:rsid w:val="0099734E"/>
    <w:rsid w:val="009B01CF"/>
    <w:rsid w:val="009B7CC3"/>
    <w:rsid w:val="009C3BA8"/>
    <w:rsid w:val="009C3F41"/>
    <w:rsid w:val="009C6469"/>
    <w:rsid w:val="009D12E3"/>
    <w:rsid w:val="009D28A2"/>
    <w:rsid w:val="009D468F"/>
    <w:rsid w:val="009D5FFF"/>
    <w:rsid w:val="009E26E1"/>
    <w:rsid w:val="009E7313"/>
    <w:rsid w:val="009F01FF"/>
    <w:rsid w:val="009F2919"/>
    <w:rsid w:val="009F5D89"/>
    <w:rsid w:val="009F7262"/>
    <w:rsid w:val="00A07837"/>
    <w:rsid w:val="00A21356"/>
    <w:rsid w:val="00A2647A"/>
    <w:rsid w:val="00A2758F"/>
    <w:rsid w:val="00A365BD"/>
    <w:rsid w:val="00A36CE1"/>
    <w:rsid w:val="00A437A3"/>
    <w:rsid w:val="00A43CA2"/>
    <w:rsid w:val="00A55FF3"/>
    <w:rsid w:val="00A64865"/>
    <w:rsid w:val="00A668E5"/>
    <w:rsid w:val="00A66E3F"/>
    <w:rsid w:val="00A7245C"/>
    <w:rsid w:val="00A75075"/>
    <w:rsid w:val="00A935D0"/>
    <w:rsid w:val="00AA490F"/>
    <w:rsid w:val="00AA5A94"/>
    <w:rsid w:val="00AA6ABF"/>
    <w:rsid w:val="00AC1EE8"/>
    <w:rsid w:val="00AD3684"/>
    <w:rsid w:val="00AD42BF"/>
    <w:rsid w:val="00AD5102"/>
    <w:rsid w:val="00AE48D3"/>
    <w:rsid w:val="00AE5ECB"/>
    <w:rsid w:val="00AF2E3A"/>
    <w:rsid w:val="00AF4FBD"/>
    <w:rsid w:val="00B02DD5"/>
    <w:rsid w:val="00B10B79"/>
    <w:rsid w:val="00B1110E"/>
    <w:rsid w:val="00B144AF"/>
    <w:rsid w:val="00B15085"/>
    <w:rsid w:val="00B15371"/>
    <w:rsid w:val="00B16986"/>
    <w:rsid w:val="00B24F4F"/>
    <w:rsid w:val="00B33A8E"/>
    <w:rsid w:val="00B371D5"/>
    <w:rsid w:val="00B4178F"/>
    <w:rsid w:val="00B43356"/>
    <w:rsid w:val="00B43E51"/>
    <w:rsid w:val="00B44B13"/>
    <w:rsid w:val="00B47DE0"/>
    <w:rsid w:val="00B55651"/>
    <w:rsid w:val="00B5735A"/>
    <w:rsid w:val="00B65190"/>
    <w:rsid w:val="00B76715"/>
    <w:rsid w:val="00BA1635"/>
    <w:rsid w:val="00BB1783"/>
    <w:rsid w:val="00BB2902"/>
    <w:rsid w:val="00BB349A"/>
    <w:rsid w:val="00BB4008"/>
    <w:rsid w:val="00BC664A"/>
    <w:rsid w:val="00BE18ED"/>
    <w:rsid w:val="00BE4650"/>
    <w:rsid w:val="00BE5904"/>
    <w:rsid w:val="00BE70ED"/>
    <w:rsid w:val="00BF275B"/>
    <w:rsid w:val="00C012B2"/>
    <w:rsid w:val="00C01910"/>
    <w:rsid w:val="00C0339F"/>
    <w:rsid w:val="00C0366E"/>
    <w:rsid w:val="00C06EF0"/>
    <w:rsid w:val="00C07A6C"/>
    <w:rsid w:val="00C33000"/>
    <w:rsid w:val="00C43868"/>
    <w:rsid w:val="00C4475C"/>
    <w:rsid w:val="00C5030F"/>
    <w:rsid w:val="00C54891"/>
    <w:rsid w:val="00C55AA5"/>
    <w:rsid w:val="00C63159"/>
    <w:rsid w:val="00C63E53"/>
    <w:rsid w:val="00C672AB"/>
    <w:rsid w:val="00C72CBB"/>
    <w:rsid w:val="00C80F36"/>
    <w:rsid w:val="00C81CFB"/>
    <w:rsid w:val="00CB43D6"/>
    <w:rsid w:val="00CB6EF9"/>
    <w:rsid w:val="00CC22E9"/>
    <w:rsid w:val="00CE05B1"/>
    <w:rsid w:val="00CE0B64"/>
    <w:rsid w:val="00CE2F81"/>
    <w:rsid w:val="00CE462F"/>
    <w:rsid w:val="00D00CC3"/>
    <w:rsid w:val="00D00FE0"/>
    <w:rsid w:val="00D11DF5"/>
    <w:rsid w:val="00D124D6"/>
    <w:rsid w:val="00D12533"/>
    <w:rsid w:val="00D223BE"/>
    <w:rsid w:val="00D235E7"/>
    <w:rsid w:val="00D321BA"/>
    <w:rsid w:val="00D41AF0"/>
    <w:rsid w:val="00D46909"/>
    <w:rsid w:val="00D65F50"/>
    <w:rsid w:val="00D67BA0"/>
    <w:rsid w:val="00D71D11"/>
    <w:rsid w:val="00D744B7"/>
    <w:rsid w:val="00D75FD0"/>
    <w:rsid w:val="00D810C8"/>
    <w:rsid w:val="00D8550B"/>
    <w:rsid w:val="00D92793"/>
    <w:rsid w:val="00DA4424"/>
    <w:rsid w:val="00DA79A8"/>
    <w:rsid w:val="00DB330F"/>
    <w:rsid w:val="00DB46A8"/>
    <w:rsid w:val="00DC04CE"/>
    <w:rsid w:val="00DC6BA1"/>
    <w:rsid w:val="00DD19DD"/>
    <w:rsid w:val="00DD4122"/>
    <w:rsid w:val="00DE4180"/>
    <w:rsid w:val="00DE66A2"/>
    <w:rsid w:val="00DF30DC"/>
    <w:rsid w:val="00DF56BC"/>
    <w:rsid w:val="00E17D9A"/>
    <w:rsid w:val="00E20D6F"/>
    <w:rsid w:val="00E2262B"/>
    <w:rsid w:val="00E30FFB"/>
    <w:rsid w:val="00E32B23"/>
    <w:rsid w:val="00E463C1"/>
    <w:rsid w:val="00E5183C"/>
    <w:rsid w:val="00E53670"/>
    <w:rsid w:val="00E53D05"/>
    <w:rsid w:val="00E54FCC"/>
    <w:rsid w:val="00E5706C"/>
    <w:rsid w:val="00E57249"/>
    <w:rsid w:val="00E57E61"/>
    <w:rsid w:val="00E61613"/>
    <w:rsid w:val="00E646B5"/>
    <w:rsid w:val="00E838D7"/>
    <w:rsid w:val="00E86FC8"/>
    <w:rsid w:val="00E90911"/>
    <w:rsid w:val="00E96FF6"/>
    <w:rsid w:val="00EA06FA"/>
    <w:rsid w:val="00EA28FD"/>
    <w:rsid w:val="00EA65BC"/>
    <w:rsid w:val="00EB0B21"/>
    <w:rsid w:val="00EB4A26"/>
    <w:rsid w:val="00EB7309"/>
    <w:rsid w:val="00ED1633"/>
    <w:rsid w:val="00ED2DC9"/>
    <w:rsid w:val="00EE0455"/>
    <w:rsid w:val="00EE1B50"/>
    <w:rsid w:val="00EE549F"/>
    <w:rsid w:val="00EE6E96"/>
    <w:rsid w:val="00EE747D"/>
    <w:rsid w:val="00EE7815"/>
    <w:rsid w:val="00EE7D59"/>
    <w:rsid w:val="00EF18D3"/>
    <w:rsid w:val="00EF2705"/>
    <w:rsid w:val="00F132A8"/>
    <w:rsid w:val="00F13404"/>
    <w:rsid w:val="00F330C2"/>
    <w:rsid w:val="00F35893"/>
    <w:rsid w:val="00F50DCC"/>
    <w:rsid w:val="00F53523"/>
    <w:rsid w:val="00F538C8"/>
    <w:rsid w:val="00F54514"/>
    <w:rsid w:val="00F56404"/>
    <w:rsid w:val="00F57409"/>
    <w:rsid w:val="00F64FEC"/>
    <w:rsid w:val="00F667BE"/>
    <w:rsid w:val="00F834D6"/>
    <w:rsid w:val="00F851AB"/>
    <w:rsid w:val="00F94D96"/>
    <w:rsid w:val="00FA2D8E"/>
    <w:rsid w:val="00FA4A1E"/>
    <w:rsid w:val="00FA5BCF"/>
    <w:rsid w:val="00FA7878"/>
    <w:rsid w:val="00FB0643"/>
    <w:rsid w:val="00FB15D3"/>
    <w:rsid w:val="00FC0A6D"/>
    <w:rsid w:val="00FC0B99"/>
    <w:rsid w:val="00FC273F"/>
    <w:rsid w:val="00FD08FD"/>
    <w:rsid w:val="00FD0AB6"/>
    <w:rsid w:val="00FD10DA"/>
    <w:rsid w:val="00FD15F5"/>
    <w:rsid w:val="00FE26C0"/>
    <w:rsid w:val="00FE3A13"/>
    <w:rsid w:val="00FE5991"/>
    <w:rsid w:val="00FE606F"/>
    <w:rsid w:val="00FF48CA"/>
    <w:rsid w:val="00FF560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8D36"/>
  <w15:chartTrackingRefBased/>
  <w15:docId w15:val="{41B778B2-9B99-4653-96E1-4F348CA0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81"/>
  </w:style>
  <w:style w:type="paragraph" w:styleId="Heading1">
    <w:name w:val="heading 1"/>
    <w:basedOn w:val="Normal"/>
    <w:next w:val="Normal"/>
    <w:link w:val="Heading1Char"/>
    <w:uiPriority w:val="9"/>
    <w:qFormat/>
    <w:rsid w:val="00140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0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0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CE3"/>
    <w:rPr>
      <w:rFonts w:eastAsiaTheme="majorEastAsia" w:cstheme="majorBidi"/>
      <w:color w:val="272727" w:themeColor="text1" w:themeTint="D8"/>
    </w:rPr>
  </w:style>
  <w:style w:type="paragraph" w:styleId="Title">
    <w:name w:val="Title"/>
    <w:basedOn w:val="Normal"/>
    <w:next w:val="Normal"/>
    <w:link w:val="TitleChar"/>
    <w:uiPriority w:val="10"/>
    <w:qFormat/>
    <w:rsid w:val="00140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CE3"/>
    <w:pPr>
      <w:spacing w:before="160"/>
      <w:jc w:val="center"/>
    </w:pPr>
    <w:rPr>
      <w:i/>
      <w:iCs/>
      <w:color w:val="404040" w:themeColor="text1" w:themeTint="BF"/>
    </w:rPr>
  </w:style>
  <w:style w:type="character" w:customStyle="1" w:styleId="QuoteChar">
    <w:name w:val="Quote Char"/>
    <w:basedOn w:val="DefaultParagraphFont"/>
    <w:link w:val="Quote"/>
    <w:uiPriority w:val="29"/>
    <w:rsid w:val="00140CE3"/>
    <w:rPr>
      <w:i/>
      <w:iCs/>
      <w:color w:val="404040" w:themeColor="text1" w:themeTint="BF"/>
    </w:rPr>
  </w:style>
  <w:style w:type="paragraph" w:styleId="ListParagraph">
    <w:name w:val="List Paragraph"/>
    <w:basedOn w:val="Normal"/>
    <w:uiPriority w:val="34"/>
    <w:qFormat/>
    <w:rsid w:val="00140CE3"/>
    <w:pPr>
      <w:ind w:left="720"/>
      <w:contextualSpacing/>
    </w:pPr>
  </w:style>
  <w:style w:type="character" w:styleId="IntenseEmphasis">
    <w:name w:val="Intense Emphasis"/>
    <w:basedOn w:val="DefaultParagraphFont"/>
    <w:uiPriority w:val="21"/>
    <w:qFormat/>
    <w:rsid w:val="00140CE3"/>
    <w:rPr>
      <w:i/>
      <w:iCs/>
      <w:color w:val="0F4761" w:themeColor="accent1" w:themeShade="BF"/>
    </w:rPr>
  </w:style>
  <w:style w:type="paragraph" w:styleId="IntenseQuote">
    <w:name w:val="Intense Quote"/>
    <w:basedOn w:val="Normal"/>
    <w:next w:val="Normal"/>
    <w:link w:val="IntenseQuoteChar"/>
    <w:uiPriority w:val="30"/>
    <w:qFormat/>
    <w:rsid w:val="00140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CE3"/>
    <w:rPr>
      <w:i/>
      <w:iCs/>
      <w:color w:val="0F4761" w:themeColor="accent1" w:themeShade="BF"/>
    </w:rPr>
  </w:style>
  <w:style w:type="character" w:styleId="IntenseReference">
    <w:name w:val="Intense Reference"/>
    <w:basedOn w:val="DefaultParagraphFont"/>
    <w:uiPriority w:val="32"/>
    <w:qFormat/>
    <w:rsid w:val="00140CE3"/>
    <w:rPr>
      <w:b/>
      <w:bCs/>
      <w:smallCaps/>
      <w:color w:val="0F4761" w:themeColor="accent1" w:themeShade="BF"/>
      <w:spacing w:val="5"/>
    </w:rPr>
  </w:style>
  <w:style w:type="character" w:styleId="CommentReference">
    <w:name w:val="annotation reference"/>
    <w:basedOn w:val="DefaultParagraphFont"/>
    <w:uiPriority w:val="99"/>
    <w:semiHidden/>
    <w:unhideWhenUsed/>
    <w:rsid w:val="000F5481"/>
    <w:rPr>
      <w:sz w:val="16"/>
      <w:szCs w:val="16"/>
    </w:rPr>
  </w:style>
  <w:style w:type="paragraph" w:styleId="CommentText">
    <w:name w:val="annotation text"/>
    <w:basedOn w:val="Normal"/>
    <w:link w:val="CommentTextChar"/>
    <w:uiPriority w:val="99"/>
    <w:unhideWhenUsed/>
    <w:rsid w:val="000F5481"/>
    <w:pPr>
      <w:spacing w:line="240" w:lineRule="auto"/>
    </w:pPr>
    <w:rPr>
      <w:sz w:val="20"/>
      <w:szCs w:val="20"/>
    </w:rPr>
  </w:style>
  <w:style w:type="character" w:customStyle="1" w:styleId="CommentTextChar">
    <w:name w:val="Comment Text Char"/>
    <w:basedOn w:val="DefaultParagraphFont"/>
    <w:link w:val="CommentText"/>
    <w:uiPriority w:val="99"/>
    <w:rsid w:val="000F5481"/>
    <w:rPr>
      <w:sz w:val="20"/>
      <w:szCs w:val="20"/>
    </w:rPr>
  </w:style>
  <w:style w:type="character" w:styleId="Hyperlink">
    <w:name w:val="Hyperlink"/>
    <w:basedOn w:val="DefaultParagraphFont"/>
    <w:uiPriority w:val="99"/>
    <w:unhideWhenUsed/>
    <w:rsid w:val="00C81CFB"/>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26343B"/>
    <w:rPr>
      <w:b/>
      <w:bCs/>
    </w:rPr>
  </w:style>
  <w:style w:type="character" w:customStyle="1" w:styleId="CommentSubjectChar">
    <w:name w:val="Comment Subject Char"/>
    <w:basedOn w:val="CommentTextChar"/>
    <w:link w:val="CommentSubject"/>
    <w:uiPriority w:val="99"/>
    <w:semiHidden/>
    <w:rsid w:val="0026343B"/>
    <w:rPr>
      <w:b/>
      <w:bCs/>
      <w:sz w:val="20"/>
      <w:szCs w:val="20"/>
    </w:rPr>
  </w:style>
  <w:style w:type="paragraph" w:styleId="Revision">
    <w:name w:val="Revision"/>
    <w:hidden/>
    <w:uiPriority w:val="99"/>
    <w:semiHidden/>
    <w:rsid w:val="00971918"/>
    <w:pPr>
      <w:spacing w:after="0" w:line="240" w:lineRule="auto"/>
    </w:pPr>
  </w:style>
  <w:style w:type="paragraph" w:styleId="FootnoteText">
    <w:name w:val="footnote text"/>
    <w:basedOn w:val="Normal"/>
    <w:link w:val="FootnoteTextChar"/>
    <w:uiPriority w:val="99"/>
    <w:semiHidden/>
    <w:unhideWhenUsed/>
    <w:rsid w:val="00971918"/>
    <w:pPr>
      <w:spacing w:after="0" w:line="240" w:lineRule="auto"/>
    </w:pPr>
    <w:rPr>
      <w:rFonts w:ascii="Verdana" w:hAnsi="Verdana"/>
      <w:sz w:val="20"/>
      <w:szCs w:val="20"/>
    </w:rPr>
  </w:style>
  <w:style w:type="character" w:customStyle="1" w:styleId="FootnoteTextChar">
    <w:name w:val="Footnote Text Char"/>
    <w:basedOn w:val="DefaultParagraphFont"/>
    <w:link w:val="FootnoteText"/>
    <w:uiPriority w:val="99"/>
    <w:semiHidden/>
    <w:rsid w:val="00971918"/>
    <w:rPr>
      <w:rFonts w:ascii="Verdana" w:hAnsi="Verdana"/>
      <w:sz w:val="20"/>
      <w:szCs w:val="20"/>
    </w:rPr>
  </w:style>
  <w:style w:type="character" w:styleId="FootnoteReference">
    <w:name w:val="footnote reference"/>
    <w:basedOn w:val="DefaultParagraphFont"/>
    <w:uiPriority w:val="99"/>
    <w:semiHidden/>
    <w:unhideWhenUsed/>
    <w:rsid w:val="00971918"/>
    <w:rPr>
      <w:vertAlign w:val="superscript"/>
    </w:rPr>
  </w:style>
  <w:style w:type="paragraph" w:styleId="NormalWeb">
    <w:name w:val="Normal (Web)"/>
    <w:basedOn w:val="Normal"/>
    <w:uiPriority w:val="99"/>
    <w:unhideWhenUsed/>
    <w:rsid w:val="002F64A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UnresolvedMention">
    <w:name w:val="Unresolved Mention"/>
    <w:basedOn w:val="DefaultParagraphFont"/>
    <w:uiPriority w:val="99"/>
    <w:semiHidden/>
    <w:unhideWhenUsed/>
    <w:rsid w:val="003C6EAF"/>
    <w:rPr>
      <w:color w:val="605E5C"/>
      <w:shd w:val="clear" w:color="auto" w:fill="E1DFDD"/>
    </w:rPr>
  </w:style>
  <w:style w:type="character" w:styleId="FollowedHyperlink">
    <w:name w:val="FollowedHyperlink"/>
    <w:basedOn w:val="DefaultParagraphFont"/>
    <w:uiPriority w:val="99"/>
    <w:semiHidden/>
    <w:unhideWhenUsed/>
    <w:rsid w:val="000B5E80"/>
    <w:rPr>
      <w:color w:val="96607D" w:themeColor="followedHyperlink"/>
      <w:u w:val="single"/>
    </w:rPr>
  </w:style>
  <w:style w:type="paragraph" w:styleId="Footer">
    <w:name w:val="footer"/>
    <w:basedOn w:val="Normal"/>
    <w:link w:val="FooterChar"/>
    <w:uiPriority w:val="99"/>
    <w:unhideWhenUsed/>
    <w:rsid w:val="004B31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31A9"/>
  </w:style>
  <w:style w:type="paragraph" w:styleId="Header">
    <w:name w:val="header"/>
    <w:basedOn w:val="Normal"/>
    <w:link w:val="HeaderChar"/>
    <w:uiPriority w:val="99"/>
    <w:unhideWhenUsed/>
    <w:rsid w:val="008977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69164">
      <w:bodyDiv w:val="1"/>
      <w:marLeft w:val="0"/>
      <w:marRight w:val="0"/>
      <w:marTop w:val="0"/>
      <w:marBottom w:val="0"/>
      <w:divBdr>
        <w:top w:val="none" w:sz="0" w:space="0" w:color="auto"/>
        <w:left w:val="none" w:sz="0" w:space="0" w:color="auto"/>
        <w:bottom w:val="none" w:sz="0" w:space="0" w:color="auto"/>
        <w:right w:val="none" w:sz="0" w:space="0" w:color="auto"/>
      </w:divBdr>
    </w:div>
    <w:div w:id="547643017">
      <w:bodyDiv w:val="1"/>
      <w:marLeft w:val="0"/>
      <w:marRight w:val="0"/>
      <w:marTop w:val="0"/>
      <w:marBottom w:val="0"/>
      <w:divBdr>
        <w:top w:val="none" w:sz="0" w:space="0" w:color="auto"/>
        <w:left w:val="none" w:sz="0" w:space="0" w:color="auto"/>
        <w:bottom w:val="none" w:sz="0" w:space="0" w:color="auto"/>
        <w:right w:val="none" w:sz="0" w:space="0" w:color="auto"/>
      </w:divBdr>
    </w:div>
    <w:div w:id="701171694">
      <w:bodyDiv w:val="1"/>
      <w:marLeft w:val="0"/>
      <w:marRight w:val="0"/>
      <w:marTop w:val="0"/>
      <w:marBottom w:val="0"/>
      <w:divBdr>
        <w:top w:val="none" w:sz="0" w:space="0" w:color="auto"/>
        <w:left w:val="none" w:sz="0" w:space="0" w:color="auto"/>
        <w:bottom w:val="none" w:sz="0" w:space="0" w:color="auto"/>
        <w:right w:val="none" w:sz="0" w:space="0" w:color="auto"/>
      </w:divBdr>
    </w:div>
    <w:div w:id="701827760">
      <w:bodyDiv w:val="1"/>
      <w:marLeft w:val="0"/>
      <w:marRight w:val="0"/>
      <w:marTop w:val="0"/>
      <w:marBottom w:val="0"/>
      <w:divBdr>
        <w:top w:val="none" w:sz="0" w:space="0" w:color="auto"/>
        <w:left w:val="none" w:sz="0" w:space="0" w:color="auto"/>
        <w:bottom w:val="none" w:sz="0" w:space="0" w:color="auto"/>
        <w:right w:val="none" w:sz="0" w:space="0" w:color="auto"/>
      </w:divBdr>
    </w:div>
    <w:div w:id="761755455">
      <w:bodyDiv w:val="1"/>
      <w:marLeft w:val="0"/>
      <w:marRight w:val="0"/>
      <w:marTop w:val="0"/>
      <w:marBottom w:val="0"/>
      <w:divBdr>
        <w:top w:val="none" w:sz="0" w:space="0" w:color="auto"/>
        <w:left w:val="none" w:sz="0" w:space="0" w:color="auto"/>
        <w:bottom w:val="none" w:sz="0" w:space="0" w:color="auto"/>
        <w:right w:val="none" w:sz="0" w:space="0" w:color="auto"/>
      </w:divBdr>
    </w:div>
    <w:div w:id="834882764">
      <w:bodyDiv w:val="1"/>
      <w:marLeft w:val="0"/>
      <w:marRight w:val="0"/>
      <w:marTop w:val="0"/>
      <w:marBottom w:val="0"/>
      <w:divBdr>
        <w:top w:val="none" w:sz="0" w:space="0" w:color="auto"/>
        <w:left w:val="none" w:sz="0" w:space="0" w:color="auto"/>
        <w:bottom w:val="none" w:sz="0" w:space="0" w:color="auto"/>
        <w:right w:val="none" w:sz="0" w:space="0" w:color="auto"/>
      </w:divBdr>
    </w:div>
    <w:div w:id="894270201">
      <w:bodyDiv w:val="1"/>
      <w:marLeft w:val="0"/>
      <w:marRight w:val="0"/>
      <w:marTop w:val="0"/>
      <w:marBottom w:val="0"/>
      <w:divBdr>
        <w:top w:val="none" w:sz="0" w:space="0" w:color="auto"/>
        <w:left w:val="none" w:sz="0" w:space="0" w:color="auto"/>
        <w:bottom w:val="none" w:sz="0" w:space="0" w:color="auto"/>
        <w:right w:val="none" w:sz="0" w:space="0" w:color="auto"/>
      </w:divBdr>
    </w:div>
    <w:div w:id="907299927">
      <w:bodyDiv w:val="1"/>
      <w:marLeft w:val="0"/>
      <w:marRight w:val="0"/>
      <w:marTop w:val="0"/>
      <w:marBottom w:val="0"/>
      <w:divBdr>
        <w:top w:val="none" w:sz="0" w:space="0" w:color="auto"/>
        <w:left w:val="none" w:sz="0" w:space="0" w:color="auto"/>
        <w:bottom w:val="none" w:sz="0" w:space="0" w:color="auto"/>
        <w:right w:val="none" w:sz="0" w:space="0" w:color="auto"/>
      </w:divBdr>
    </w:div>
    <w:div w:id="908659155">
      <w:bodyDiv w:val="1"/>
      <w:marLeft w:val="0"/>
      <w:marRight w:val="0"/>
      <w:marTop w:val="0"/>
      <w:marBottom w:val="0"/>
      <w:divBdr>
        <w:top w:val="none" w:sz="0" w:space="0" w:color="auto"/>
        <w:left w:val="none" w:sz="0" w:space="0" w:color="auto"/>
        <w:bottom w:val="none" w:sz="0" w:space="0" w:color="auto"/>
        <w:right w:val="none" w:sz="0" w:space="0" w:color="auto"/>
      </w:divBdr>
    </w:div>
    <w:div w:id="964579421">
      <w:bodyDiv w:val="1"/>
      <w:marLeft w:val="0"/>
      <w:marRight w:val="0"/>
      <w:marTop w:val="0"/>
      <w:marBottom w:val="0"/>
      <w:divBdr>
        <w:top w:val="none" w:sz="0" w:space="0" w:color="auto"/>
        <w:left w:val="none" w:sz="0" w:space="0" w:color="auto"/>
        <w:bottom w:val="none" w:sz="0" w:space="0" w:color="auto"/>
        <w:right w:val="none" w:sz="0" w:space="0" w:color="auto"/>
      </w:divBdr>
    </w:div>
    <w:div w:id="1438331175">
      <w:bodyDiv w:val="1"/>
      <w:marLeft w:val="0"/>
      <w:marRight w:val="0"/>
      <w:marTop w:val="0"/>
      <w:marBottom w:val="0"/>
      <w:divBdr>
        <w:top w:val="none" w:sz="0" w:space="0" w:color="auto"/>
        <w:left w:val="none" w:sz="0" w:space="0" w:color="auto"/>
        <w:bottom w:val="none" w:sz="0" w:space="0" w:color="auto"/>
        <w:right w:val="none" w:sz="0" w:space="0" w:color="auto"/>
      </w:divBdr>
    </w:div>
    <w:div w:id="1495338015">
      <w:bodyDiv w:val="1"/>
      <w:marLeft w:val="0"/>
      <w:marRight w:val="0"/>
      <w:marTop w:val="0"/>
      <w:marBottom w:val="0"/>
      <w:divBdr>
        <w:top w:val="none" w:sz="0" w:space="0" w:color="auto"/>
        <w:left w:val="none" w:sz="0" w:space="0" w:color="auto"/>
        <w:bottom w:val="none" w:sz="0" w:space="0" w:color="auto"/>
        <w:right w:val="none" w:sz="0" w:space="0" w:color="auto"/>
      </w:divBdr>
    </w:div>
    <w:div w:id="1543205105">
      <w:bodyDiv w:val="1"/>
      <w:marLeft w:val="0"/>
      <w:marRight w:val="0"/>
      <w:marTop w:val="0"/>
      <w:marBottom w:val="0"/>
      <w:divBdr>
        <w:top w:val="none" w:sz="0" w:space="0" w:color="auto"/>
        <w:left w:val="none" w:sz="0" w:space="0" w:color="auto"/>
        <w:bottom w:val="none" w:sz="0" w:space="0" w:color="auto"/>
        <w:right w:val="none" w:sz="0" w:space="0" w:color="auto"/>
      </w:divBdr>
    </w:div>
    <w:div w:id="1555700200">
      <w:bodyDiv w:val="1"/>
      <w:marLeft w:val="0"/>
      <w:marRight w:val="0"/>
      <w:marTop w:val="0"/>
      <w:marBottom w:val="0"/>
      <w:divBdr>
        <w:top w:val="none" w:sz="0" w:space="0" w:color="auto"/>
        <w:left w:val="none" w:sz="0" w:space="0" w:color="auto"/>
        <w:bottom w:val="none" w:sz="0" w:space="0" w:color="auto"/>
        <w:right w:val="none" w:sz="0" w:space="0" w:color="auto"/>
      </w:divBdr>
    </w:div>
    <w:div w:id="1697458789">
      <w:bodyDiv w:val="1"/>
      <w:marLeft w:val="0"/>
      <w:marRight w:val="0"/>
      <w:marTop w:val="0"/>
      <w:marBottom w:val="0"/>
      <w:divBdr>
        <w:top w:val="none" w:sz="0" w:space="0" w:color="auto"/>
        <w:left w:val="none" w:sz="0" w:space="0" w:color="auto"/>
        <w:bottom w:val="none" w:sz="0" w:space="0" w:color="auto"/>
        <w:right w:val="none" w:sz="0" w:space="0" w:color="auto"/>
      </w:divBdr>
    </w:div>
    <w:div w:id="1797989155">
      <w:bodyDiv w:val="1"/>
      <w:marLeft w:val="0"/>
      <w:marRight w:val="0"/>
      <w:marTop w:val="0"/>
      <w:marBottom w:val="0"/>
      <w:divBdr>
        <w:top w:val="none" w:sz="0" w:space="0" w:color="auto"/>
        <w:left w:val="none" w:sz="0" w:space="0" w:color="auto"/>
        <w:bottom w:val="none" w:sz="0" w:space="0" w:color="auto"/>
        <w:right w:val="none" w:sz="0" w:space="0" w:color="auto"/>
      </w:divBdr>
    </w:div>
    <w:div w:id="1868516442">
      <w:bodyDiv w:val="1"/>
      <w:marLeft w:val="0"/>
      <w:marRight w:val="0"/>
      <w:marTop w:val="0"/>
      <w:marBottom w:val="0"/>
      <w:divBdr>
        <w:top w:val="none" w:sz="0" w:space="0" w:color="auto"/>
        <w:left w:val="none" w:sz="0" w:space="0" w:color="auto"/>
        <w:bottom w:val="none" w:sz="0" w:space="0" w:color="auto"/>
        <w:right w:val="none" w:sz="0" w:space="0" w:color="auto"/>
      </w:divBdr>
    </w:div>
    <w:div w:id="1885209663">
      <w:bodyDiv w:val="1"/>
      <w:marLeft w:val="0"/>
      <w:marRight w:val="0"/>
      <w:marTop w:val="0"/>
      <w:marBottom w:val="0"/>
      <w:divBdr>
        <w:top w:val="none" w:sz="0" w:space="0" w:color="auto"/>
        <w:left w:val="none" w:sz="0" w:space="0" w:color="auto"/>
        <w:bottom w:val="none" w:sz="0" w:space="0" w:color="auto"/>
        <w:right w:val="none" w:sz="0" w:space="0" w:color="auto"/>
      </w:divBdr>
    </w:div>
    <w:div w:id="1890603810">
      <w:bodyDiv w:val="1"/>
      <w:marLeft w:val="0"/>
      <w:marRight w:val="0"/>
      <w:marTop w:val="0"/>
      <w:marBottom w:val="0"/>
      <w:divBdr>
        <w:top w:val="none" w:sz="0" w:space="0" w:color="auto"/>
        <w:left w:val="none" w:sz="0" w:space="0" w:color="auto"/>
        <w:bottom w:val="none" w:sz="0" w:space="0" w:color="auto"/>
        <w:right w:val="none" w:sz="0" w:space="0" w:color="auto"/>
      </w:divBdr>
    </w:div>
    <w:div w:id="1909074996">
      <w:bodyDiv w:val="1"/>
      <w:marLeft w:val="0"/>
      <w:marRight w:val="0"/>
      <w:marTop w:val="0"/>
      <w:marBottom w:val="0"/>
      <w:divBdr>
        <w:top w:val="none" w:sz="0" w:space="0" w:color="auto"/>
        <w:left w:val="none" w:sz="0" w:space="0" w:color="auto"/>
        <w:bottom w:val="none" w:sz="0" w:space="0" w:color="auto"/>
        <w:right w:val="none" w:sz="0" w:space="0" w:color="auto"/>
      </w:divBdr>
    </w:div>
    <w:div w:id="1913810484">
      <w:bodyDiv w:val="1"/>
      <w:marLeft w:val="0"/>
      <w:marRight w:val="0"/>
      <w:marTop w:val="0"/>
      <w:marBottom w:val="0"/>
      <w:divBdr>
        <w:top w:val="none" w:sz="0" w:space="0" w:color="auto"/>
        <w:left w:val="none" w:sz="0" w:space="0" w:color="auto"/>
        <w:bottom w:val="none" w:sz="0" w:space="0" w:color="auto"/>
        <w:right w:val="none" w:sz="0" w:space="0" w:color="auto"/>
      </w:divBdr>
    </w:div>
    <w:div w:id="1928417259">
      <w:bodyDiv w:val="1"/>
      <w:marLeft w:val="0"/>
      <w:marRight w:val="0"/>
      <w:marTop w:val="0"/>
      <w:marBottom w:val="0"/>
      <w:divBdr>
        <w:top w:val="none" w:sz="0" w:space="0" w:color="auto"/>
        <w:left w:val="none" w:sz="0" w:space="0" w:color="auto"/>
        <w:bottom w:val="none" w:sz="0" w:space="0" w:color="auto"/>
        <w:right w:val="none" w:sz="0" w:space="0" w:color="auto"/>
      </w:divBdr>
    </w:div>
    <w:div w:id="2022244954">
      <w:bodyDiv w:val="1"/>
      <w:marLeft w:val="0"/>
      <w:marRight w:val="0"/>
      <w:marTop w:val="0"/>
      <w:marBottom w:val="0"/>
      <w:divBdr>
        <w:top w:val="none" w:sz="0" w:space="0" w:color="auto"/>
        <w:left w:val="none" w:sz="0" w:space="0" w:color="auto"/>
        <w:bottom w:val="none" w:sz="0" w:space="0" w:color="auto"/>
        <w:right w:val="none" w:sz="0" w:space="0" w:color="auto"/>
      </w:divBdr>
    </w:div>
    <w:div w:id="20444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actueel/nieuws/2025/04/01/nederland-en-frankrijk-vragen-opnieuw-aandacht-voor-europese-aanpak-van-zwaar-vuurwerk" TargetMode="External"/><Relationship Id="rId1" Type="http://schemas.openxmlformats.org/officeDocument/2006/relationships/hyperlink" Target="https://www.rijksoverheid.nl/documenten/publicaties/2026/03/20/bnc-fiche-actieplan-inzake-beveiliging-van-en-tegen-dron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4194</ap:Words>
  <ap:Characters>23073</ap:Characters>
  <ap:DocSecurity>0</ap:DocSecurity>
  <ap:Lines>192</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2026-04-08T11:00:00.0000000Z</lastPrinted>
  <dcterms:created xsi:type="dcterms:W3CDTF">2026-04-10T09:00:00.0000000Z</dcterms:created>
  <dcterms:modified xsi:type="dcterms:W3CDTF">2026-04-10T09:00:00.0000000Z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ClassificationContentMarkingFooterShapeIds">
    <vt:lpwstr>29e4d021,5e050098,14b0d48c</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a8dd6276-7a15-44e9-b154-e39b8a533fc6</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https://247.plaza.buzaservices.nl/subject/PV-RK2026032026/BZ2627003/Fiche%203%20-%20Mededeling%20Terrorismebestrijdingsagenda%20EU.docx, </vt:lpwstr>
  </property>
</Properties>
</file>