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76826" w14:paraId="4084B2EF" w14:textId="77777777"/>
    <w:p w:rsidR="005A13F0" w14:paraId="3DD1435B" w14:textId="77777777"/>
    <w:p w:rsidR="005A13F0" w14:paraId="2011CD4E" w14:textId="77777777"/>
    <w:p w:rsidR="00257CCE" w:rsidP="00257CCE" w14:paraId="65FDFB9B" w14:textId="77777777">
      <w:r>
        <w:t xml:space="preserve">In deze brief informeer ik de Tweede Kamer over nieuwe voorstellen met financiële gevolgen (€ 20 mln. of meer in enig jaar) die zijn opgenomen in </w:t>
      </w:r>
      <w:bookmarkStart w:name="_Hlk208560301" w:id="0"/>
    </w:p>
    <w:p w:rsidR="002F0671" w:rsidP="00257CCE" w14:paraId="5BAA5414" w14:textId="77777777">
      <w:r>
        <w:t>in de</w:t>
      </w:r>
      <w:r>
        <w:t xml:space="preserve"> Voorjaarsnota 2026. Deze zijn verwerkt in de 1</w:t>
      </w:r>
      <w:r w:rsidRPr="002F0671">
        <w:rPr>
          <w:vertAlign w:val="superscript"/>
        </w:rPr>
        <w:t>e</w:t>
      </w:r>
      <w:r>
        <w:t xml:space="preserve"> suppletoire begroting van </w:t>
      </w:r>
      <w:r w:rsidR="00257CCE">
        <w:t>V</w:t>
      </w:r>
      <w:r w:rsidR="00A702D8">
        <w:t>olkshuisvesting en Ruimtelijke ordening (VRO)</w:t>
      </w:r>
      <w:r>
        <w:t xml:space="preserve"> hoofdstuk </w:t>
      </w:r>
      <w:r w:rsidR="00A702D8">
        <w:t>XXII</w:t>
      </w:r>
      <w:r>
        <w:t xml:space="preserve"> (</w:t>
      </w:r>
      <w:bookmarkEnd w:id="0"/>
      <w:r w:rsidRPr="00ED7D01" w:rsidR="00ED7D01">
        <w:t>Kamerstuk 36 915 XXII</w:t>
      </w:r>
      <w:r w:rsidR="00ED7D01">
        <w:t xml:space="preserve">). </w:t>
      </w:r>
    </w:p>
    <w:p w:rsidR="002F0671" w:rsidP="00B050FC" w14:paraId="30687D40" w14:textId="77777777"/>
    <w:p w:rsidR="00B050FC" w:rsidP="00B050FC" w14:paraId="3399CF00" w14:textId="77777777">
      <w:r>
        <w:t xml:space="preserve">In deze brief </w:t>
      </w:r>
      <w:r>
        <w:t>wordt conform wetsartikel 3.1 van de Comptabiliteitswet 2016 per voorstel ingegaan op doelen, instrumenten, financiële gevolgen, verwachte doeltreffendheid en doelmatigheid en voorgenomen monitoring en evaluatie. Sinds eind 2021 gebeurt dit Rijksbreed via de werkwijze “Beleidskeuzes uitgelegd”, zie Kamerstuk 31865, nr. 198.</w:t>
      </w:r>
    </w:p>
    <w:p w:rsidR="00B050FC" w:rsidP="00B050FC" w14:paraId="2EA7092B" w14:textId="77777777"/>
    <w:p w:rsidR="00B050FC" w:rsidP="00B050FC" w14:paraId="59178C1D" w14:textId="77777777">
      <w:r>
        <w:t xml:space="preserve">In deze brief zijn </w:t>
      </w:r>
      <w:r w:rsidR="00A83518">
        <w:t>onderstaande</w:t>
      </w:r>
      <w:r>
        <w:t xml:space="preserve"> </w:t>
      </w:r>
      <w:r w:rsidR="00A83518">
        <w:t>beleids</w:t>
      </w:r>
      <w:r>
        <w:t>voorstellen opgenomen</w:t>
      </w:r>
      <w:r>
        <w:rPr>
          <w:rStyle w:val="FootnoteReference"/>
        </w:rPr>
        <w:footnoteReference w:id="2"/>
      </w:r>
      <w:r>
        <w:t>:</w:t>
      </w:r>
    </w:p>
    <w:p w:rsidR="00D11482" w:rsidP="00D11482" w14:paraId="77671809" w14:textId="77777777">
      <w:pPr>
        <w:rPr>
          <w:u w:val="single"/>
        </w:rPr>
      </w:pPr>
    </w:p>
    <w:p w:rsidR="00D11482" w:rsidP="00D11482" w14:paraId="491219DD" w14:textId="77777777">
      <w:pPr>
        <w:rPr>
          <w:i/>
          <w:iCs/>
        </w:rPr>
      </w:pPr>
      <w:r>
        <w:rPr>
          <w:i/>
          <w:iCs/>
        </w:rPr>
        <w:t>Begrotingsartikel 1: Woningmarkt:</w:t>
      </w:r>
    </w:p>
    <w:p w:rsidR="00D11482" w:rsidP="00D11482" w14:paraId="56771238" w14:textId="77777777">
      <w:pPr>
        <w:pStyle w:val="ListParagraph"/>
        <w:numPr>
          <w:ilvl w:val="0"/>
          <w:numId w:val="22"/>
        </w:numPr>
      </w:pPr>
      <w:r w:rsidRPr="008114BA">
        <w:t>Stimuleringsregeling Ontmoetingsruimten in Ouderenhuisvesting</w:t>
      </w:r>
      <w:r w:rsidR="00400E08">
        <w:t xml:space="preserve"> (SOO)</w:t>
      </w:r>
    </w:p>
    <w:p w:rsidR="00A83518" w:rsidP="00A83518" w14:paraId="3102CD81" w14:textId="77777777"/>
    <w:p w:rsidRPr="008114BA" w:rsidR="008114BA" w:rsidP="00B050FC" w14:paraId="53929B90" w14:textId="77777777">
      <w:pPr>
        <w:rPr>
          <w:i/>
          <w:iCs/>
        </w:rPr>
      </w:pPr>
      <w:r w:rsidRPr="008114BA">
        <w:rPr>
          <w:i/>
          <w:iCs/>
        </w:rPr>
        <w:t>Begrotingsartikel 2: Energietransitie gebouwde omgeving en bouwkwaliteit:</w:t>
      </w:r>
    </w:p>
    <w:p w:rsidRPr="00ED7D01" w:rsidR="008114BA" w:rsidP="008114BA" w14:paraId="3A66CB04" w14:textId="77777777">
      <w:pPr>
        <w:pStyle w:val="ListParagraph"/>
        <w:numPr>
          <w:ilvl w:val="0"/>
          <w:numId w:val="23"/>
        </w:numPr>
        <w:rPr>
          <w:i/>
          <w:iCs/>
        </w:rPr>
      </w:pPr>
      <w:r w:rsidRPr="008114BA">
        <w:t>Stimuleringsregeling aardgasvrije huurwoningen (SAH</w:t>
      </w:r>
      <w:r w:rsidR="00ED7D01">
        <w:t>)</w:t>
      </w:r>
    </w:p>
    <w:p w:rsidRPr="008114BA" w:rsidR="00ED7D01" w:rsidP="00ED7D01" w14:paraId="14871AEB" w14:textId="77777777">
      <w:pPr>
        <w:pStyle w:val="ListParagraph"/>
        <w:rPr>
          <w:i/>
          <w:iCs/>
        </w:rPr>
      </w:pPr>
    </w:p>
    <w:p w:rsidRPr="00853FF2" w:rsidR="00853FF2" w:rsidP="00B050FC" w14:paraId="1E206145" w14:textId="77777777">
      <w:pPr>
        <w:rPr>
          <w:u w:val="single"/>
        </w:rPr>
      </w:pPr>
    </w:p>
    <w:p w:rsidR="00A83518" w:rsidP="00A83518" w14:paraId="5B405ADF" w14:textId="77777777"/>
    <w:p w:rsidR="00A83518" w:rsidP="00A83518" w14:paraId="4EEB0FCD" w14:textId="77777777"/>
    <w:p w:rsidR="00C517B1" w:rsidP="00B050FC" w14:paraId="2ACA0FCE" w14:textId="77777777"/>
    <w:p w:rsidR="00C517B1" w:rsidP="00B050FC" w14:paraId="24CD0DA1" w14:textId="77777777"/>
    <w:p w:rsidR="00B050FC" w14:paraId="6990B161" w14:textId="77777777">
      <w:pPr>
        <w:spacing w:line="240" w:lineRule="auto"/>
      </w:pPr>
    </w:p>
    <w:p w:rsidR="009F1A81" w:rsidP="00B050FC" w14:paraId="6EF1B28C" w14:textId="77777777"/>
    <w:p w:rsidR="00562C04" w:rsidP="00B050FC" w14:paraId="495B9CAB" w14:textId="77777777"/>
    <w:p w:rsidR="00562C04" w:rsidP="00B050FC" w14:paraId="5A96370B" w14:textId="77777777"/>
    <w:p w:rsidR="00B050FC" w:rsidP="00F838C8" w14:paraId="4FCA828D" w14:textId="77777777">
      <w:pPr>
        <w:tabs>
          <w:tab w:val="left" w:pos="1590"/>
        </w:tabs>
      </w:pPr>
      <w:r>
        <w:tab/>
      </w:r>
    </w:p>
    <w:p w:rsidR="00A83518" w14:paraId="26FF4818" w14:textId="77777777">
      <w:pPr>
        <w:spacing w:line="240" w:lineRule="auto"/>
      </w:pPr>
    </w:p>
    <w:p w:rsidRPr="00C63A1E" w:rsidR="00A83518" w:rsidP="00C63A1E" w14:paraId="2A7D97A3" w14:textId="77777777">
      <w:pPr>
        <w:pStyle w:val="ListParagraph"/>
        <w:numPr>
          <w:ilvl w:val="0"/>
          <w:numId w:val="21"/>
        </w:numPr>
        <w:rPr>
          <w:b/>
          <w:bCs/>
        </w:rPr>
      </w:pPr>
      <w:bookmarkStart w:name="_Hlk205994692" w:id="1"/>
      <w:r>
        <w:rPr>
          <w:b/>
          <w:bCs/>
        </w:rPr>
        <w:t>Stimuleringsregeling Ontmoetingsruimten in Ouderenhuisvesting (SOO)</w:t>
      </w:r>
    </w:p>
    <w:p w:rsidRPr="00B050FC" w:rsidR="00C63A1E" w:rsidP="00C63A1E" w14:paraId="2F2F16AB" w14:textId="77777777">
      <w:pPr>
        <w:pStyle w:val="ListParagraph"/>
        <w:ind w:left="1080"/>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972"/>
        <w:gridCol w:w="4570"/>
      </w:tblGrid>
      <w:tr w:rsidTr="00F76826" w14:paraId="58EE370D" w14:textId="77777777">
        <w:tblPrEx>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050FC" w:rsidR="00A83518" w:rsidP="00FC0BD7" w14:paraId="3C85586A" w14:textId="77777777">
            <w:pPr>
              <w:rPr>
                <w:b/>
              </w:rPr>
            </w:pPr>
            <w:r w:rsidRPr="00B050FC">
              <w:rPr>
                <w:b/>
              </w:rPr>
              <w:t xml:space="preserve">Beleidskeuzes uitgelegd </w:t>
            </w:r>
          </w:p>
          <w:p w:rsidRPr="00B050FC" w:rsidR="00A83518" w:rsidP="00FC0BD7" w14:paraId="629DC07C" w14:textId="77777777">
            <w:pPr>
              <w:rPr>
                <w:b/>
              </w:rPr>
            </w:pPr>
          </w:p>
        </w:tc>
      </w:tr>
      <w:tr w:rsidTr="00F76826" w14:paraId="78019E3D" w14:textId="77777777">
        <w:tblPrEx>
          <w:tblW w:w="5004" w:type="pct"/>
          <w:tblInd w:w="-5" w:type="dxa"/>
          <w:shd w:val="clear" w:color="auto" w:fill="DEEAF6"/>
          <w:tblLook w:val="01E0"/>
        </w:tblPrEx>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050FC" w:rsidR="00A83518" w:rsidP="00FC0BD7" w14:paraId="45C2DE0A" w14:textId="77777777">
            <w:pPr>
              <w:rPr>
                <w:b/>
              </w:rPr>
            </w:pPr>
          </w:p>
          <w:p w:rsidRPr="00B050FC" w:rsidR="00A83518" w:rsidP="00A83518" w14:paraId="5FCD0A2F" w14:textId="77777777">
            <w:pPr>
              <w:numPr>
                <w:ilvl w:val="0"/>
                <w:numId w:val="16"/>
              </w:numPr>
              <w:rPr>
                <w:b/>
              </w:rPr>
            </w:pPr>
            <w:r w:rsidRPr="00B050FC">
              <w:rPr>
                <w:b/>
              </w:rPr>
              <w:t xml:space="preserve">Doel(en) </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050FC" w:rsidR="00A83518" w:rsidP="00F76826" w14:paraId="580CA422" w14:textId="77777777">
            <w:pPr>
              <w:rPr>
                <w:b/>
              </w:rPr>
            </w:pPr>
            <w:r w:rsidRPr="00A702D8">
              <w:t>Om ervoor te zorgen dat ouderen ook in de toekomst goed wonen is een passend woningaanbod nodig. Het Rijk stimuleert geclusterd bouwen voor ouderen en de realisatie van ontmoetingsruimten in geclusterde woonvormen met deze regeling. Hierdoor kunnen er meer geclusterde woonvormen voor ouderen gerealiseerd worden en wordt het makkelijker voor ouderen om langer zelfstandig te blijven wonen, elkaar te ontmoeten en te helpen. Daarnaast heeft deze regeling een belangrijk neveneffect. Uit onderzoek blijkt namelijk dat de verhuizing van ouderen naar geschikte woningen zoals in geclusterde woonvormen de grootste bijdrage levert aan het doorverhuizen van andere groepen op de huizenmarkt, tot wel 7 verhuizingen</w:t>
            </w:r>
            <w:r>
              <w:rPr>
                <w:rStyle w:val="FootnoteReference"/>
              </w:rPr>
              <w:footnoteReference w:id="3"/>
            </w:r>
            <w:r w:rsidRPr="00A702D8">
              <w:t xml:space="preserve">. </w:t>
            </w:r>
            <w:r>
              <w:t>Door het b</w:t>
            </w:r>
            <w:r w:rsidRPr="00A702D8">
              <w:t xml:space="preserve">ouwen voor ouderen </w:t>
            </w:r>
            <w:r>
              <w:t xml:space="preserve"> kan</w:t>
            </w:r>
            <w:r w:rsidRPr="00A702D8">
              <w:t xml:space="preserve"> ook een doorstroming op de woningmarkt op gang wordt gebracht waardoor andere groepen in de samenleving zoals gezinnen en starters een kans krijgen op een passende woning.</w:t>
            </w:r>
          </w:p>
        </w:tc>
      </w:tr>
      <w:tr w:rsidTr="00F76826" w14:paraId="6B27EAE9" w14:textId="77777777">
        <w:tblPrEx>
          <w:tblW w:w="5004" w:type="pct"/>
          <w:tblInd w:w="-5" w:type="dxa"/>
          <w:shd w:val="clear" w:color="auto" w:fill="DEEAF6"/>
          <w:tblLook w:val="01E0"/>
        </w:tblPrEx>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71208DF5" w14:textId="77777777">
            <w:pPr>
              <w:rPr>
                <w:b/>
              </w:rPr>
            </w:pPr>
          </w:p>
          <w:p w:rsidRPr="00E766D1" w:rsidR="00F76826" w:rsidP="00F76826" w14:paraId="08F2DD54" w14:textId="77777777">
            <w:pPr>
              <w:numPr>
                <w:ilvl w:val="0"/>
                <w:numId w:val="16"/>
              </w:numPr>
              <w:rPr>
                <w:b/>
              </w:rPr>
            </w:pPr>
            <w:r w:rsidRPr="00E766D1">
              <w:rPr>
                <w:b/>
              </w:rPr>
              <w:t>Beleidsinstrument(en)</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E766D1" w:rsidR="00F76826" w:rsidP="00F76826" w14:paraId="68219397" w14:textId="77777777">
            <w:pPr>
              <w:rPr>
                <w:bCs/>
              </w:rPr>
            </w:pPr>
            <w:r w:rsidRPr="00E766D1">
              <w:rPr>
                <w:bCs/>
              </w:rPr>
              <w:t>Met de openstelling van de vierde tranche</w:t>
            </w:r>
            <w:r w:rsidRPr="00E766D1" w:rsidR="003A431A">
              <w:rPr>
                <w:bCs/>
              </w:rPr>
              <w:t xml:space="preserve"> van de regeling</w:t>
            </w:r>
            <w:r w:rsidRPr="00E766D1">
              <w:rPr>
                <w:bCs/>
              </w:rPr>
              <w:t xml:space="preserve"> kan subsidie worden aangevraagd, waarmee de bouw van nieuwe ontmoetingsruimten gerealiseerd kan worden. De huidige regeling blijft, op enkele technische aanpassingen na en qua hoogte van het subsidieplafond (</w:t>
            </w:r>
            <w:r w:rsidRPr="00E766D1" w:rsidR="003A431A">
              <w:rPr>
                <w:bCs/>
              </w:rPr>
              <w:t xml:space="preserve">€ </w:t>
            </w:r>
            <w:r w:rsidRPr="00E766D1">
              <w:rPr>
                <w:bCs/>
              </w:rPr>
              <w:t>40</w:t>
            </w:r>
            <w:r w:rsidRPr="00E766D1" w:rsidR="003A431A">
              <w:rPr>
                <w:bCs/>
              </w:rPr>
              <w:t xml:space="preserve"> mln.</w:t>
            </w:r>
            <w:r w:rsidRPr="00E766D1">
              <w:rPr>
                <w:bCs/>
              </w:rPr>
              <w:t xml:space="preserve"> minus uitvoeringskosten), inhoudelijk gelijk. De subsidieregeling wordt uitgevoerd door de Rijksdienst voor Ondernemend Nederland (RVO) en aanvragen worden beoordeeld op volgorde van binnenkomst tot het subsidieplafond is bereikt. Uitbetaling van 90% van het subsidiebedrag zal in 2027 plaatsvinden.</w:t>
            </w:r>
          </w:p>
        </w:tc>
      </w:tr>
      <w:tr w:rsidTr="00FC0BD7" w14:paraId="50782D33" w14:textId="77777777">
        <w:tblPrEx>
          <w:tblW w:w="5004" w:type="pct"/>
          <w:tblInd w:w="-5" w:type="dxa"/>
          <w:shd w:val="clear" w:color="auto" w:fill="DEEAF6"/>
          <w:tblLook w:val="01E0"/>
        </w:tblPrEx>
        <w:trPr>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756BCB6D" w14:textId="77777777">
            <w:pPr>
              <w:rPr>
                <w:bCs/>
              </w:rPr>
            </w:pPr>
          </w:p>
          <w:p w:rsidRPr="00E766D1" w:rsidR="00F76826" w:rsidP="00F76826" w14:paraId="43680C42" w14:textId="77777777">
            <w:pPr>
              <w:numPr>
                <w:ilvl w:val="0"/>
                <w:numId w:val="16"/>
              </w:numPr>
              <w:rPr>
                <w:b/>
              </w:rPr>
            </w:pPr>
            <w:r w:rsidRPr="00E766D1">
              <w:rPr>
                <w:b/>
              </w:rPr>
              <w:t>Financiële gevolgen</w:t>
            </w:r>
          </w:p>
          <w:p w:rsidRPr="00E766D1" w:rsidR="00F76826" w:rsidP="00F76826" w14:paraId="09AB1CF7" w14:textId="77777777">
            <w:pPr>
              <w:rPr>
                <w:b/>
              </w:rPr>
            </w:pPr>
          </w:p>
          <w:p w:rsidRPr="00E766D1" w:rsidR="00F76826" w:rsidP="00F76826" w14:paraId="0482F32B" w14:textId="77777777">
            <w:pPr>
              <w:rPr>
                <w:b/>
              </w:rPr>
            </w:pPr>
            <w:r w:rsidRPr="00E766D1">
              <w:rPr>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E766D1" w:rsidR="00F76826" w:rsidP="00F76826" w14:paraId="2EB77E61" w14:textId="77777777">
            <w:pPr>
              <w:rPr>
                <w:bCs/>
                <w:sz w:val="14"/>
                <w:szCs w:val="14"/>
              </w:rPr>
            </w:pPr>
            <w:r w:rsidRPr="00E766D1">
              <w:t>Van de</w:t>
            </w:r>
            <w:r w:rsidRPr="00E766D1" w:rsidR="00ED7D01">
              <w:t xml:space="preserve"> in totaal</w:t>
            </w:r>
            <w:r w:rsidRPr="00E766D1">
              <w:t xml:space="preserve"> beschikbare € 40 mln.</w:t>
            </w:r>
            <w:r>
              <w:rPr>
                <w:rStyle w:val="FootnoteReference"/>
              </w:rPr>
              <w:footnoteReference w:id="4"/>
            </w:r>
            <w:r w:rsidRPr="00E766D1" w:rsidR="00ED7D01">
              <w:t xml:space="preserve"> in 2027</w:t>
            </w:r>
            <w:r w:rsidRPr="00E766D1">
              <w:t xml:space="preserve"> wordt 90% uitgekeerd na het aanleveren van een omgevingsvergunning of een tweezijdig ondertekende overeenkomst. Deze beschikkingen worden gedaan in 2027. Voor het ontvangen van de resterende 10% moet de </w:t>
            </w:r>
            <w:r w:rsidRPr="00E766D1">
              <w:t>aanvrager de ontmoetingsruimte voltooien. Hier is tot 7 jaar na toekenning de tijd voor.</w:t>
            </w:r>
          </w:p>
        </w:tc>
      </w:tr>
      <w:tr w:rsidTr="00FC0BD7" w14:paraId="24032966" w14:textId="77777777">
        <w:tblPrEx>
          <w:tblW w:w="5004" w:type="pct"/>
          <w:tblInd w:w="-5" w:type="dxa"/>
          <w:shd w:val="clear" w:color="auto" w:fill="DEEAF6"/>
          <w:tblLook w:val="01E0"/>
        </w:tblPrEx>
        <w:trPr>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2D6ACED3" w14:textId="77777777">
            <w:pPr>
              <w:rPr>
                <w:bCs/>
              </w:rPr>
            </w:pPr>
          </w:p>
          <w:p w:rsidRPr="00E766D1" w:rsidR="00F76826" w:rsidP="00F76826" w14:paraId="758D518F" w14:textId="77777777">
            <w:pPr>
              <w:rPr>
                <w:b/>
              </w:rPr>
            </w:pPr>
            <w:r w:rsidRPr="00E766D1">
              <w:rPr>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E766D1" w:rsidR="00F76826" w:rsidP="00F76826" w14:paraId="497EE425" w14:textId="77777777">
            <w:r w:rsidRPr="00E766D1">
              <w:t>N.v.t.</w:t>
            </w:r>
          </w:p>
        </w:tc>
      </w:tr>
      <w:tr w:rsidTr="00F76826" w14:paraId="41803D91" w14:textId="77777777">
        <w:tblPrEx>
          <w:tblW w:w="5004" w:type="pct"/>
          <w:tblInd w:w="-5" w:type="dxa"/>
          <w:shd w:val="clear" w:color="auto" w:fill="DEEAF6"/>
          <w:tblLook w:val="01E0"/>
        </w:tblPrEx>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2857EC3F" w14:textId="77777777">
            <w:pPr>
              <w:rPr>
                <w:b/>
              </w:rPr>
            </w:pPr>
          </w:p>
          <w:p w:rsidRPr="00E766D1" w:rsidR="00F76826" w:rsidP="00F76826" w14:paraId="500EFD95" w14:textId="77777777">
            <w:pPr>
              <w:numPr>
                <w:ilvl w:val="0"/>
                <w:numId w:val="16"/>
              </w:numPr>
              <w:rPr>
                <w:b/>
              </w:rPr>
            </w:pPr>
            <w:r w:rsidRPr="00E766D1">
              <w:rPr>
                <w:b/>
              </w:rPr>
              <w:t>Nagestreefde doeltreffendheid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E766D1" w:rsidR="00BF17D8" w:rsidP="00BF17D8" w14:paraId="6A232F05" w14:textId="77777777">
            <w:pPr>
              <w:rPr>
                <w:bCs/>
              </w:rPr>
            </w:pPr>
            <w:r w:rsidRPr="00E766D1">
              <w:rPr>
                <w:bCs/>
              </w:rPr>
              <w:t>Er zijn in 2022, 2023 en 2024/2025 drie tranches geweest. In 2023 was voor de regeling €</w:t>
            </w:r>
            <w:r w:rsidRPr="00E766D1" w:rsidR="003A431A">
              <w:rPr>
                <w:bCs/>
              </w:rPr>
              <w:t xml:space="preserve"> </w:t>
            </w:r>
            <w:r w:rsidRPr="00E766D1">
              <w:rPr>
                <w:bCs/>
              </w:rPr>
              <w:t xml:space="preserve">26 </w:t>
            </w:r>
            <w:r w:rsidRPr="00E766D1" w:rsidR="003A431A">
              <w:rPr>
                <w:bCs/>
              </w:rPr>
              <w:t xml:space="preserve">mln. </w:t>
            </w:r>
            <w:r w:rsidRPr="00E766D1">
              <w:rPr>
                <w:bCs/>
              </w:rPr>
              <w:t>beschikbaar en de uiteindelijke aanvragen bedroegen ruim €</w:t>
            </w:r>
            <w:r w:rsidRPr="00E766D1" w:rsidR="003A431A">
              <w:rPr>
                <w:bCs/>
              </w:rPr>
              <w:t xml:space="preserve"> </w:t>
            </w:r>
            <w:r w:rsidRPr="00E766D1">
              <w:rPr>
                <w:bCs/>
              </w:rPr>
              <w:t xml:space="preserve">34 </w:t>
            </w:r>
            <w:r w:rsidRPr="00E766D1" w:rsidR="003A431A">
              <w:rPr>
                <w:bCs/>
              </w:rPr>
              <w:t>mln.</w:t>
            </w:r>
            <w:r w:rsidRPr="00E766D1">
              <w:rPr>
                <w:bCs/>
              </w:rPr>
              <w:t xml:space="preserve"> Wat betekent dat ruim €</w:t>
            </w:r>
            <w:r w:rsidRPr="00E766D1" w:rsidR="003A431A">
              <w:rPr>
                <w:bCs/>
              </w:rPr>
              <w:t xml:space="preserve"> </w:t>
            </w:r>
            <w:r w:rsidRPr="00E766D1">
              <w:rPr>
                <w:bCs/>
              </w:rPr>
              <w:t xml:space="preserve">8 </w:t>
            </w:r>
            <w:r w:rsidRPr="00E766D1" w:rsidR="003A431A">
              <w:rPr>
                <w:bCs/>
              </w:rPr>
              <w:t xml:space="preserve">mln. </w:t>
            </w:r>
            <w:r w:rsidRPr="00E766D1">
              <w:rPr>
                <w:bCs/>
              </w:rPr>
              <w:t xml:space="preserve">aan aanvragen zijn afgewezen, omdat het budget ontoereikend was. De derde tranche (2024/2025) had een budget van </w:t>
            </w:r>
            <w:r w:rsidRPr="00E766D1" w:rsidR="003A431A">
              <w:rPr>
                <w:bCs/>
              </w:rPr>
              <w:t xml:space="preserve">€ </w:t>
            </w:r>
            <w:r w:rsidRPr="00E766D1">
              <w:rPr>
                <w:bCs/>
              </w:rPr>
              <w:t xml:space="preserve">23 </w:t>
            </w:r>
            <w:r w:rsidRPr="00E766D1" w:rsidR="003A431A">
              <w:rPr>
                <w:bCs/>
              </w:rPr>
              <w:t xml:space="preserve">mln. </w:t>
            </w:r>
            <w:r w:rsidRPr="00E766D1">
              <w:rPr>
                <w:bCs/>
              </w:rPr>
              <w:t xml:space="preserve">en er zijn aanvragen ingediend bij RVO voor ruim </w:t>
            </w:r>
            <w:r w:rsidRPr="00E766D1" w:rsidR="003A431A">
              <w:rPr>
                <w:bCs/>
              </w:rPr>
              <w:t xml:space="preserve">€ </w:t>
            </w:r>
            <w:r w:rsidRPr="00E766D1">
              <w:rPr>
                <w:bCs/>
              </w:rPr>
              <w:t xml:space="preserve">36 </w:t>
            </w:r>
            <w:r w:rsidRPr="00E766D1" w:rsidR="003A431A">
              <w:rPr>
                <w:bCs/>
              </w:rPr>
              <w:t>mln.</w:t>
            </w:r>
            <w:r w:rsidRPr="00E766D1">
              <w:rPr>
                <w:bCs/>
              </w:rPr>
              <w:t xml:space="preserve"> Daarmee was er een overtekening van het budget met ruim </w:t>
            </w:r>
            <w:r w:rsidRPr="00E766D1" w:rsidR="003A431A">
              <w:rPr>
                <w:bCs/>
              </w:rPr>
              <w:t xml:space="preserve">€ </w:t>
            </w:r>
            <w:r w:rsidRPr="00E766D1">
              <w:rPr>
                <w:bCs/>
              </w:rPr>
              <w:t xml:space="preserve">13 </w:t>
            </w:r>
            <w:r w:rsidRPr="00E766D1" w:rsidR="003A431A">
              <w:rPr>
                <w:bCs/>
              </w:rPr>
              <w:t>mln</w:t>
            </w:r>
            <w:r w:rsidRPr="00E766D1">
              <w:rPr>
                <w:bCs/>
              </w:rPr>
              <w:t xml:space="preserve">. </w:t>
            </w:r>
          </w:p>
          <w:p w:rsidRPr="00E766D1" w:rsidR="00BF17D8" w:rsidP="00BF17D8" w14:paraId="62CFB040" w14:textId="77777777">
            <w:pPr>
              <w:rPr>
                <w:bCs/>
              </w:rPr>
            </w:pPr>
          </w:p>
          <w:p w:rsidRPr="00E766D1" w:rsidR="00BF17D8" w:rsidP="00BF17D8" w14:paraId="54A9747F" w14:textId="77777777">
            <w:pPr>
              <w:rPr>
                <w:bCs/>
              </w:rPr>
            </w:pPr>
            <w:r w:rsidRPr="00E766D1">
              <w:rPr>
                <w:bCs/>
              </w:rPr>
              <w:t>Het is duidelijk dat de SOO voorziet in een maatschappelijke behoefte, in het bijzonder voor de doelgroep ouderen/55+. Gezien deze maatschappelijke behoefte is besloten om deze vierde tranche open te stellen met een nieuw subsidieplafond (</w:t>
            </w:r>
            <w:r w:rsidRPr="00E766D1" w:rsidR="003A431A">
              <w:rPr>
                <w:bCs/>
              </w:rPr>
              <w:t xml:space="preserve">€ </w:t>
            </w:r>
            <w:r w:rsidRPr="00E766D1">
              <w:rPr>
                <w:bCs/>
              </w:rPr>
              <w:t>40</w:t>
            </w:r>
            <w:r w:rsidRPr="00E766D1" w:rsidR="003A431A">
              <w:rPr>
                <w:bCs/>
              </w:rPr>
              <w:t xml:space="preserve"> mln.</w:t>
            </w:r>
            <w:r w:rsidRPr="00E766D1">
              <w:rPr>
                <w:bCs/>
              </w:rPr>
              <w:t>).</w:t>
            </w:r>
          </w:p>
          <w:p w:rsidRPr="00E766D1" w:rsidR="00BF17D8" w:rsidP="00BF17D8" w14:paraId="03E6FF89" w14:textId="77777777">
            <w:pPr>
              <w:rPr>
                <w:bCs/>
              </w:rPr>
            </w:pPr>
          </w:p>
          <w:p w:rsidRPr="00E766D1" w:rsidR="00F76826" w:rsidP="00F76826" w14:paraId="4FE5E49D" w14:textId="77777777">
            <w:pPr>
              <w:rPr>
                <w:bCs/>
              </w:rPr>
            </w:pPr>
            <w:r w:rsidRPr="00E766D1">
              <w:rPr>
                <w:bCs/>
              </w:rPr>
              <w:t>Een eis voor verlening van de subsidie is dat de ontmoetingsruimte gedurende minstens vijf jaar na voltooiing wordt gebruikt als ontmoetingsruimte voor bewoners van de geclusterde woonvorm conform het aangeleverde exploitatieplan. Voorkomen dient te worden dat de ontmoetingsruimte in de eerste vijf jaar na de opleverdatum wordt afgesloten en geen activiteiten meer plaatsvinden, of dat de ontmoetingsruimte een andere primaire bestemming krijgt dan een sociale functie voor de bewoners van de geclusterde woonvorm en anderen. In dat geval is de subsidie niet effectief. Door van de aanvrager een plan te vragen op welke wijze de ruimte beheerd en geëxploiteerd zal worden, kan een inschatting gemaakt worden van de levensvatbaarheid.</w:t>
            </w:r>
          </w:p>
        </w:tc>
      </w:tr>
      <w:tr w:rsidTr="00F76826" w14:paraId="516D6D39"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6FC6B80B" w14:textId="77777777">
            <w:pPr>
              <w:rPr>
                <w:b/>
              </w:rPr>
            </w:pPr>
          </w:p>
          <w:p w:rsidRPr="00E766D1" w:rsidR="00F76826" w:rsidP="00F76826" w14:paraId="358F6C11" w14:textId="77777777">
            <w:pPr>
              <w:numPr>
                <w:ilvl w:val="0"/>
                <w:numId w:val="16"/>
              </w:numPr>
              <w:rPr>
                <w:b/>
              </w:rPr>
            </w:pPr>
            <w:r w:rsidRPr="00E766D1">
              <w:rPr>
                <w:b/>
              </w:rPr>
              <w:t>Nagestreefde doelmatigheid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E766D1" w:rsidR="00BF17D8" w:rsidP="00BF17D8" w14:paraId="5A319B92" w14:textId="77777777">
            <w:pPr>
              <w:rPr>
                <w:bCs/>
              </w:rPr>
            </w:pPr>
            <w:r w:rsidRPr="00E766D1">
              <w:rPr>
                <w:bCs/>
              </w:rPr>
              <w:t xml:space="preserve">De toekenning uit de eerste (2022), de tweede (2023) en de derde (2024/2025) tranche van de SOO heeft in totaal ruim 28.000 woningen opgeleverd met een ontmoetingsruimte. Dit is berekend door de RVO (uitvoerder regeling) op basis van de toegekende aanvragen. Daarbij worden slechts ontmoetingsruimten bij woningen in het betaalbare segment </w:t>
            </w:r>
            <w:r w:rsidRPr="00E766D1">
              <w:rPr>
                <w:bCs/>
              </w:rPr>
              <w:t>gesubsidieerd, hetgeen bijdraagt aan de doelmatigheid.</w:t>
            </w:r>
          </w:p>
          <w:p w:rsidRPr="00E766D1" w:rsidR="00BF17D8" w:rsidP="00BF17D8" w14:paraId="3C2A103F" w14:textId="77777777">
            <w:pPr>
              <w:spacing w:line="241" w:lineRule="auto"/>
              <w:rPr>
                <w:bCs/>
              </w:rPr>
            </w:pPr>
          </w:p>
          <w:p w:rsidRPr="00E766D1" w:rsidR="00BF17D8" w:rsidP="00BF17D8" w14:paraId="34BE236B" w14:textId="77777777">
            <w:pPr>
              <w:spacing w:line="249" w:lineRule="auto"/>
              <w:rPr>
                <w:bCs/>
              </w:rPr>
            </w:pPr>
            <w:r w:rsidRPr="00E766D1">
              <w:rPr>
                <w:bCs/>
              </w:rPr>
              <w:t>De subsidie bedraagt € 2.500 per m</w:t>
            </w:r>
            <w:r w:rsidRPr="00E766D1" w:rsidR="009465AD">
              <w:rPr>
                <w:bCs/>
              </w:rPr>
              <w:t>²</w:t>
            </w:r>
            <w:r w:rsidRPr="00E766D1">
              <w:rPr>
                <w:bCs/>
              </w:rPr>
              <w:t xml:space="preserve"> van de te bouwen ontmoetingsruimte tot maximaal:</w:t>
            </w:r>
          </w:p>
          <w:p w:rsidRPr="00E766D1" w:rsidR="00BF17D8" w:rsidP="00BF17D8" w14:paraId="7D61943D" w14:textId="77777777">
            <w:pPr>
              <w:spacing w:after="1" w:line="242" w:lineRule="auto"/>
              <w:rPr>
                <w:bCs/>
              </w:rPr>
            </w:pPr>
            <w:r w:rsidRPr="00E766D1">
              <w:rPr>
                <w:bCs/>
              </w:rPr>
              <w:t>a. voor een ontmoetingsruimte in een geclusterde woonvorm van 5 tot 20 woonruimten: € 100.000;</w:t>
            </w:r>
          </w:p>
          <w:p w:rsidRPr="00E766D1" w:rsidR="00BF17D8" w:rsidP="00BF17D8" w14:paraId="2380D63B" w14:textId="77777777">
            <w:pPr>
              <w:rPr>
                <w:bCs/>
              </w:rPr>
            </w:pPr>
            <w:r w:rsidRPr="00E766D1">
              <w:rPr>
                <w:bCs/>
              </w:rPr>
              <w:t>b. voor een ontmoetingsruimte in een geclusterde woonvorm van 21 tot 50 woonruimten: € 150.000; of</w:t>
            </w:r>
          </w:p>
          <w:p w:rsidRPr="00E766D1" w:rsidR="00F76826" w:rsidP="00BF17D8" w14:paraId="20A768D5" w14:textId="77777777">
            <w:pPr>
              <w:rPr>
                <w:bCs/>
              </w:rPr>
            </w:pPr>
            <w:r w:rsidRPr="00E766D1">
              <w:rPr>
                <w:bCs/>
              </w:rPr>
              <w:t>c. voor een ontmoetingsruimte in een geclusterde woonvorm van ten minste 51 woonruimten: € 175.000. De RVO ziet toe op de juiste besteding van de middelen.</w:t>
            </w:r>
          </w:p>
        </w:tc>
      </w:tr>
      <w:tr w:rsidTr="00F76826" w14:paraId="5B57712A"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6E04063C" w14:textId="77777777">
            <w:pPr>
              <w:rPr>
                <w:b/>
              </w:rPr>
            </w:pPr>
          </w:p>
          <w:p w:rsidRPr="00E766D1" w:rsidR="00F76826" w:rsidP="00F76826" w14:paraId="2B702688" w14:textId="77777777">
            <w:pPr>
              <w:numPr>
                <w:ilvl w:val="0"/>
                <w:numId w:val="16"/>
              </w:numPr>
              <w:rPr>
                <w:b/>
              </w:rPr>
            </w:pPr>
            <w:r w:rsidRPr="00E766D1">
              <w:rPr>
                <w:b/>
              </w:rPr>
              <w:t>Evaluatieparagraaf</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E766D1" w:rsidR="00BF17D8" w:rsidP="00BF17D8" w14:paraId="0882F744" w14:textId="77777777">
            <w:pPr>
              <w:spacing w:line="241" w:lineRule="auto"/>
              <w:rPr>
                <w:bCs/>
              </w:rPr>
            </w:pPr>
            <w:r w:rsidRPr="00E766D1">
              <w:rPr>
                <w:bCs/>
              </w:rPr>
              <w:t xml:space="preserve">De regeling zal vijf jaar na inwerkingtreding door een extern bureau worden geëvalueerd. Omdat de regeling op 1 januari 2022 in werking is getreden via de eerste tranche, zal deze uiterlijk in 2027 worden geëvalueerd. De planontwikkeling, vergunningverlening en bouw van een gebouw kosten vele jaren. Naar verwachting zijn op dat tijdstip de eerste ontmoetingsruimten die vanuit de regeling zijn gefinancierd opgeleverd. Dit is beschreven in de toelichting bij de regeling. </w:t>
            </w:r>
          </w:p>
          <w:p w:rsidRPr="00E766D1" w:rsidR="00BF17D8" w:rsidP="00BF17D8" w14:paraId="2354A699" w14:textId="77777777">
            <w:pPr>
              <w:spacing w:line="241" w:lineRule="auto"/>
              <w:rPr>
                <w:bCs/>
              </w:rPr>
            </w:pPr>
          </w:p>
          <w:p w:rsidRPr="00E766D1" w:rsidR="00F76826" w:rsidP="00BF17D8" w14:paraId="01880C95" w14:textId="77777777">
            <w:pPr>
              <w:spacing w:line="241" w:lineRule="auto"/>
              <w:rPr>
                <w:bCs/>
              </w:rPr>
            </w:pPr>
            <w:r w:rsidRPr="00E766D1">
              <w:rPr>
                <w:bCs/>
              </w:rPr>
              <w:t>De evaluatie</w:t>
            </w:r>
            <w:r w:rsidRPr="00E766D1" w:rsidR="00ED7D01">
              <w:rPr>
                <w:bCs/>
              </w:rPr>
              <w:t xml:space="preserve"> in 2027</w:t>
            </w:r>
            <w:r w:rsidRPr="00E766D1">
              <w:rPr>
                <w:bCs/>
              </w:rPr>
              <w:t xml:space="preserve"> staat op de Strategische Evaluatie Agenda (SEA) van de thema’s Woningmarkt en Woningbouwbeleid. De uitkomsten van de evaluatie zullen worden meegenomen in de Periodieke rapportage van artikel 1 van de VRO begroting, die wordt </w:t>
            </w:r>
            <w:r w:rsidRPr="00E766D1" w:rsidR="00ED7D01">
              <w:rPr>
                <w:bCs/>
              </w:rPr>
              <w:t>afgerond</w:t>
            </w:r>
            <w:r w:rsidRPr="00E766D1">
              <w:rPr>
                <w:bCs/>
              </w:rPr>
              <w:t xml:space="preserve"> in 2028. De verschillende tranches worden intern ook per tranche geëvalueerd met het RVO</w:t>
            </w:r>
            <w:r w:rsidRPr="00E766D1" w:rsidR="00ED7D01">
              <w:rPr>
                <w:bCs/>
              </w:rPr>
              <w:t>;</w:t>
            </w:r>
            <w:r w:rsidRPr="00E766D1">
              <w:rPr>
                <w:bCs/>
              </w:rPr>
              <w:t xml:space="preserve"> dit</w:t>
            </w:r>
            <w:r w:rsidRPr="00E766D1" w:rsidR="00ED7D01">
              <w:rPr>
                <w:bCs/>
              </w:rPr>
              <w:t xml:space="preserve"> betreft</w:t>
            </w:r>
            <w:r w:rsidRPr="00E766D1">
              <w:rPr>
                <w:bCs/>
              </w:rPr>
              <w:t xml:space="preserve"> een uitvoeringsevaluatie</w:t>
            </w:r>
            <w:r w:rsidRPr="00E766D1" w:rsidR="00ED7D01">
              <w:rPr>
                <w:bCs/>
              </w:rPr>
              <w:t>.</w:t>
            </w:r>
          </w:p>
        </w:tc>
      </w:tr>
    </w:tbl>
    <w:p w:rsidRPr="00E766D1" w:rsidR="00A83518" w:rsidP="00A83518" w14:paraId="449D4B93" w14:textId="77777777"/>
    <w:bookmarkEnd w:id="1"/>
    <w:p w:rsidRPr="00E766D1" w:rsidR="00A83518" w:rsidP="00A83518" w14:paraId="61691A3F" w14:textId="77777777"/>
    <w:p w:rsidRPr="00E766D1" w:rsidR="00B050FC" w:rsidP="00B050FC" w14:paraId="1820C68B" w14:textId="77777777"/>
    <w:p w:rsidRPr="00E766D1" w:rsidR="00A83518" w14:paraId="3C6D8C4D" w14:textId="77777777">
      <w:pPr>
        <w:spacing w:line="240" w:lineRule="auto"/>
      </w:pPr>
      <w:r w:rsidRPr="00E766D1">
        <w:br w:type="page"/>
      </w:r>
    </w:p>
    <w:p w:rsidRPr="00E766D1" w:rsidR="00A83518" w:rsidP="00A02E3C" w14:paraId="51AC3C97" w14:textId="77777777">
      <w:pPr>
        <w:pStyle w:val="ListParagraph"/>
        <w:numPr>
          <w:ilvl w:val="0"/>
          <w:numId w:val="21"/>
        </w:numPr>
        <w:rPr>
          <w:b/>
          <w:bCs/>
          <w:i/>
          <w:iCs/>
        </w:rPr>
      </w:pPr>
      <w:r w:rsidRPr="00E766D1">
        <w:rPr>
          <w:b/>
          <w:bCs/>
        </w:rPr>
        <w:t xml:space="preserve">Stimuleringsregeling aardgasvrije huurwoningen (SAH) </w:t>
      </w:r>
    </w:p>
    <w:p w:rsidRPr="00E766D1" w:rsidR="00A83518" w:rsidP="00A83518" w14:paraId="579D45CB" w14:textId="77777777"/>
    <w:tbl>
      <w:tblPr>
        <w:tblW w:w="489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971"/>
        <w:gridCol w:w="4405"/>
      </w:tblGrid>
      <w:tr w:rsidTr="003A2ED3" w14:paraId="609CEAA4" w14:textId="77777777">
        <w:tblPrEx>
          <w:tblW w:w="489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E766D1" w:rsidR="00A83518" w:rsidP="00FC0BD7" w14:paraId="478B6DE3" w14:textId="77777777">
            <w:pPr>
              <w:rPr>
                <w:b/>
              </w:rPr>
            </w:pPr>
            <w:r w:rsidRPr="00E766D1">
              <w:rPr>
                <w:b/>
              </w:rPr>
              <w:t xml:space="preserve">Beleidskeuzes uitgelegd </w:t>
            </w:r>
          </w:p>
          <w:p w:rsidRPr="00E766D1" w:rsidR="00A83518" w:rsidP="00FC0BD7" w14:paraId="4B0381F1" w14:textId="77777777">
            <w:pPr>
              <w:rPr>
                <w:b/>
              </w:rPr>
            </w:pPr>
          </w:p>
        </w:tc>
      </w:tr>
      <w:tr w:rsidTr="003A2ED3" w14:paraId="04C9C283" w14:textId="77777777">
        <w:tblPrEx>
          <w:tblW w:w="4894" w:type="pct"/>
          <w:tblInd w:w="-5" w:type="dxa"/>
          <w:shd w:val="clear" w:color="auto" w:fill="DEEAF6"/>
          <w:tblLook w:val="01E0"/>
        </w:tblPrEx>
        <w:trPr>
          <w:trHeight w:val="741"/>
        </w:trPr>
        <w:tc>
          <w:tcPr>
            <w:tcW w:w="2014" w:type="pct"/>
            <w:tcBorders>
              <w:top w:val="single" w:color="FFFFFF" w:sz="4" w:space="0"/>
              <w:left w:val="nil"/>
              <w:bottom w:val="single" w:color="FFFFFF" w:sz="4" w:space="0"/>
              <w:right w:val="single" w:color="FFFFFF" w:sz="4" w:space="0"/>
            </w:tcBorders>
            <w:shd w:val="clear" w:color="auto" w:fill="DEEAF6"/>
          </w:tcPr>
          <w:p w:rsidRPr="00E766D1" w:rsidR="00A83518" w:rsidP="00FC0BD7" w14:paraId="7EE28B96" w14:textId="77777777">
            <w:pPr>
              <w:rPr>
                <w:b/>
              </w:rPr>
            </w:pPr>
          </w:p>
          <w:p w:rsidRPr="00E766D1" w:rsidR="00A83518" w:rsidP="00A83518" w14:paraId="5411FCEA" w14:textId="77777777">
            <w:pPr>
              <w:numPr>
                <w:ilvl w:val="0"/>
                <w:numId w:val="17"/>
              </w:numPr>
              <w:rPr>
                <w:b/>
              </w:rPr>
            </w:pPr>
            <w:r w:rsidRPr="00E766D1">
              <w:rPr>
                <w:b/>
              </w:rPr>
              <w:t xml:space="preserve">Doel(en) </w:t>
            </w:r>
          </w:p>
        </w:tc>
        <w:tc>
          <w:tcPr>
            <w:tcW w:w="2986" w:type="pct"/>
            <w:tcBorders>
              <w:top w:val="single" w:color="FFFFFF" w:sz="4" w:space="0"/>
              <w:left w:val="single" w:color="FFFFFF" w:sz="4" w:space="0"/>
              <w:bottom w:val="single" w:color="FFFFFF" w:sz="4" w:space="0"/>
              <w:right w:val="nil"/>
            </w:tcBorders>
            <w:shd w:val="clear" w:color="auto" w:fill="DEEAF6"/>
            <w:vAlign w:val="center"/>
          </w:tcPr>
          <w:p w:rsidRPr="00E766D1" w:rsidR="00EF0CE1" w:rsidP="00EF0CE1" w14:paraId="51208DED" w14:textId="77777777">
            <w:pPr>
              <w:rPr>
                <w:bCs/>
              </w:rPr>
            </w:pPr>
            <w:r w:rsidRPr="00E766D1">
              <w:rPr>
                <w:bCs/>
              </w:rPr>
              <w:t>De Stimuleringsregeling aardgasvrije huurwoningen (SAH) is een subsidieregeling voor verhuurders en VvE’s. De regeling heeft als doel het aardgasvrij maken van huurwoningen</w:t>
            </w:r>
            <w:r w:rsidRPr="00E766D1" w:rsidR="00980390">
              <w:rPr>
                <w:bCs/>
              </w:rPr>
              <w:t xml:space="preserve"> door deze</w:t>
            </w:r>
            <w:r w:rsidRPr="00E766D1">
              <w:rPr>
                <w:bCs/>
              </w:rPr>
              <w:t xml:space="preserve"> aan</w:t>
            </w:r>
            <w:r w:rsidRPr="00E766D1" w:rsidR="00980390">
              <w:rPr>
                <w:bCs/>
              </w:rPr>
              <w:t xml:space="preserve"> te </w:t>
            </w:r>
            <w:r w:rsidRPr="00E766D1">
              <w:rPr>
                <w:bCs/>
              </w:rPr>
              <w:t xml:space="preserve">sluiten op warmtenetten. </w:t>
            </w:r>
            <w:r w:rsidRPr="00E766D1">
              <w:t>Realisatie van aansluitingen op collectieve warmtesystemen is een belangrijke pijler voor het realiseren van de warmtetransitie in de gebouwde omgeving tegen de laagste nationale kosten (zie de Startanalyse van PBL</w:t>
            </w:r>
            <w:r>
              <w:rPr>
                <w:vertAlign w:val="superscript"/>
              </w:rPr>
              <w:footnoteReference w:id="5"/>
            </w:r>
            <w:r w:rsidRPr="00E766D1">
              <w:t>)</w:t>
            </w:r>
            <w:r w:rsidRPr="00E766D1" w:rsidR="005D4091">
              <w:t xml:space="preserve"> en</w:t>
            </w:r>
            <w:r w:rsidRPr="00E766D1">
              <w:t xml:space="preserve"> helpt (potentieel) netcongestie te beperken</w:t>
            </w:r>
            <w:r w:rsidRPr="00E766D1" w:rsidR="005D4091">
              <w:t>. Daarnaast</w:t>
            </w:r>
            <w:r w:rsidRPr="00E766D1">
              <w:t xml:space="preserve"> zorgt </w:t>
            </w:r>
            <w:r w:rsidRPr="00E766D1" w:rsidR="005D4091">
              <w:t xml:space="preserve">het ervoor </w:t>
            </w:r>
            <w:r w:rsidRPr="00E766D1">
              <w:t>dat energiebronnen beter benut kunnen worden</w:t>
            </w:r>
            <w:r w:rsidRPr="00E766D1" w:rsidR="005D4091">
              <w:t xml:space="preserve"> doordat warmtenetten efficiënter zijn dan individuele </w:t>
            </w:r>
            <w:r w:rsidRPr="00E766D1" w:rsidR="00B31471">
              <w:t>gas</w:t>
            </w:r>
            <w:r w:rsidRPr="00E766D1" w:rsidR="005D4091">
              <w:t>ketels</w:t>
            </w:r>
            <w:r w:rsidRPr="00E766D1">
              <w:t xml:space="preserve">. </w:t>
            </w:r>
          </w:p>
          <w:p w:rsidRPr="00E766D1" w:rsidR="00EF0CE1" w:rsidP="00EF0CE1" w14:paraId="68F18CAB" w14:textId="77777777">
            <w:pPr>
              <w:rPr>
                <w:bCs/>
              </w:rPr>
            </w:pPr>
          </w:p>
          <w:p w:rsidRPr="00E766D1" w:rsidR="00A33266" w:rsidP="00EF0CE1" w14:paraId="15AE7894" w14:textId="77777777">
            <w:pPr>
              <w:rPr>
                <w:bCs/>
              </w:rPr>
            </w:pPr>
            <w:r w:rsidRPr="00E766D1">
              <w:t>In het</w:t>
            </w:r>
            <w:r w:rsidRPr="00E766D1">
              <w:rPr>
                <w:bCs/>
              </w:rPr>
              <w:t xml:space="preserve"> Programma Verduurzaming gebouwde omgeving</w:t>
            </w:r>
            <w:r w:rsidRPr="00E766D1">
              <w:t xml:space="preserve"> PVGO is opgenomen dat Nederland in 2030 een totaal van 500.000 nieuwe aansluitingen zou moeten realiseren.</w:t>
            </w:r>
          </w:p>
          <w:p w:rsidRPr="00E766D1" w:rsidR="00F76826" w:rsidP="00FF4C3F" w14:paraId="6154944A" w14:textId="77777777">
            <w:r w:rsidRPr="00E766D1">
              <w:t>Volgens de laatste prognoses uit de KEV</w:t>
            </w:r>
            <w:r>
              <w:rPr>
                <w:vertAlign w:val="superscript"/>
              </w:rPr>
              <w:footnoteReference w:id="6"/>
            </w:r>
            <w:r w:rsidRPr="00E766D1">
              <w:t xml:space="preserve"> zal het aantal warmtenetaansluitingen op woningen tot 2030 met ca. 70.000 aansluitingen toenemen. </w:t>
            </w:r>
            <w:r w:rsidRPr="00E766D1" w:rsidR="00A33266">
              <w:t xml:space="preserve">Het doel van 500.000 aansluitingen wordt niet gehaald zonder extra </w:t>
            </w:r>
            <w:r w:rsidRPr="00E766D1" w:rsidR="00274498">
              <w:t xml:space="preserve">inspanningen en </w:t>
            </w:r>
            <w:r w:rsidRPr="00E766D1" w:rsidR="00A33266">
              <w:t>subsidie</w:t>
            </w:r>
            <w:r w:rsidRPr="00E766D1" w:rsidR="00274498">
              <w:t>. Met deze</w:t>
            </w:r>
            <w:r w:rsidRPr="00E766D1" w:rsidR="00A33266">
              <w:t xml:space="preserve"> budgetophoging van de SAH </w:t>
            </w:r>
            <w:r w:rsidRPr="00E766D1" w:rsidR="00274498">
              <w:t xml:space="preserve">zullen </w:t>
            </w:r>
            <w:r w:rsidRPr="00E766D1">
              <w:t>er</w:t>
            </w:r>
            <w:r w:rsidRPr="00E766D1" w:rsidR="00A33266">
              <w:t xml:space="preserve"> </w:t>
            </w:r>
            <w:r w:rsidRPr="00E766D1" w:rsidR="00274498">
              <w:t>ten minste 11.000 aansluitingen bijkomen</w:t>
            </w:r>
          </w:p>
        </w:tc>
      </w:tr>
      <w:tr w:rsidTr="003A2ED3" w14:paraId="7177D9BA" w14:textId="77777777">
        <w:tblPrEx>
          <w:tblW w:w="4894" w:type="pct"/>
          <w:tblInd w:w="-5" w:type="dxa"/>
          <w:shd w:val="clear" w:color="auto" w:fill="DEEAF6"/>
          <w:tblLook w:val="01E0"/>
        </w:tblPrEx>
        <w:trPr>
          <w:trHeight w:val="565"/>
        </w:trPr>
        <w:tc>
          <w:tcPr>
            <w:tcW w:w="2014"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4B37D715" w14:textId="77777777">
            <w:pPr>
              <w:rPr>
                <w:b/>
              </w:rPr>
            </w:pPr>
          </w:p>
          <w:p w:rsidRPr="00E766D1" w:rsidR="00F76826" w:rsidP="00F76826" w14:paraId="38432303" w14:textId="77777777">
            <w:pPr>
              <w:numPr>
                <w:ilvl w:val="0"/>
                <w:numId w:val="17"/>
              </w:numPr>
              <w:rPr>
                <w:b/>
              </w:rPr>
            </w:pPr>
            <w:r w:rsidRPr="00E766D1">
              <w:rPr>
                <w:b/>
              </w:rPr>
              <w:t>Beleidsinstrument(en)</w:t>
            </w:r>
          </w:p>
        </w:tc>
        <w:tc>
          <w:tcPr>
            <w:tcW w:w="2986" w:type="pct"/>
            <w:tcBorders>
              <w:top w:val="single" w:color="FFFFFF" w:sz="4" w:space="0"/>
              <w:left w:val="single" w:color="FFFFFF" w:sz="4" w:space="0"/>
              <w:bottom w:val="single" w:color="FFFFFF" w:sz="4" w:space="0"/>
              <w:right w:val="nil"/>
            </w:tcBorders>
            <w:shd w:val="clear" w:color="auto" w:fill="DEEAF6"/>
            <w:vAlign w:val="center"/>
          </w:tcPr>
          <w:p w:rsidRPr="00E766D1" w:rsidR="00A33266" w:rsidP="00EF0CE1" w14:paraId="02A2F087" w14:textId="77777777">
            <w:pPr>
              <w:rPr>
                <w:i/>
                <w:iCs/>
              </w:rPr>
            </w:pPr>
            <w:r w:rsidRPr="00E766D1">
              <w:rPr>
                <w:bCs/>
              </w:rPr>
              <w:t>Het kabinet heeft gekozen om de doelen te realiseren door middel van het verlengen van de Stimuleringsregeling Aardgasvrije Huurwoningen (SAH)</w:t>
            </w:r>
            <w:r w:rsidRPr="00E766D1" w:rsidR="0067705C">
              <w:rPr>
                <w:bCs/>
              </w:rPr>
              <w:t>.</w:t>
            </w:r>
            <w:r w:rsidRPr="00E766D1" w:rsidR="00EF0CE1">
              <w:rPr>
                <w:i/>
                <w:iCs/>
              </w:rPr>
              <w:t xml:space="preserve"> </w:t>
            </w:r>
          </w:p>
          <w:p w:rsidRPr="00E766D1" w:rsidR="00A33266" w:rsidP="00EF0CE1" w14:paraId="3FF214A1" w14:textId="77777777">
            <w:pPr>
              <w:rPr>
                <w:i/>
                <w:iCs/>
              </w:rPr>
            </w:pPr>
          </w:p>
          <w:p w:rsidRPr="00E766D1" w:rsidR="00EF0CE1" w:rsidP="00EF0CE1" w14:paraId="450E3710" w14:textId="77777777">
            <w:pPr>
              <w:rPr>
                <w:bCs/>
              </w:rPr>
            </w:pPr>
            <w:r w:rsidRPr="00E766D1">
              <w:t>Subsidie is nodig omdat zowel de kosten van aansluiting op een warmtenet als de eindgebruikerskosten van een warmtenet hoog zijn. Met de subsidie wordt de vraag naar warmtenetaansluitingen verhoogd.</w:t>
            </w:r>
          </w:p>
          <w:p w:rsidRPr="00E766D1" w:rsidR="00F76826" w:rsidP="00EF0CE1" w14:paraId="4D6331BC" w14:textId="77777777">
            <w:pPr>
              <w:rPr>
                <w:bCs/>
              </w:rPr>
            </w:pPr>
            <w:r w:rsidRPr="00E766D1">
              <w:rPr>
                <w:bCs/>
              </w:rPr>
              <w:t>De stimuleringsregeling is belangrijk voor het tempo in de energietransitie.</w:t>
            </w:r>
            <w:r w:rsidRPr="00E766D1" w:rsidR="00C41F1F">
              <w:rPr>
                <w:bCs/>
              </w:rPr>
              <w:t xml:space="preserve"> De ervaringen</w:t>
            </w:r>
            <w:r w:rsidRPr="00E766D1">
              <w:rPr>
                <w:bCs/>
              </w:rPr>
              <w:t xml:space="preserve"> </w:t>
            </w:r>
            <w:r w:rsidRPr="00E766D1" w:rsidR="00C41F1F">
              <w:rPr>
                <w:bCs/>
              </w:rPr>
              <w:t>met de eerdere SAH-regelingen zijn positief (</w:t>
            </w:r>
            <w:r w:rsidRPr="00E766D1" w:rsidR="009465AD">
              <w:rPr>
                <w:bCs/>
              </w:rPr>
              <w:t xml:space="preserve">invoeringstoets </w:t>
            </w:r>
            <w:r w:rsidRPr="00E766D1" w:rsidR="00C41F1F">
              <w:rPr>
                <w:bCs/>
              </w:rPr>
              <w:t>2023)</w:t>
            </w:r>
            <w:r w:rsidRPr="00E766D1" w:rsidR="00A33266">
              <w:rPr>
                <w:bCs/>
              </w:rPr>
              <w:t>.</w:t>
            </w:r>
            <w:r>
              <w:rPr>
                <w:rStyle w:val="FootnoteReference"/>
                <w:bCs/>
              </w:rPr>
              <w:footnoteReference w:id="7"/>
            </w:r>
          </w:p>
        </w:tc>
      </w:tr>
      <w:tr w:rsidTr="003A2ED3" w14:paraId="215F7757" w14:textId="77777777">
        <w:tblPrEx>
          <w:tblW w:w="4894" w:type="pct"/>
          <w:tblInd w:w="-5" w:type="dxa"/>
          <w:shd w:val="clear" w:color="auto" w:fill="DEEAF6"/>
          <w:tblLook w:val="01E0"/>
        </w:tblPrEx>
        <w:trPr>
          <w:trHeight w:val="655"/>
        </w:trPr>
        <w:tc>
          <w:tcPr>
            <w:tcW w:w="2014"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1DE8AC02" w14:textId="77777777">
            <w:pPr>
              <w:rPr>
                <w:bCs/>
              </w:rPr>
            </w:pPr>
          </w:p>
          <w:p w:rsidRPr="00E766D1" w:rsidR="00F76826" w:rsidP="00F76826" w14:paraId="021B90E3" w14:textId="77777777">
            <w:pPr>
              <w:numPr>
                <w:ilvl w:val="0"/>
                <w:numId w:val="17"/>
              </w:numPr>
              <w:rPr>
                <w:b/>
              </w:rPr>
            </w:pPr>
            <w:r w:rsidRPr="00E766D1">
              <w:rPr>
                <w:b/>
              </w:rPr>
              <w:t>Financiële gevolgen</w:t>
            </w:r>
          </w:p>
          <w:p w:rsidRPr="00E766D1" w:rsidR="00F76826" w:rsidP="00F76826" w14:paraId="769204DE" w14:textId="77777777">
            <w:pPr>
              <w:rPr>
                <w:b/>
              </w:rPr>
            </w:pPr>
          </w:p>
          <w:p w:rsidRPr="00E766D1" w:rsidR="00F76826" w:rsidP="00F76826" w14:paraId="5AD19F87" w14:textId="77777777">
            <w:pPr>
              <w:rPr>
                <w:b/>
              </w:rPr>
            </w:pPr>
            <w:r w:rsidRPr="00E766D1">
              <w:rPr>
                <w:b/>
              </w:rPr>
              <w:t>A. voor het Rijk</w:t>
            </w:r>
          </w:p>
        </w:tc>
        <w:tc>
          <w:tcPr>
            <w:tcW w:w="2986" w:type="pct"/>
            <w:tcBorders>
              <w:top w:val="single" w:color="FFFFFF" w:sz="4" w:space="0"/>
              <w:left w:val="single" w:color="FFFFFF" w:sz="4" w:space="0"/>
              <w:bottom w:val="single" w:color="FFFFFF" w:sz="4" w:space="0"/>
              <w:right w:val="nil"/>
            </w:tcBorders>
            <w:shd w:val="clear" w:color="auto" w:fill="DEEAF6"/>
            <w:vAlign w:val="center"/>
          </w:tcPr>
          <w:p w:rsidRPr="00E766D1" w:rsidR="00EF0CE1" w:rsidP="00EF0CE1" w14:paraId="36E1D795" w14:textId="77777777">
            <w:pPr>
              <w:spacing w:line="276" w:lineRule="auto"/>
              <w:rPr>
                <w:i/>
                <w:iCs/>
              </w:rPr>
            </w:pPr>
            <w:r w:rsidRPr="00E766D1">
              <w:rPr>
                <w:i/>
                <w:iCs/>
              </w:rPr>
              <w:t>Financiële reeks</w:t>
            </w:r>
            <w:r w:rsidRPr="00E766D1" w:rsidR="003A431A">
              <w:rPr>
                <w:i/>
                <w:iCs/>
              </w:rPr>
              <w:t xml:space="preserve"> (bedragen in € mln.)</w:t>
            </w:r>
          </w:p>
          <w:tbl>
            <w:tblPr>
              <w:tblStyle w:val="TableGrid"/>
              <w:tblW w:w="0" w:type="auto"/>
              <w:tblInd w:w="0" w:type="dxa"/>
              <w:tblLook w:val="04A0"/>
            </w:tblPr>
            <w:tblGrid>
              <w:gridCol w:w="1083"/>
              <w:gridCol w:w="491"/>
              <w:gridCol w:w="468"/>
              <w:gridCol w:w="468"/>
              <w:gridCol w:w="468"/>
              <w:gridCol w:w="468"/>
              <w:gridCol w:w="468"/>
            </w:tblGrid>
            <w:tr w:rsidTr="003A2ED3" w14:paraId="0A58B95F" w14:textId="77777777">
              <w:tblPrEx>
                <w:tblW w:w="0" w:type="auto"/>
                <w:tblInd w:w="0" w:type="dxa"/>
                <w:tblLook w:val="04A0"/>
              </w:tblPrEx>
              <w:trPr>
                <w:trHeight w:val="504"/>
              </w:trPr>
              <w:tc>
                <w:tcPr>
                  <w:tcW w:w="0" w:type="auto"/>
                  <w:tcBorders>
                    <w:top w:val="single" w:color="auto" w:sz="4" w:space="0"/>
                    <w:left w:val="single" w:color="auto" w:sz="4" w:space="0"/>
                    <w:bottom w:val="single" w:color="auto" w:sz="4" w:space="0"/>
                    <w:right w:val="single" w:color="auto" w:sz="4" w:space="0"/>
                  </w:tcBorders>
                  <w:hideMark/>
                </w:tcPr>
                <w:p w:rsidRPr="00E766D1" w:rsidR="00EF0CE1" w:rsidP="00EF0CE1" w14:paraId="11184B4B" w14:textId="77777777">
                  <w:pPr>
                    <w:spacing w:line="276" w:lineRule="auto"/>
                  </w:pPr>
                  <w:r w:rsidRPr="00E766D1">
                    <w:t xml:space="preserve"> SAH 2026</w:t>
                  </w:r>
                </w:p>
              </w:tc>
              <w:tc>
                <w:tcPr>
                  <w:tcW w:w="0" w:type="auto"/>
                  <w:tcBorders>
                    <w:top w:val="single" w:color="auto" w:sz="4" w:space="0"/>
                    <w:left w:val="single" w:color="auto" w:sz="4" w:space="0"/>
                    <w:bottom w:val="single" w:color="auto" w:sz="4" w:space="0"/>
                    <w:right w:val="single" w:color="auto" w:sz="4" w:space="0"/>
                  </w:tcBorders>
                  <w:hideMark/>
                </w:tcPr>
                <w:p w:rsidRPr="00E766D1" w:rsidR="00EF0CE1" w:rsidP="00EF0CE1" w14:paraId="6C0D3FC1" w14:textId="77777777">
                  <w:pPr>
                    <w:spacing w:line="276" w:lineRule="auto"/>
                  </w:pPr>
                  <w:r w:rsidRPr="00E766D1">
                    <w:t>Cum.</w:t>
                  </w:r>
                </w:p>
              </w:tc>
              <w:tc>
                <w:tcPr>
                  <w:tcW w:w="0" w:type="auto"/>
                  <w:tcBorders>
                    <w:top w:val="single" w:color="auto" w:sz="4" w:space="0"/>
                    <w:left w:val="single" w:color="auto" w:sz="4" w:space="0"/>
                    <w:bottom w:val="single" w:color="auto" w:sz="4" w:space="0"/>
                    <w:right w:val="single" w:color="auto" w:sz="4" w:space="0"/>
                  </w:tcBorders>
                  <w:hideMark/>
                </w:tcPr>
                <w:p w:rsidRPr="00E766D1" w:rsidR="00EF0CE1" w:rsidP="00EF0CE1" w14:paraId="5353C234" w14:textId="77777777">
                  <w:pPr>
                    <w:spacing w:line="276" w:lineRule="auto"/>
                  </w:pPr>
                  <w:r w:rsidRPr="00E766D1">
                    <w:t>2026</w:t>
                  </w:r>
                </w:p>
              </w:tc>
              <w:tc>
                <w:tcPr>
                  <w:tcW w:w="0" w:type="auto"/>
                  <w:tcBorders>
                    <w:top w:val="single" w:color="auto" w:sz="4" w:space="0"/>
                    <w:left w:val="single" w:color="auto" w:sz="4" w:space="0"/>
                    <w:bottom w:val="single" w:color="auto" w:sz="4" w:space="0"/>
                    <w:right w:val="single" w:color="auto" w:sz="4" w:space="0"/>
                  </w:tcBorders>
                  <w:hideMark/>
                </w:tcPr>
                <w:p w:rsidRPr="00E766D1" w:rsidR="00EF0CE1" w:rsidP="00EF0CE1" w14:paraId="4F4E1EBB" w14:textId="77777777">
                  <w:pPr>
                    <w:spacing w:line="276" w:lineRule="auto"/>
                  </w:pPr>
                  <w:r w:rsidRPr="00E766D1">
                    <w:t>2027</w:t>
                  </w:r>
                </w:p>
              </w:tc>
              <w:tc>
                <w:tcPr>
                  <w:tcW w:w="0" w:type="auto"/>
                  <w:tcBorders>
                    <w:top w:val="single" w:color="auto" w:sz="4" w:space="0"/>
                    <w:left w:val="single" w:color="auto" w:sz="4" w:space="0"/>
                    <w:bottom w:val="single" w:color="auto" w:sz="4" w:space="0"/>
                    <w:right w:val="single" w:color="auto" w:sz="4" w:space="0"/>
                  </w:tcBorders>
                  <w:hideMark/>
                </w:tcPr>
                <w:p w:rsidRPr="00E766D1" w:rsidR="00EF0CE1" w:rsidP="00EF0CE1" w14:paraId="02FDBD9C" w14:textId="77777777">
                  <w:pPr>
                    <w:spacing w:line="276" w:lineRule="auto"/>
                  </w:pPr>
                  <w:r w:rsidRPr="00E766D1">
                    <w:t>2028</w:t>
                  </w:r>
                </w:p>
              </w:tc>
              <w:tc>
                <w:tcPr>
                  <w:tcW w:w="0" w:type="auto"/>
                  <w:tcBorders>
                    <w:top w:val="single" w:color="auto" w:sz="4" w:space="0"/>
                    <w:left w:val="single" w:color="auto" w:sz="4" w:space="0"/>
                    <w:bottom w:val="single" w:color="auto" w:sz="4" w:space="0"/>
                    <w:right w:val="single" w:color="auto" w:sz="4" w:space="0"/>
                  </w:tcBorders>
                  <w:hideMark/>
                </w:tcPr>
                <w:p w:rsidRPr="00E766D1" w:rsidR="00EF0CE1" w:rsidP="00EF0CE1" w14:paraId="5B5FBCB2" w14:textId="77777777">
                  <w:pPr>
                    <w:spacing w:line="276" w:lineRule="auto"/>
                  </w:pPr>
                  <w:r w:rsidRPr="00E766D1">
                    <w:t>2029</w:t>
                  </w:r>
                </w:p>
              </w:tc>
              <w:tc>
                <w:tcPr>
                  <w:tcW w:w="0" w:type="auto"/>
                  <w:tcBorders>
                    <w:top w:val="single" w:color="auto" w:sz="4" w:space="0"/>
                    <w:left w:val="single" w:color="auto" w:sz="4" w:space="0"/>
                    <w:bottom w:val="single" w:color="auto" w:sz="4" w:space="0"/>
                    <w:right w:val="single" w:color="auto" w:sz="4" w:space="0"/>
                  </w:tcBorders>
                  <w:hideMark/>
                </w:tcPr>
                <w:p w:rsidRPr="00E766D1" w:rsidR="00EF0CE1" w:rsidP="00EF0CE1" w14:paraId="02D6ED42" w14:textId="77777777">
                  <w:pPr>
                    <w:spacing w:line="276" w:lineRule="auto"/>
                  </w:pPr>
                  <w:r w:rsidRPr="00E766D1">
                    <w:t>2030</w:t>
                  </w:r>
                </w:p>
              </w:tc>
            </w:tr>
            <w:tr w:rsidTr="003A2ED3" w14:paraId="278A61A4" w14:textId="77777777">
              <w:tblPrEx>
                <w:tblW w:w="0" w:type="auto"/>
                <w:tblInd w:w="0" w:type="dxa"/>
                <w:tblLook w:val="04A0"/>
              </w:tblPrEx>
              <w:trPr>
                <w:trHeight w:val="252"/>
              </w:trPr>
              <w:tc>
                <w:tcPr>
                  <w:tcW w:w="0" w:type="auto"/>
                  <w:tcBorders>
                    <w:top w:val="single" w:color="auto" w:sz="4" w:space="0"/>
                    <w:left w:val="single" w:color="auto" w:sz="4" w:space="0"/>
                    <w:bottom w:val="single" w:color="auto" w:sz="4" w:space="0"/>
                    <w:right w:val="single" w:color="auto" w:sz="4" w:space="0"/>
                  </w:tcBorders>
                  <w:hideMark/>
                </w:tcPr>
                <w:p w:rsidRPr="00E766D1" w:rsidR="00EF0CE1" w:rsidP="00EF0CE1" w14:paraId="08CC346E" w14:textId="77777777">
                  <w:pPr>
                    <w:spacing w:line="276" w:lineRule="auto"/>
                  </w:pPr>
                  <w:r w:rsidRPr="00E766D1">
                    <w:t>Kas</w:t>
                  </w: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1D040BF0" w14:textId="77777777">
                  <w:pPr>
                    <w:spacing w:line="276" w:lineRule="auto"/>
                  </w:pPr>
                  <w:r w:rsidRPr="00E766D1">
                    <w:t>77</w:t>
                  </w: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3F4AB24F" w14:textId="77777777">
                  <w:pPr>
                    <w:spacing w:line="276" w:lineRule="auto"/>
                  </w:pPr>
                  <w:r w:rsidRPr="00E766D1">
                    <w:t>15</w:t>
                  </w: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2FA75585" w14:textId="77777777">
                  <w:pPr>
                    <w:spacing w:line="276" w:lineRule="auto"/>
                  </w:pPr>
                  <w:r w:rsidRPr="00E766D1">
                    <w:t>23,5</w:t>
                  </w: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41889A78" w14:textId="77777777">
                  <w:pPr>
                    <w:spacing w:line="276" w:lineRule="auto"/>
                  </w:pP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309ACE8D" w14:textId="77777777">
                  <w:pPr>
                    <w:spacing w:line="276" w:lineRule="auto"/>
                  </w:pP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3DF2D2B6" w14:textId="77777777">
                  <w:pPr>
                    <w:spacing w:line="276" w:lineRule="auto"/>
                  </w:pPr>
                  <w:r w:rsidRPr="00E766D1">
                    <w:t>38,5</w:t>
                  </w:r>
                </w:p>
              </w:tc>
            </w:tr>
            <w:tr w:rsidTr="003A2ED3" w14:paraId="7948A219" w14:textId="77777777">
              <w:tblPrEx>
                <w:tblW w:w="0" w:type="auto"/>
                <w:tblInd w:w="0" w:type="dxa"/>
                <w:tblLook w:val="04A0"/>
              </w:tblPrEx>
              <w:trPr>
                <w:trHeight w:val="144"/>
              </w:trPr>
              <w:tc>
                <w:tcPr>
                  <w:tcW w:w="0" w:type="auto"/>
                  <w:tcBorders>
                    <w:top w:val="single" w:color="auto" w:sz="4" w:space="0"/>
                    <w:left w:val="single" w:color="auto" w:sz="4" w:space="0"/>
                    <w:bottom w:val="single" w:color="auto" w:sz="4" w:space="0"/>
                    <w:right w:val="single" w:color="auto" w:sz="4" w:space="0"/>
                  </w:tcBorders>
                  <w:hideMark/>
                </w:tcPr>
                <w:p w:rsidRPr="00E766D1" w:rsidR="00EF0CE1" w:rsidP="00EF0CE1" w14:paraId="02D09C09" w14:textId="77777777">
                  <w:pPr>
                    <w:spacing w:line="276" w:lineRule="auto"/>
                  </w:pPr>
                  <w:r w:rsidRPr="00E766D1">
                    <w:t>Verplichting</w:t>
                  </w: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17FEB560" w14:textId="77777777">
                  <w:pPr>
                    <w:spacing w:line="276" w:lineRule="auto"/>
                  </w:pPr>
                  <w:r w:rsidRPr="00E766D1">
                    <w:t>77</w:t>
                  </w: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2180EEE2" w14:textId="77777777">
                  <w:pPr>
                    <w:spacing w:line="276" w:lineRule="auto"/>
                  </w:pPr>
                  <w:r w:rsidRPr="00E766D1">
                    <w:t>30</w:t>
                  </w: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6A5917C2" w14:textId="77777777">
                  <w:pPr>
                    <w:spacing w:line="276" w:lineRule="auto"/>
                  </w:pPr>
                  <w:r w:rsidRPr="00E766D1">
                    <w:t>47</w:t>
                  </w: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76F16E80" w14:textId="77777777">
                  <w:pPr>
                    <w:spacing w:line="276" w:lineRule="auto"/>
                  </w:pP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27291C76" w14:textId="77777777">
                  <w:pPr>
                    <w:spacing w:line="276" w:lineRule="auto"/>
                  </w:pPr>
                </w:p>
              </w:tc>
              <w:tc>
                <w:tcPr>
                  <w:tcW w:w="0" w:type="auto"/>
                  <w:tcBorders>
                    <w:top w:val="single" w:color="auto" w:sz="4" w:space="0"/>
                    <w:left w:val="single" w:color="auto" w:sz="4" w:space="0"/>
                    <w:bottom w:val="single" w:color="auto" w:sz="4" w:space="0"/>
                    <w:right w:val="single" w:color="auto" w:sz="4" w:space="0"/>
                  </w:tcBorders>
                </w:tcPr>
                <w:p w:rsidRPr="00E766D1" w:rsidR="00EF0CE1" w:rsidP="00EF0CE1" w14:paraId="6F35AD5C" w14:textId="77777777">
                  <w:pPr>
                    <w:spacing w:line="276" w:lineRule="auto"/>
                  </w:pPr>
                </w:p>
              </w:tc>
            </w:tr>
          </w:tbl>
          <w:p w:rsidRPr="00E766D1" w:rsidR="00F76826" w:rsidP="00F76826" w14:paraId="727F86B3" w14:textId="77777777">
            <w:pPr>
              <w:rPr>
                <w:b/>
              </w:rPr>
            </w:pPr>
          </w:p>
        </w:tc>
      </w:tr>
      <w:tr w:rsidTr="003A2ED3" w14:paraId="3188D05D" w14:textId="77777777">
        <w:tblPrEx>
          <w:tblW w:w="4894" w:type="pct"/>
          <w:tblInd w:w="-5" w:type="dxa"/>
          <w:shd w:val="clear" w:color="auto" w:fill="DEEAF6"/>
          <w:tblLook w:val="01E0"/>
        </w:tblPrEx>
        <w:trPr>
          <w:trHeight w:val="725"/>
        </w:trPr>
        <w:tc>
          <w:tcPr>
            <w:tcW w:w="2014"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66721740" w14:textId="77777777">
            <w:pPr>
              <w:rPr>
                <w:bCs/>
              </w:rPr>
            </w:pPr>
          </w:p>
          <w:p w:rsidRPr="00E766D1" w:rsidR="00F76826" w:rsidP="00F76826" w14:paraId="41F2D980" w14:textId="77777777">
            <w:pPr>
              <w:rPr>
                <w:b/>
              </w:rPr>
            </w:pPr>
            <w:r w:rsidRPr="00E766D1">
              <w:rPr>
                <w:b/>
              </w:rPr>
              <w:t>B. voor maatschappelijke   sectoren</w:t>
            </w:r>
          </w:p>
        </w:tc>
        <w:tc>
          <w:tcPr>
            <w:tcW w:w="2986" w:type="pct"/>
            <w:tcBorders>
              <w:top w:val="single" w:color="FFFFFF" w:sz="4" w:space="0"/>
              <w:left w:val="single" w:color="FFFFFF" w:sz="4" w:space="0"/>
              <w:bottom w:val="single" w:color="FFFFFF" w:sz="4" w:space="0"/>
              <w:right w:val="nil"/>
            </w:tcBorders>
            <w:shd w:val="clear" w:color="auto" w:fill="DEEAF6"/>
            <w:vAlign w:val="center"/>
          </w:tcPr>
          <w:p w:rsidRPr="00E766D1" w:rsidR="00F76826" w:rsidP="00F76826" w14:paraId="1C8EE8E1" w14:textId="77777777">
            <w:pPr>
              <w:rPr>
                <w:bCs/>
              </w:rPr>
            </w:pPr>
            <w:r w:rsidRPr="00E766D1">
              <w:rPr>
                <w:bCs/>
              </w:rPr>
              <w:t xml:space="preserve">Met de SAH 2026 wordt het voor verhuurders eenvoudiger, goedkoper en aantrekkelijker om huurwoningen op een warmtenet aan te sluiten. </w:t>
            </w:r>
            <w:r w:rsidRPr="00E766D1" w:rsidR="00C41F1F">
              <w:rPr>
                <w:bCs/>
              </w:rPr>
              <w:t xml:space="preserve">De SAH 2026 zal dan ook tot </w:t>
            </w:r>
            <w:r w:rsidRPr="00E766D1" w:rsidR="00FF4C3F">
              <w:rPr>
                <w:bCs/>
              </w:rPr>
              <w:t xml:space="preserve">meer </w:t>
            </w:r>
            <w:r w:rsidRPr="00E766D1" w:rsidR="00C41F1F">
              <w:rPr>
                <w:bCs/>
              </w:rPr>
              <w:t>gewenste investeringen in de verduurzaming van huurwoningen leiden.</w:t>
            </w:r>
            <w:r w:rsidRPr="00E766D1" w:rsidR="0067705C">
              <w:rPr>
                <w:bCs/>
              </w:rPr>
              <w:t xml:space="preserve"> Zonder subsidie komen er minder aansluitingen van huurwoningen op het warmtenet tot stand en komen er minder </w:t>
            </w:r>
            <w:r w:rsidRPr="00E766D1" w:rsidR="0062017C">
              <w:rPr>
                <w:bCs/>
              </w:rPr>
              <w:t xml:space="preserve">(uitbreidingen van) </w:t>
            </w:r>
            <w:r w:rsidRPr="00E766D1" w:rsidR="0067705C">
              <w:rPr>
                <w:bCs/>
              </w:rPr>
              <w:t xml:space="preserve">warmtenetten. </w:t>
            </w:r>
          </w:p>
        </w:tc>
      </w:tr>
      <w:tr w:rsidTr="003A2ED3" w14:paraId="611E0064" w14:textId="77777777">
        <w:tblPrEx>
          <w:tblW w:w="4894" w:type="pct"/>
          <w:tblInd w:w="-5" w:type="dxa"/>
          <w:shd w:val="clear" w:color="auto" w:fill="DEEAF6"/>
          <w:tblLook w:val="01E0"/>
        </w:tblPrEx>
        <w:trPr>
          <w:trHeight w:val="778"/>
        </w:trPr>
        <w:tc>
          <w:tcPr>
            <w:tcW w:w="2014"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68AE4458" w14:textId="77777777">
            <w:pPr>
              <w:rPr>
                <w:b/>
              </w:rPr>
            </w:pPr>
          </w:p>
          <w:p w:rsidRPr="00E766D1" w:rsidR="00F76826" w:rsidP="00F76826" w14:paraId="0080C588" w14:textId="77777777">
            <w:pPr>
              <w:numPr>
                <w:ilvl w:val="0"/>
                <w:numId w:val="17"/>
              </w:numPr>
              <w:rPr>
                <w:b/>
              </w:rPr>
            </w:pPr>
            <w:r w:rsidRPr="00E766D1">
              <w:rPr>
                <w:b/>
              </w:rPr>
              <w:t>Nagestreefde doeltreffendheid</w:t>
            </w:r>
          </w:p>
        </w:tc>
        <w:tc>
          <w:tcPr>
            <w:tcW w:w="2986" w:type="pct"/>
            <w:tcBorders>
              <w:top w:val="single" w:color="FFFFFF" w:sz="4" w:space="0"/>
              <w:left w:val="single" w:color="FFFFFF" w:sz="4" w:space="0"/>
              <w:bottom w:val="single" w:color="FFFFFF" w:sz="4" w:space="0"/>
              <w:right w:val="nil"/>
            </w:tcBorders>
            <w:shd w:val="clear" w:color="auto" w:fill="DEEAF6"/>
            <w:vAlign w:val="center"/>
          </w:tcPr>
          <w:p w:rsidRPr="00E766D1" w:rsidR="00EF0CE1" w:rsidP="00EF0CE1" w14:paraId="6726928C" w14:textId="77777777">
            <w:pPr>
              <w:autoSpaceDN/>
              <w:spacing w:line="276" w:lineRule="auto"/>
              <w:textAlignment w:val="auto"/>
            </w:pPr>
            <w:r w:rsidRPr="00E766D1">
              <w:t>Volgens de laatste prognoses uit de KEV</w:t>
            </w:r>
            <w:r>
              <w:rPr>
                <w:vertAlign w:val="superscript"/>
              </w:rPr>
              <w:footnoteReference w:id="8"/>
            </w:r>
            <w:r w:rsidRPr="00E766D1">
              <w:t xml:space="preserve"> zal het aantal warmtenetaansluitingen op woningen tot 2030 met ca. 70.000 aansluitingen toenemen. In het PVGO is opgenomen dat Nederland in 2030 een totaal van 500.000 nieuwe aansluitingen zou moeten realiseren. Dat aantal wordt, afgaande op de PBL-analyse, naar verwachting niet gehaald. </w:t>
            </w:r>
            <w:r w:rsidRPr="00E766D1" w:rsidR="00AA15BA">
              <w:t xml:space="preserve"> </w:t>
            </w:r>
          </w:p>
          <w:p w:rsidRPr="00E766D1" w:rsidR="00EF0CE1" w:rsidP="00EF0CE1" w14:paraId="4DD10224" w14:textId="77777777">
            <w:pPr>
              <w:autoSpaceDN/>
              <w:spacing w:line="276" w:lineRule="auto"/>
              <w:textAlignment w:val="auto"/>
            </w:pPr>
          </w:p>
          <w:p w:rsidRPr="00E766D1" w:rsidR="00EF0CE1" w:rsidP="00EF0CE1" w14:paraId="664BF8FD" w14:textId="77777777">
            <w:pPr>
              <w:autoSpaceDN/>
              <w:spacing w:line="276" w:lineRule="auto"/>
              <w:textAlignment w:val="auto"/>
            </w:pPr>
            <w:r w:rsidRPr="00E766D1">
              <w:t>De subsidiëring van de inpandige kosten zorgt voor een aantrekkelijker aanbod om over te stappen op een warmtenet voor de eindgebruiker. Een aantrekkelijker aanbod zorgt voor een hoger aantal warmtenetaansluitingen en zorgt dus ook voor een beter sluitende businesscase</w:t>
            </w:r>
            <w:r w:rsidRPr="00E766D1" w:rsidR="003A431A">
              <w:t xml:space="preserve"> (ee</w:t>
            </w:r>
            <w:r w:rsidR="00CF444A">
              <w:t>n</w:t>
            </w:r>
            <w:r w:rsidRPr="00E766D1" w:rsidR="003A431A">
              <w:t xml:space="preserve"> lager vollooprisico).  </w:t>
            </w:r>
            <w:r w:rsidRPr="00E766D1" w:rsidR="004306D0">
              <w:t>Met vollooprisico wordt het financiële risico bedoeld dat een warmtebedrijf loopt wanneer minder woningen dan verwacht aansluiten op een nieuw warmtenet, of wanneer het aantal aansluitingen langzamer gaat dan gepland. Door de inzet van</w:t>
            </w:r>
            <w:r w:rsidRPr="00E766D1" w:rsidR="002D429D">
              <w:t xml:space="preserve"> een groot aantal</w:t>
            </w:r>
            <w:r w:rsidRPr="00E766D1" w:rsidR="004306D0">
              <w:t xml:space="preserve"> huurwoningen wordt het vollooprisico sterk verminderd.</w:t>
            </w:r>
            <w:r w:rsidRPr="00E766D1" w:rsidR="002D429D">
              <w:t xml:space="preserve"> </w:t>
            </w:r>
          </w:p>
          <w:p w:rsidRPr="00E766D1" w:rsidR="00EF0CE1" w:rsidP="00EF0CE1" w14:paraId="0B9C00EB" w14:textId="77777777">
            <w:pPr>
              <w:autoSpaceDN/>
              <w:spacing w:line="276" w:lineRule="auto"/>
              <w:textAlignment w:val="auto"/>
            </w:pPr>
          </w:p>
          <w:p w:rsidRPr="00E766D1" w:rsidR="00F76826" w:rsidP="00F76826" w14:paraId="7ADBE646" w14:textId="77777777">
            <w:r w:rsidRPr="00E766D1">
              <w:t>Deze maatregel helpt daarom om bovenstaande knelpunten (onvoldoende langjarig budget, geen subsidie voor bepaalde doelgroepen, onzekerheid in de aanleg, verschillende subsidiëringsmethoden) weg te nemen door voor de integrale business case van warmtebedrijven (gemeenten/woningcorporaties) ervoor te zorgen dat zij een lagere inpandige kosten bij de eindgebruiker kunnen aanbieden. Een conclusie uit de evaluatie is dat de regeling een versnellend effect heeft op het komen tot een businesscase voor warmtenetten en dat de doelgroep geen (grote) problemen heeft bij de uitvoering.</w:t>
            </w:r>
            <w:r>
              <w:rPr>
                <w:rStyle w:val="FootnoteReference"/>
              </w:rPr>
              <w:footnoteReference w:id="9"/>
            </w:r>
          </w:p>
        </w:tc>
      </w:tr>
      <w:tr w:rsidTr="003A2ED3" w14:paraId="105783CC" w14:textId="77777777">
        <w:tblPrEx>
          <w:tblW w:w="4894" w:type="pct"/>
          <w:tblInd w:w="-5" w:type="dxa"/>
          <w:shd w:val="clear" w:color="auto" w:fill="DEEAF6"/>
          <w:tblLook w:val="01E0"/>
        </w:tblPrEx>
        <w:trPr>
          <w:trHeight w:val="801"/>
        </w:trPr>
        <w:tc>
          <w:tcPr>
            <w:tcW w:w="2014"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5701EAFF" w14:textId="77777777">
            <w:pPr>
              <w:rPr>
                <w:b/>
              </w:rPr>
            </w:pPr>
          </w:p>
          <w:p w:rsidRPr="00E766D1" w:rsidR="00F76826" w:rsidP="00F76826" w14:paraId="7FA11D56" w14:textId="77777777">
            <w:pPr>
              <w:numPr>
                <w:ilvl w:val="0"/>
                <w:numId w:val="17"/>
              </w:numPr>
              <w:rPr>
                <w:b/>
              </w:rPr>
            </w:pPr>
            <w:r w:rsidRPr="00E766D1">
              <w:rPr>
                <w:b/>
              </w:rPr>
              <w:t>Nagestreefde doelmatigheid</w:t>
            </w:r>
          </w:p>
        </w:tc>
        <w:tc>
          <w:tcPr>
            <w:tcW w:w="2986" w:type="pct"/>
            <w:tcBorders>
              <w:top w:val="single" w:color="FFFFFF" w:sz="4" w:space="0"/>
              <w:left w:val="single" w:color="FFFFFF" w:sz="4" w:space="0"/>
              <w:bottom w:val="single" w:color="FFFFFF" w:sz="4" w:space="0"/>
              <w:right w:val="nil"/>
            </w:tcBorders>
            <w:shd w:val="clear" w:color="auto" w:fill="DEEAF6"/>
            <w:vAlign w:val="center"/>
          </w:tcPr>
          <w:p w:rsidRPr="00E766D1" w:rsidR="00EF0CE1" w:rsidP="00EF0CE1" w14:paraId="62EF713D" w14:textId="77777777">
            <w:r w:rsidRPr="00E766D1">
              <w:t>Met de inzet van €77 mln</w:t>
            </w:r>
            <w:r w:rsidRPr="00E766D1" w:rsidR="002C45C5">
              <w:t>.</w:t>
            </w:r>
            <w:r w:rsidRPr="00E766D1">
              <w:t xml:space="preserve"> worden naar verwachting zo’n 11.000 huurwoningen aangesloten op een warmtenetaansluitingen</w:t>
            </w:r>
            <w:r w:rsidRPr="00E766D1" w:rsidR="0013065E">
              <w:t xml:space="preserve"> (uitgaande van een maximaal subsidiebedrag van €7.000)</w:t>
            </w:r>
            <w:r w:rsidRPr="00E766D1">
              <w:t xml:space="preserve">. </w:t>
            </w:r>
            <w:r w:rsidRPr="00E766D1">
              <w:t>Uit de Startanalyse van PBL</w:t>
            </w:r>
            <w:r>
              <w:rPr>
                <w:vertAlign w:val="superscript"/>
              </w:rPr>
              <w:footnoteReference w:id="10"/>
            </w:r>
            <w:r w:rsidRPr="00E766D1">
              <w:t xml:space="preserve"> en de KEV2023</w:t>
            </w:r>
            <w:r>
              <w:rPr>
                <w:vertAlign w:val="superscript"/>
              </w:rPr>
              <w:footnoteReference w:id="11"/>
            </w:r>
            <w:r w:rsidRPr="00E766D1">
              <w:t xml:space="preserve"> blijkt dat er een mix aan verschillende duurzame warmtevoorzieningen nodig is om de klimaatdoelen van 2030 te kunnen behalen. Warmtenetten zijn – in aanvulling op individuele warmtevoorzieningen – nodig om landelijk een zo doeltreffend en doelmatig mogelijke warmtetransitie te realiseren.</w:t>
            </w:r>
          </w:p>
          <w:p w:rsidRPr="00E766D1" w:rsidR="0067705C" w:rsidP="00EF0CE1" w14:paraId="16D81AE3" w14:textId="77777777">
            <w:r w:rsidRPr="00E766D1">
              <w:t>Deze regeling is nodig in aanvulling op andere instrumenten, zoals de WIS en de ISDE. Deze regeling geeft meer dan de andere regelingen een prikkel aan eigenaren van huurwoningen om woningen op een warmtenet aan te sluiten vanwege de subsidie voor inpandige kosten. De SAH bevordert dat de business case van een warmtenet eerder en sneller rond rekent, als verhuurders toezeggen een deel van hun huurwoningen aan te laten sluiten</w:t>
            </w:r>
            <w:r>
              <w:rPr>
                <w:rStyle w:val="FootnoteReference"/>
              </w:rPr>
              <w:footnoteReference w:id="12"/>
            </w:r>
            <w:r w:rsidRPr="00E766D1">
              <w:t xml:space="preserve">. </w:t>
            </w:r>
          </w:p>
          <w:p w:rsidRPr="00E766D1" w:rsidR="00EF0CE1" w:rsidP="00EF0CE1" w14:paraId="7B8C3540" w14:textId="77777777"/>
          <w:p w:rsidRPr="00E766D1" w:rsidR="00EF0CE1" w:rsidP="00EF0CE1" w14:paraId="4CE3E0B2" w14:textId="77777777">
            <w:r w:rsidRPr="00E766D1">
              <w:t xml:space="preserve">Voor een inschatting van de kwantificeerbare gevolgen wordt aangesloten bij de systematiek uit het Klimaatakkoord. Daarin wordt het ‘schoorsteen’-principe gehanteerd, wat inhoudt dat de uiteindelijke CO2- reductie met name wordt toegeschreven aan de eindgebruikers. In dit geval betekent het dat de reductie vooral wordt toegeschreven aan huishoudens en niet aan het warmtenet. </w:t>
            </w:r>
          </w:p>
          <w:p w:rsidRPr="00E766D1" w:rsidR="00F76826" w:rsidP="00EF0CE1" w14:paraId="5D2FDDA9" w14:textId="77777777">
            <w:pPr>
              <w:rPr>
                <w:bCs/>
              </w:rPr>
            </w:pPr>
            <w:r w:rsidRPr="00E766D1">
              <w:t>Randvoorwaardelijk voor het behalen van de onderstaande CO</w:t>
            </w:r>
            <w:r w:rsidRPr="00E766D1">
              <w:rPr>
                <w:vertAlign w:val="subscript"/>
              </w:rPr>
              <w:t>2</w:t>
            </w:r>
            <w:r w:rsidRPr="00E766D1">
              <w:t>-reducties is echter dus wel dat er wordt voldaan aan de aanleg van de warmtenet-infrastructuur. Volgens de KEV23</w:t>
            </w:r>
            <w:r>
              <w:rPr>
                <w:rStyle w:val="FootnoteReference"/>
              </w:rPr>
              <w:footnoteReference w:id="13"/>
            </w:r>
            <w:r w:rsidRPr="00E766D1">
              <w:t xml:space="preserve"> kan er bij 120.000 extra aansluitingen maximaal zo’n 0,2 MT extra CO2 worden bespaard. In het geval van 11.000 aansluitingen dus ongeveer 0,01 MT.</w:t>
            </w:r>
          </w:p>
        </w:tc>
      </w:tr>
      <w:tr w:rsidTr="003A2ED3" w14:paraId="5D863F78" w14:textId="77777777">
        <w:tblPrEx>
          <w:tblW w:w="4894" w:type="pct"/>
          <w:tblInd w:w="-5" w:type="dxa"/>
          <w:shd w:val="clear" w:color="auto" w:fill="DEEAF6"/>
          <w:tblLook w:val="01E0"/>
        </w:tblPrEx>
        <w:trPr>
          <w:trHeight w:val="801"/>
        </w:trPr>
        <w:tc>
          <w:tcPr>
            <w:tcW w:w="2014" w:type="pct"/>
            <w:tcBorders>
              <w:top w:val="single" w:color="FFFFFF" w:sz="4" w:space="0"/>
              <w:left w:val="nil"/>
              <w:bottom w:val="single" w:color="FFFFFF" w:sz="4" w:space="0"/>
              <w:right w:val="single" w:color="FFFFFF" w:sz="4" w:space="0"/>
            </w:tcBorders>
            <w:shd w:val="clear" w:color="auto" w:fill="DEEAF6"/>
          </w:tcPr>
          <w:p w:rsidRPr="00E766D1" w:rsidR="00F76826" w:rsidP="00F76826" w14:paraId="0867F610" w14:textId="77777777">
            <w:pPr>
              <w:rPr>
                <w:b/>
              </w:rPr>
            </w:pPr>
          </w:p>
          <w:p w:rsidRPr="00E766D1" w:rsidR="00F76826" w:rsidP="00F76826" w14:paraId="17578C32" w14:textId="77777777">
            <w:pPr>
              <w:numPr>
                <w:ilvl w:val="0"/>
                <w:numId w:val="17"/>
              </w:numPr>
              <w:rPr>
                <w:b/>
              </w:rPr>
            </w:pPr>
            <w:r w:rsidRPr="00E766D1">
              <w:rPr>
                <w:b/>
              </w:rPr>
              <w:t>Evaluatieparagraaf</w:t>
            </w:r>
          </w:p>
        </w:tc>
        <w:tc>
          <w:tcPr>
            <w:tcW w:w="2986" w:type="pct"/>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14AA1F7A" w14:textId="77777777">
            <w:pPr>
              <w:rPr>
                <w:bCs/>
              </w:rPr>
            </w:pPr>
            <w:r w:rsidRPr="00E766D1">
              <w:rPr>
                <w:bCs/>
              </w:rPr>
              <w:t>De laatste evaluatie van de SAH heeft plaatsgevonden in 2023.</w:t>
            </w:r>
            <w:r>
              <w:rPr>
                <w:rStyle w:val="FootnoteReference"/>
                <w:bCs/>
              </w:rPr>
              <w:footnoteReference w:id="14"/>
            </w:r>
            <w:r w:rsidRPr="00E766D1">
              <w:rPr>
                <w:bCs/>
              </w:rPr>
              <w:t xml:space="preserve"> De regeling SAH 2026 zal op hoofdlijnen gelijk blijven dus de positieve evaluatie is nog steeds van toepassing. Momenteel wordt de Periodieke rapportage van het VRO artikel 2.1 Energietransitie en de gebouwde omgeving uitgevoerd door CE Delft. De uitkomsten van de evaluatie van de SAH uit 2023 worden hier ook in meegenomen.</w:t>
            </w:r>
            <w:r w:rsidRPr="00E766D1" w:rsidR="0067705C">
              <w:rPr>
                <w:bCs/>
              </w:rPr>
              <w:t xml:space="preserve"> </w:t>
            </w:r>
            <w:r w:rsidRPr="00E766D1" w:rsidR="00274498">
              <w:rPr>
                <w:bCs/>
              </w:rPr>
              <w:t>Binnen 3 jaar na invoering zal een ex-post evaluatie plaatsvinden die ingaat op de doeltreffendheid en doelmatigheid van de regeling.</w:t>
            </w:r>
          </w:p>
        </w:tc>
      </w:tr>
    </w:tbl>
    <w:p w:rsidRPr="00A83518" w:rsidR="00A83518" w:rsidP="00A83518" w14:paraId="023DC89F" w14:textId="77777777"/>
    <w:p w:rsidR="00603B72" w:rsidP="00046731" w14:paraId="17463011" w14:textId="77777777">
      <w:pPr>
        <w:spacing w:line="240" w:lineRule="auto"/>
      </w:pPr>
    </w:p>
    <w:p w:rsidR="005A13F0" w:rsidP="005E04FE" w14:paraId="7AAEA769" w14:textId="77777777">
      <w:r>
        <w:br/>
      </w:r>
      <w:r>
        <w:br/>
      </w:r>
      <w:r>
        <w:br/>
      </w:r>
    </w:p>
    <w:p w:rsidR="002F0671" w:rsidP="002F0671" w14:paraId="19595092" w14:textId="77777777">
      <w:r>
        <w:t>De minister van Volkshuisvesting</w:t>
      </w:r>
      <w:r w:rsidR="006B6846">
        <w:t xml:space="preserve"> en Ruimtelijke Ordening</w:t>
      </w:r>
      <w:r w:rsidR="00ED7D01">
        <w:t>,</w:t>
      </w:r>
    </w:p>
    <w:p w:rsidR="003A431A" w:rsidP="002F0671" w14:paraId="1274BA66" w14:textId="77777777"/>
    <w:p w:rsidR="003A431A" w:rsidP="002F0671" w14:paraId="231F87DD" w14:textId="77777777"/>
    <w:p w:rsidR="00ED7D01" w:rsidP="002F0671" w14:paraId="0BABF497" w14:textId="77777777"/>
    <w:p w:rsidRPr="002F0671" w:rsidR="00ED7D01" w:rsidP="002F0671" w14:paraId="5ED30D62" w14:textId="77777777">
      <w:r w:rsidRPr="00ED7D01">
        <w:t>E. Boekholt-O’Sullivan</w:t>
      </w:r>
    </w:p>
    <w:p w:rsidR="005A13F0" w14:paraId="61B56235" w14:textId="77777777"/>
    <w:p w:rsidR="005A13F0" w14:paraId="068583E4" w14:textId="77777777"/>
    <w:p w:rsidR="005A13F0" w14:paraId="4B21863D" w14:textId="77777777"/>
    <w:p w:rsidR="005A13F0" w14:paraId="6027A5C7" w14:textId="77777777"/>
    <w:p w:rsidR="005A13F0" w14:paraId="6C0FB867" w14:textId="77777777"/>
    <w:p w:rsidR="002F0671" w14:paraId="322243F3" w14:textId="77777777"/>
    <w:p w:rsidR="002F0671" w14:paraId="679596EB" w14:textId="77777777"/>
    <w:p w:rsidR="002F0671" w14:paraId="70CBA6CF" w14:textId="77777777"/>
    <w:p w:rsidR="005A13F0" w14:paraId="4FCB538D"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4DB3" w14:paraId="5BF9A0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0822018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4DB3" w14:paraId="115130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3AD6" w14:paraId="45125EE8" w14:textId="77777777">
      <w:pPr>
        <w:spacing w:line="240" w:lineRule="auto"/>
      </w:pPr>
      <w:r>
        <w:separator/>
      </w:r>
    </w:p>
  </w:footnote>
  <w:footnote w:type="continuationSeparator" w:id="1">
    <w:p w:rsidR="002E3AD6" w14:paraId="7C472C8A" w14:textId="77777777">
      <w:pPr>
        <w:spacing w:line="240" w:lineRule="auto"/>
      </w:pPr>
      <w:r>
        <w:continuationSeparator/>
      </w:r>
    </w:p>
  </w:footnote>
  <w:footnote w:id="2">
    <w:p w:rsidR="00A702D8" w:rsidRPr="00332A0D" w:rsidP="00A702D8" w14:paraId="075106F1" w14:textId="77777777">
      <w:pPr>
        <w:pStyle w:val="FootnoteText"/>
        <w:rPr>
          <w:rFonts w:ascii="Verdana" w:hAnsi="Verdana"/>
          <w:sz w:val="16"/>
          <w:szCs w:val="16"/>
        </w:rPr>
      </w:pPr>
      <w:r w:rsidRPr="00332A0D">
        <w:rPr>
          <w:rStyle w:val="FootnoteReference"/>
          <w:rFonts w:ascii="Verdana" w:hAnsi="Verdana"/>
          <w:sz w:val="16"/>
          <w:szCs w:val="16"/>
        </w:rPr>
        <w:footnoteRef/>
      </w:r>
      <w:r w:rsidRPr="00332A0D">
        <w:rPr>
          <w:rFonts w:ascii="Verdana" w:hAnsi="Verdana"/>
          <w:sz w:val="16"/>
          <w:szCs w:val="16"/>
        </w:rPr>
        <w:t xml:space="preserve"> </w:t>
      </w:r>
      <w:r w:rsidR="00CF444A">
        <w:rPr>
          <w:rFonts w:ascii="Verdana" w:hAnsi="Verdana"/>
          <w:sz w:val="16"/>
          <w:szCs w:val="16"/>
        </w:rPr>
        <w:t>O</w:t>
      </w:r>
      <w:r w:rsidRPr="00332A0D" w:rsidR="00F838C8">
        <w:rPr>
          <w:rFonts w:ascii="Verdana" w:hAnsi="Verdana"/>
          <w:sz w:val="16"/>
          <w:szCs w:val="16"/>
        </w:rPr>
        <w:t>ver</w:t>
      </w:r>
      <w:r w:rsidR="00CF444A">
        <w:rPr>
          <w:rFonts w:ascii="Verdana" w:hAnsi="Verdana"/>
          <w:sz w:val="16"/>
          <w:szCs w:val="16"/>
        </w:rPr>
        <w:t xml:space="preserve"> de</w:t>
      </w:r>
      <w:r w:rsidRPr="00332A0D" w:rsidR="00F838C8">
        <w:rPr>
          <w:rFonts w:ascii="Verdana" w:hAnsi="Verdana"/>
          <w:sz w:val="16"/>
          <w:szCs w:val="16"/>
        </w:rPr>
        <w:t xml:space="preserve"> </w:t>
      </w:r>
      <w:r w:rsidRPr="00332A0D">
        <w:rPr>
          <w:rFonts w:ascii="Verdana" w:hAnsi="Verdana"/>
          <w:sz w:val="16"/>
          <w:szCs w:val="16"/>
        </w:rPr>
        <w:t xml:space="preserve">extra middelen voor de renovatie van het Binnenhof (Artikel 4: Uitvoering Rijksvastgoedbeleid) </w:t>
      </w:r>
      <w:r w:rsidRPr="00332A0D" w:rsidR="00F838C8">
        <w:rPr>
          <w:rFonts w:ascii="Verdana" w:hAnsi="Verdana"/>
          <w:sz w:val="16"/>
          <w:szCs w:val="16"/>
        </w:rPr>
        <w:t>vindt</w:t>
      </w:r>
      <w:r w:rsidR="00CF444A">
        <w:rPr>
          <w:rFonts w:ascii="Verdana" w:hAnsi="Verdana"/>
          <w:sz w:val="16"/>
          <w:szCs w:val="16"/>
        </w:rPr>
        <w:t xml:space="preserve"> de toelichting</w:t>
      </w:r>
      <w:r w:rsidRPr="00332A0D" w:rsidR="00F838C8">
        <w:rPr>
          <w:rFonts w:ascii="Verdana" w:hAnsi="Verdana"/>
          <w:sz w:val="16"/>
          <w:szCs w:val="16"/>
        </w:rPr>
        <w:t xml:space="preserve"> plaatst</w:t>
      </w:r>
      <w:r w:rsidRPr="00332A0D">
        <w:rPr>
          <w:rFonts w:ascii="Verdana" w:hAnsi="Verdana"/>
          <w:sz w:val="16"/>
          <w:szCs w:val="16"/>
        </w:rPr>
        <w:t xml:space="preserve"> via de reguliere voortgangsrapportages over de Renovatie van het Binnenhof </w:t>
      </w:r>
    </w:p>
  </w:footnote>
  <w:footnote w:id="3">
    <w:p w:rsidR="00BF17D8" w:rsidRPr="00332A0D" w:rsidP="00BF17D8" w14:paraId="4A83F164" w14:textId="77777777">
      <w:pPr>
        <w:pStyle w:val="FootnoteText"/>
        <w:rPr>
          <w:rFonts w:ascii="Verdana" w:hAnsi="Verdana"/>
          <w:sz w:val="16"/>
          <w:szCs w:val="16"/>
        </w:rPr>
      </w:pPr>
      <w:r w:rsidRPr="00332A0D">
        <w:rPr>
          <w:rStyle w:val="FootnoteReference"/>
          <w:rFonts w:ascii="Verdana" w:hAnsi="Verdana"/>
          <w:sz w:val="16"/>
          <w:szCs w:val="16"/>
        </w:rPr>
        <w:footnoteRef/>
      </w:r>
      <w:r w:rsidRPr="00332A0D">
        <w:rPr>
          <w:rFonts w:ascii="Verdana" w:hAnsi="Verdana"/>
          <w:sz w:val="16"/>
          <w:szCs w:val="16"/>
        </w:rPr>
        <w:t xml:space="preserve"> </w:t>
      </w:r>
      <w:hyperlink r:id="rId1" w:history="1">
        <w:r w:rsidRPr="00332A0D">
          <w:rPr>
            <w:rStyle w:val="Hyperlink"/>
            <w:rFonts w:ascii="Verdana" w:hAnsi="Verdana"/>
            <w:sz w:val="16"/>
            <w:szCs w:val="16"/>
          </w:rPr>
          <w:t>Bouwmix, doorstroming en betaalbaarheid - ABF Research</w:t>
        </w:r>
      </w:hyperlink>
    </w:p>
  </w:footnote>
  <w:footnote w:id="4">
    <w:p w:rsidR="005E04FE" w14:paraId="42D058C1" w14:textId="77777777">
      <w:pPr>
        <w:pStyle w:val="FootnoteText"/>
      </w:pPr>
      <w:r w:rsidRPr="00332A0D">
        <w:rPr>
          <w:rStyle w:val="FootnoteReference"/>
          <w:rFonts w:ascii="Verdana" w:hAnsi="Verdana"/>
          <w:sz w:val="16"/>
          <w:szCs w:val="16"/>
        </w:rPr>
        <w:footnoteRef/>
      </w:r>
      <w:r w:rsidRPr="00332A0D">
        <w:rPr>
          <w:rFonts w:ascii="Verdana" w:hAnsi="Verdana"/>
          <w:sz w:val="16"/>
          <w:szCs w:val="16"/>
        </w:rPr>
        <w:t xml:space="preserve"> Verminderd met uitvoeringkosten</w:t>
      </w:r>
    </w:p>
  </w:footnote>
  <w:footnote w:id="5">
    <w:p w:rsidR="00EF0CE1" w:rsidP="00EF0CE1" w14:paraId="4DE9AC45" w14:textId="77777777">
      <w:pPr>
        <w:pStyle w:val="FootnoteText"/>
        <w:rPr>
          <w:rFonts w:ascii="Verdana" w:hAnsi="Verdana"/>
          <w:sz w:val="16"/>
          <w:szCs w:val="16"/>
        </w:rPr>
      </w:pPr>
      <w:r>
        <w:rPr>
          <w:rStyle w:val="FootnoteReference"/>
          <w:rFonts w:ascii="Verdana" w:hAnsi="Verdana"/>
          <w:sz w:val="16"/>
          <w:szCs w:val="16"/>
        </w:rPr>
        <w:footnoteRef/>
      </w:r>
      <w:r>
        <w:rPr>
          <w:rFonts w:ascii="Verdana" w:hAnsi="Verdana"/>
          <w:sz w:val="16"/>
          <w:szCs w:val="16"/>
        </w:rPr>
        <w:t xml:space="preserve"> </w:t>
      </w:r>
      <w:hyperlink r:id="rId2" w:history="1">
        <w:r>
          <w:rPr>
            <w:rStyle w:val="Hyperlink"/>
            <w:rFonts w:ascii="Verdana" w:hAnsi="Verdana"/>
            <w:sz w:val="16"/>
            <w:szCs w:val="16"/>
          </w:rPr>
          <w:t>Startanalyse aardgasvrije buurten (versie 2020, 24 september 2020); Gemeenterapport met toelichting bij tabellen met resultaten van de Startanalyse (pbl.nl)</w:t>
        </w:r>
      </w:hyperlink>
    </w:p>
  </w:footnote>
  <w:footnote w:id="6">
    <w:p w:rsidR="00EF0CE1" w:rsidP="00EF0CE1" w14:paraId="1882A9D6" w14:textId="77777777">
      <w:pPr>
        <w:pStyle w:val="FootnoteText"/>
      </w:pPr>
      <w:r>
        <w:rPr>
          <w:rStyle w:val="FootnoteReference"/>
        </w:rPr>
        <w:footnoteRef/>
      </w:r>
      <w:r>
        <w:t xml:space="preserve"> </w:t>
      </w:r>
      <w:hyperlink r:id="rId3" w:history="1">
        <w:r w:rsidRPr="00C56346">
          <w:rPr>
            <w:rStyle w:val="Hyperlink"/>
          </w:rPr>
          <w:t>Klimaat- en Energieverkenning 2025 | Planbureau voor de Leefomgeving</w:t>
        </w:r>
      </w:hyperlink>
    </w:p>
  </w:footnote>
  <w:footnote w:id="7">
    <w:p w:rsidR="0067705C" w14:paraId="67BA3741" w14:textId="77777777">
      <w:pPr>
        <w:pStyle w:val="FootnoteText"/>
      </w:pPr>
      <w:r>
        <w:rPr>
          <w:rStyle w:val="FootnoteReference"/>
        </w:rPr>
        <w:footnoteRef/>
      </w:r>
      <w:r>
        <w:t xml:space="preserve"> </w:t>
      </w:r>
      <w:hyperlink r:id="rId4" w:history="1">
        <w:r w:rsidR="00A61CA4">
          <w:rPr>
            <w:rStyle w:val="Hyperlink"/>
          </w:rPr>
          <w:t>Invoeringstoets SAH</w:t>
        </w:r>
      </w:hyperlink>
      <w:r>
        <w:t xml:space="preserve"> </w:t>
      </w:r>
    </w:p>
  </w:footnote>
  <w:footnote w:id="8">
    <w:p w:rsidR="00EF0CE1" w:rsidRPr="00332A0D" w:rsidP="00EF0CE1" w14:paraId="6DE6A183" w14:textId="77777777">
      <w:pPr>
        <w:pStyle w:val="FootnoteText"/>
        <w:rPr>
          <w:rFonts w:ascii="Verdana" w:hAnsi="Verdana"/>
          <w:sz w:val="16"/>
          <w:szCs w:val="16"/>
        </w:rPr>
      </w:pPr>
      <w:r w:rsidRPr="00332A0D">
        <w:rPr>
          <w:rStyle w:val="FootnoteReference"/>
          <w:rFonts w:ascii="Verdana" w:hAnsi="Verdana"/>
          <w:sz w:val="16"/>
          <w:szCs w:val="16"/>
        </w:rPr>
        <w:footnoteRef/>
      </w:r>
      <w:r w:rsidRPr="00332A0D">
        <w:rPr>
          <w:rFonts w:ascii="Verdana" w:hAnsi="Verdana"/>
          <w:sz w:val="16"/>
          <w:szCs w:val="16"/>
        </w:rPr>
        <w:t xml:space="preserve"> </w:t>
      </w:r>
      <w:hyperlink r:id="rId3" w:history="1">
        <w:r w:rsidRPr="00332A0D">
          <w:rPr>
            <w:rStyle w:val="Hyperlink"/>
            <w:rFonts w:ascii="Verdana" w:hAnsi="Verdana"/>
            <w:sz w:val="16"/>
            <w:szCs w:val="16"/>
          </w:rPr>
          <w:t>Klimaat- en Energieverkenning 2025 | Planbureau voor de Leefomgeving</w:t>
        </w:r>
      </w:hyperlink>
    </w:p>
  </w:footnote>
  <w:footnote w:id="9">
    <w:p w:rsidR="00EF0CE1" w:rsidRPr="00332A0D" w:rsidP="00EF0CE1" w14:paraId="43CF03D1" w14:textId="77777777">
      <w:pPr>
        <w:pStyle w:val="FootnoteText"/>
        <w:rPr>
          <w:rFonts w:ascii="Verdana" w:hAnsi="Verdana"/>
          <w:sz w:val="16"/>
          <w:szCs w:val="16"/>
        </w:rPr>
      </w:pPr>
      <w:r w:rsidRPr="00332A0D">
        <w:rPr>
          <w:rStyle w:val="FootnoteReference"/>
          <w:rFonts w:ascii="Verdana" w:hAnsi="Verdana"/>
          <w:sz w:val="16"/>
          <w:szCs w:val="16"/>
        </w:rPr>
        <w:footnoteRef/>
      </w:r>
      <w:r w:rsidRPr="00332A0D">
        <w:rPr>
          <w:rFonts w:ascii="Verdana" w:hAnsi="Verdana"/>
          <w:sz w:val="16"/>
          <w:szCs w:val="16"/>
        </w:rPr>
        <w:t xml:space="preserve"> </w:t>
      </w:r>
      <w:hyperlink r:id="rId4" w:history="1">
        <w:r w:rsidR="00A61CA4">
          <w:rPr>
            <w:rStyle w:val="Hyperlink"/>
            <w:rFonts w:ascii="Verdana" w:hAnsi="Verdana"/>
            <w:sz w:val="16"/>
            <w:szCs w:val="16"/>
          </w:rPr>
          <w:t>Invoeringstoets SAH</w:t>
        </w:r>
      </w:hyperlink>
    </w:p>
  </w:footnote>
  <w:footnote w:id="10">
    <w:p w:rsidR="00EF0CE1" w:rsidRPr="00332A0D" w:rsidP="00EF0CE1" w14:paraId="77D2520C" w14:textId="77777777">
      <w:pPr>
        <w:pStyle w:val="FootnoteText"/>
        <w:rPr>
          <w:rFonts w:ascii="Verdana" w:hAnsi="Verdana"/>
          <w:sz w:val="16"/>
          <w:szCs w:val="16"/>
        </w:rPr>
      </w:pPr>
      <w:r w:rsidRPr="00332A0D">
        <w:rPr>
          <w:rStyle w:val="FootnoteReference"/>
          <w:rFonts w:ascii="Verdana" w:hAnsi="Verdana"/>
          <w:sz w:val="16"/>
          <w:szCs w:val="16"/>
        </w:rPr>
        <w:footnoteRef/>
      </w:r>
      <w:r w:rsidRPr="00332A0D">
        <w:rPr>
          <w:rFonts w:ascii="Verdana" w:hAnsi="Verdana"/>
          <w:sz w:val="16"/>
          <w:szCs w:val="16"/>
        </w:rPr>
        <w:t xml:space="preserve"> </w:t>
      </w:r>
      <w:hyperlink r:id="rId2" w:history="1">
        <w:r w:rsidRPr="00332A0D">
          <w:rPr>
            <w:rStyle w:val="Hyperlink"/>
            <w:rFonts w:ascii="Verdana" w:hAnsi="Verdana"/>
            <w:sz w:val="16"/>
            <w:szCs w:val="16"/>
          </w:rPr>
          <w:t>Startanalyse aardgasvrije buurten (versie 2020, 24 september 2020); Gemeenterapport met toelichting bij tabellen met resultaten van de Startanalyse (pbl.nl)</w:t>
        </w:r>
      </w:hyperlink>
    </w:p>
  </w:footnote>
  <w:footnote w:id="11">
    <w:p w:rsidR="00EF0CE1" w:rsidRPr="00332A0D" w:rsidP="00EF0CE1" w14:paraId="5AA2907E" w14:textId="77777777">
      <w:pPr>
        <w:pStyle w:val="FootnoteText"/>
        <w:rPr>
          <w:rFonts w:ascii="Verdana" w:hAnsi="Verdana"/>
          <w:sz w:val="16"/>
          <w:szCs w:val="16"/>
        </w:rPr>
      </w:pPr>
      <w:r w:rsidRPr="00332A0D">
        <w:rPr>
          <w:rStyle w:val="FootnoteReference"/>
          <w:rFonts w:ascii="Verdana" w:hAnsi="Verdana"/>
          <w:sz w:val="16"/>
          <w:szCs w:val="16"/>
        </w:rPr>
        <w:footnoteRef/>
      </w:r>
      <w:r w:rsidRPr="00332A0D">
        <w:rPr>
          <w:rFonts w:ascii="Verdana" w:hAnsi="Verdana"/>
          <w:sz w:val="16"/>
          <w:szCs w:val="16"/>
        </w:rPr>
        <w:t xml:space="preserve"> </w:t>
      </w:r>
      <w:hyperlink r:id="rId5" w:history="1">
        <w:r w:rsidRPr="00332A0D">
          <w:rPr>
            <w:rStyle w:val="Hyperlink"/>
            <w:rFonts w:ascii="Verdana" w:hAnsi="Verdana"/>
            <w:sz w:val="16"/>
            <w:szCs w:val="16"/>
          </w:rPr>
          <w:t>Klimaat- en Energieverkenning 2023 (pbl.nl)</w:t>
        </w:r>
      </w:hyperlink>
    </w:p>
  </w:footnote>
  <w:footnote w:id="12">
    <w:p w:rsidR="003A431A" w14:paraId="298E0E9C" w14:textId="77777777">
      <w:pPr>
        <w:pStyle w:val="FootnoteText"/>
      </w:pPr>
      <w:r w:rsidRPr="00332A0D">
        <w:rPr>
          <w:rStyle w:val="FootnoteReference"/>
          <w:rFonts w:ascii="Verdana" w:hAnsi="Verdana"/>
          <w:sz w:val="16"/>
          <w:szCs w:val="16"/>
        </w:rPr>
        <w:footnoteRef/>
      </w:r>
      <w:r w:rsidRPr="00332A0D">
        <w:rPr>
          <w:rFonts w:ascii="Verdana" w:hAnsi="Verdana"/>
          <w:sz w:val="16"/>
          <w:szCs w:val="16"/>
        </w:rPr>
        <w:t xml:space="preserve"> </w:t>
      </w:r>
      <w:hyperlink r:id="rId4" w:history="1">
        <w:r w:rsidR="00A61CA4">
          <w:rPr>
            <w:rStyle w:val="Hyperlink"/>
            <w:rFonts w:ascii="Verdana" w:hAnsi="Verdana"/>
            <w:sz w:val="16"/>
            <w:szCs w:val="16"/>
          </w:rPr>
          <w:t>Invoeringstoets SAH</w:t>
        </w:r>
      </w:hyperlink>
    </w:p>
  </w:footnote>
  <w:footnote w:id="13">
    <w:p w:rsidR="00EF0CE1" w:rsidP="00EF0CE1" w14:paraId="49D35289" w14:textId="77777777">
      <w:pPr>
        <w:pStyle w:val="FootnoteText"/>
      </w:pPr>
      <w:r>
        <w:rPr>
          <w:rStyle w:val="FootnoteReference"/>
        </w:rPr>
        <w:footnoteRef/>
      </w:r>
      <w:r>
        <w:t xml:space="preserve"> </w:t>
      </w:r>
      <w:hyperlink r:id="rId6" w:history="1">
        <w:r>
          <w:rPr>
            <w:rStyle w:val="Hyperlink"/>
          </w:rPr>
          <w:t>Klimaat- en Energieverkenning 2023 (pbl.nl)</w:t>
        </w:r>
      </w:hyperlink>
    </w:p>
  </w:footnote>
  <w:footnote w:id="14">
    <w:p w:rsidR="00EF0CE1" w:rsidP="00EF0CE1" w14:paraId="4B121FC5" w14:textId="77777777">
      <w:pPr>
        <w:pStyle w:val="FootnoteText"/>
      </w:pPr>
      <w:r>
        <w:rPr>
          <w:rStyle w:val="FootnoteReference"/>
        </w:rPr>
        <w:footnoteRef/>
      </w:r>
      <w:r>
        <w:t xml:space="preserve"> </w:t>
      </w:r>
      <w:hyperlink r:id="rId4" w:history="1">
        <w:r w:rsidRPr="00045AEF">
          <w:rPr>
            <w:rStyle w:val="Hyperlink"/>
          </w:rPr>
          <w:t>Invoeringstoets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4DB3" w14:paraId="216BAC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4881A09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13F0" w:rsidP="00E70035" w14:textId="77777777">
                          <w:pPr>
                            <w:pStyle w:val="Referentiegegevensbold"/>
                          </w:pPr>
                          <w:r>
                            <w:t>Datum</w:t>
                          </w:r>
                        </w:p>
                        <w:p w:rsidR="00E70035" w:rsidRPr="00E70035" w:rsidP="00E70035" w14:textId="77777777"/>
                        <w:p w:rsidR="005A13F0" w14:textId="77777777">
                          <w:pPr>
                            <w:pStyle w:val="WitregelW1"/>
                          </w:pPr>
                        </w:p>
                        <w:p w:rsidR="005A13F0" w14:textId="77777777">
                          <w:pPr>
                            <w:pStyle w:val="Referentiegegevensbold"/>
                          </w:pPr>
                          <w:r>
                            <w:t>Onze referentie</w:t>
                          </w:r>
                        </w:p>
                        <w:p w:rsidR="008F7590" w14:textId="1BE81A50">
                          <w:pPr>
                            <w:pStyle w:val="Referentiegegevens"/>
                          </w:pPr>
                          <w:r>
                            <w:fldChar w:fldCharType="begin"/>
                          </w:r>
                          <w:r>
                            <w:instrText xml:space="preserve"> DOCPROPERTY  "Kenmerk"  \* MERGEFORMAT </w:instrText>
                          </w:r>
                          <w:r>
                            <w:fldChar w:fldCharType="separate"/>
                          </w:r>
                          <w:r w:rsidR="00D63262">
                            <w:t>2026-0000167605</w:t>
                          </w:r>
                          <w:r w:rsidR="00D6326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A13F0" w:rsidP="00E70035" w14:paraId="37399BA2" w14:textId="77777777">
                    <w:pPr>
                      <w:pStyle w:val="Referentiegegevensbold"/>
                    </w:pPr>
                    <w:r>
                      <w:t>Datum</w:t>
                    </w:r>
                  </w:p>
                  <w:p w:rsidR="00E70035" w:rsidRPr="00E70035" w:rsidP="00E70035" w14:paraId="3814759C" w14:textId="77777777"/>
                  <w:p w:rsidR="005A13F0" w14:paraId="03F0C0C3" w14:textId="77777777">
                    <w:pPr>
                      <w:pStyle w:val="WitregelW1"/>
                    </w:pPr>
                  </w:p>
                  <w:p w:rsidR="005A13F0" w14:paraId="461F9935" w14:textId="77777777">
                    <w:pPr>
                      <w:pStyle w:val="Referentiegegevensbold"/>
                    </w:pPr>
                    <w:r>
                      <w:t>Onze referentie</w:t>
                    </w:r>
                  </w:p>
                  <w:p w:rsidR="008F7590" w14:paraId="45457213" w14:textId="1BE81A50">
                    <w:pPr>
                      <w:pStyle w:val="Referentiegegevens"/>
                    </w:pPr>
                    <w:r>
                      <w:fldChar w:fldCharType="begin"/>
                    </w:r>
                    <w:r>
                      <w:instrText xml:space="preserve"> DOCPROPERTY  "Kenmerk"  \* MERGEFORMAT </w:instrText>
                    </w:r>
                    <w:r>
                      <w:fldChar w:fldCharType="separate"/>
                    </w:r>
                    <w:r w:rsidR="00D63262">
                      <w:t>2026-0000167605</w:t>
                    </w:r>
                    <w:r w:rsidR="00D6326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8351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83518" w14:paraId="7D29FD79"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43F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43F39" w14:paraId="1D6B52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309CEAC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A13F0" w14:textId="77777777">
                          <w:r>
                            <w:t>Aan de Voorzitter van de Tweede Kamer der Staten-Generaal</w:t>
                          </w:r>
                        </w:p>
                        <w:p w:rsidR="005A13F0" w14:textId="77777777">
                          <w:r>
                            <w:t>Postbus 20018</w:t>
                          </w:r>
                        </w:p>
                        <w:p w:rsidR="005A13F0"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A13F0" w14:paraId="3D990FA9" w14:textId="77777777">
                    <w:r>
                      <w:t>Aan de Voorzitter van de Tweede Kamer der Staten-Generaal</w:t>
                    </w:r>
                  </w:p>
                  <w:p w:rsidR="005A13F0" w14:paraId="33FA94EC" w14:textId="77777777">
                    <w:r>
                      <w:t>Postbus 20018</w:t>
                    </w:r>
                  </w:p>
                  <w:p w:rsidR="005A13F0" w14:paraId="2F2FE300"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800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0100"/>
                      </a:xfrm>
                      <a:prstGeom prst="rect">
                        <a:avLst/>
                      </a:prstGeom>
                      <a:noFill/>
                    </wps:spPr>
                    <wps:txbx>
                      <w:txbxContent>
                        <w:tbl>
                          <w:tblPr>
                            <w:tblW w:w="0" w:type="auto"/>
                            <w:tblInd w:w="-120" w:type="dxa"/>
                            <w:tblLayout w:type="fixed"/>
                            <w:tblLook w:val="07E0"/>
                          </w:tblPr>
                          <w:tblGrid>
                            <w:gridCol w:w="1140"/>
                            <w:gridCol w:w="5918"/>
                          </w:tblGrid>
                          <w:tr w14:paraId="7A84E5AE" w14:textId="77777777">
                            <w:tblPrEx>
                              <w:tblW w:w="0" w:type="auto"/>
                              <w:tblInd w:w="-120" w:type="dxa"/>
                              <w:tblLayout w:type="fixed"/>
                              <w:tblLook w:val="07E0"/>
                            </w:tblPrEx>
                            <w:trPr>
                              <w:trHeight w:val="240"/>
                            </w:trPr>
                            <w:tc>
                              <w:tcPr>
                                <w:tcW w:w="1140" w:type="dxa"/>
                              </w:tcPr>
                              <w:p w:rsidR="005A13F0" w14:textId="77777777">
                                <w:r>
                                  <w:t>Datum</w:t>
                                </w:r>
                              </w:p>
                            </w:tc>
                            <w:tc>
                              <w:tcPr>
                                <w:tcW w:w="5918" w:type="dxa"/>
                              </w:tcPr>
                              <w:p w:rsidR="005A13F0" w14:textId="24816537">
                                <w:r>
                                  <w:t>13 april 2026</w:t>
                                </w:r>
                              </w:p>
                            </w:tc>
                          </w:tr>
                          <w:tr w14:paraId="2FF25E6F" w14:textId="77777777">
                            <w:tblPrEx>
                              <w:tblW w:w="0" w:type="auto"/>
                              <w:tblInd w:w="-120" w:type="dxa"/>
                              <w:tblLayout w:type="fixed"/>
                              <w:tblLook w:val="07E0"/>
                            </w:tblPrEx>
                            <w:trPr>
                              <w:trHeight w:val="240"/>
                            </w:trPr>
                            <w:tc>
                              <w:tcPr>
                                <w:tcW w:w="1140" w:type="dxa"/>
                              </w:tcPr>
                              <w:p w:rsidR="005A13F0" w14:textId="77777777">
                                <w:r>
                                  <w:t>Betreft</w:t>
                                </w:r>
                              </w:p>
                            </w:tc>
                            <w:tc>
                              <w:tcPr>
                                <w:tcW w:w="5918" w:type="dxa"/>
                              </w:tcPr>
                              <w:p w:rsidR="005A13F0" w14:textId="77777777">
                                <w:bookmarkStart w:id="2" w:name="_Hlk208560268"/>
                                <w:r>
                                  <w:t xml:space="preserve">Beleidsvoorstellen uit </w:t>
                                </w:r>
                                <w:r w:rsidR="00A702D8">
                                  <w:t xml:space="preserve">de </w:t>
                                </w:r>
                                <w:r w:rsidR="002F0671">
                                  <w:t>1</w:t>
                                </w:r>
                                <w:r w:rsidRPr="002F0671" w:rsidR="002F0671">
                                  <w:rPr>
                                    <w:vertAlign w:val="superscript"/>
                                  </w:rPr>
                                  <w:t>e</w:t>
                                </w:r>
                                <w:r w:rsidR="002F0671">
                                  <w:t xml:space="preserve"> </w:t>
                                </w:r>
                                <w:r w:rsidR="00F76826">
                                  <w:t>suppletoire</w:t>
                                </w:r>
                                <w:r w:rsidR="00F20FB9">
                                  <w:t xml:space="preserve"> begroting</w:t>
                                </w:r>
                                <w:r w:rsidR="00F76826">
                                  <w:t xml:space="preserve"> 202</w:t>
                                </w:r>
                                <w:r w:rsidR="002F0671">
                                  <w:t>6</w:t>
                                </w:r>
                                <w:r w:rsidR="00A702D8">
                                  <w:t xml:space="preserve"> van </w:t>
                                </w:r>
                                <w:r w:rsidR="00F76826">
                                  <w:t xml:space="preserve"> </w:t>
                                </w:r>
                                <w:r w:rsidR="00257CCE">
                                  <w:t>V</w:t>
                                </w:r>
                                <w:r w:rsidR="00A702D8">
                                  <w:t>olkshuisvesting en Ruimtelijke Ordening</w:t>
                                </w:r>
                                <w:r w:rsidR="009F1A81">
                                  <w:t xml:space="preserve"> (Hoofdstuk </w:t>
                                </w:r>
                                <w:r w:rsidR="00A702D8">
                                  <w:t>XXII</w:t>
                                </w:r>
                                <w:r w:rsidR="009F1A81">
                                  <w:t>)</w:t>
                                </w:r>
                                <w:r w:rsidR="002F0671">
                                  <w:t xml:space="preserve"> </w:t>
                                </w:r>
                                <w:r>
                                  <w:t>met CW 3.1. kaders</w:t>
                                </w:r>
                                <w:bookmarkEnd w:id="2"/>
                              </w:p>
                            </w:tc>
                          </w:tr>
                        </w:tbl>
                        <w:p w:rsidR="00A8351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3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A84E5AD" w14:textId="77777777">
                      <w:tblPrEx>
                        <w:tblW w:w="0" w:type="auto"/>
                        <w:tblInd w:w="-120" w:type="dxa"/>
                        <w:tblLayout w:type="fixed"/>
                        <w:tblLook w:val="07E0"/>
                      </w:tblPrEx>
                      <w:trPr>
                        <w:trHeight w:val="240"/>
                      </w:trPr>
                      <w:tc>
                        <w:tcPr>
                          <w:tcW w:w="1140" w:type="dxa"/>
                        </w:tcPr>
                        <w:p w:rsidR="005A13F0" w14:paraId="16B1EE28" w14:textId="77777777">
                          <w:r>
                            <w:t>Datum</w:t>
                          </w:r>
                        </w:p>
                      </w:tc>
                      <w:tc>
                        <w:tcPr>
                          <w:tcW w:w="5918" w:type="dxa"/>
                        </w:tcPr>
                        <w:p w:rsidR="005A13F0" w14:paraId="430A3AF7" w14:textId="24816537">
                          <w:r>
                            <w:t>13 april 2026</w:t>
                          </w:r>
                        </w:p>
                      </w:tc>
                    </w:tr>
                    <w:tr w14:paraId="2FF25E6E" w14:textId="77777777">
                      <w:tblPrEx>
                        <w:tblW w:w="0" w:type="auto"/>
                        <w:tblInd w:w="-120" w:type="dxa"/>
                        <w:tblLayout w:type="fixed"/>
                        <w:tblLook w:val="07E0"/>
                      </w:tblPrEx>
                      <w:trPr>
                        <w:trHeight w:val="240"/>
                      </w:trPr>
                      <w:tc>
                        <w:tcPr>
                          <w:tcW w:w="1140" w:type="dxa"/>
                        </w:tcPr>
                        <w:p w:rsidR="005A13F0" w14:paraId="576C16C8" w14:textId="77777777">
                          <w:r>
                            <w:t>Betreft</w:t>
                          </w:r>
                        </w:p>
                      </w:tc>
                      <w:tc>
                        <w:tcPr>
                          <w:tcW w:w="5918" w:type="dxa"/>
                        </w:tcPr>
                        <w:p w:rsidR="005A13F0" w14:paraId="68B2D716" w14:textId="77777777">
                          <w:bookmarkStart w:id="2" w:name="_Hlk208560268"/>
                          <w:r>
                            <w:t xml:space="preserve">Beleidsvoorstellen uit </w:t>
                          </w:r>
                          <w:r w:rsidR="00A702D8">
                            <w:t xml:space="preserve">de </w:t>
                          </w:r>
                          <w:r w:rsidR="002F0671">
                            <w:t>1</w:t>
                          </w:r>
                          <w:r w:rsidRPr="002F0671" w:rsidR="002F0671">
                            <w:rPr>
                              <w:vertAlign w:val="superscript"/>
                            </w:rPr>
                            <w:t>e</w:t>
                          </w:r>
                          <w:r w:rsidR="002F0671">
                            <w:t xml:space="preserve"> </w:t>
                          </w:r>
                          <w:r w:rsidR="00F76826">
                            <w:t>suppletoire</w:t>
                          </w:r>
                          <w:r w:rsidR="00F20FB9">
                            <w:t xml:space="preserve"> begroting</w:t>
                          </w:r>
                          <w:r w:rsidR="00F76826">
                            <w:t xml:space="preserve"> 202</w:t>
                          </w:r>
                          <w:r w:rsidR="002F0671">
                            <w:t>6</w:t>
                          </w:r>
                          <w:r w:rsidR="00A702D8">
                            <w:t xml:space="preserve"> van </w:t>
                          </w:r>
                          <w:r w:rsidR="00F76826">
                            <w:t xml:space="preserve"> </w:t>
                          </w:r>
                          <w:r w:rsidR="00257CCE">
                            <w:t>V</w:t>
                          </w:r>
                          <w:r w:rsidR="00A702D8">
                            <w:t>olkshuisvesting en Ruimtelijke Ordening</w:t>
                          </w:r>
                          <w:r w:rsidR="009F1A81">
                            <w:t xml:space="preserve"> (Hoofdstuk </w:t>
                          </w:r>
                          <w:r w:rsidR="00A702D8">
                            <w:t>XXII</w:t>
                          </w:r>
                          <w:r w:rsidR="009F1A81">
                            <w:t>)</w:t>
                          </w:r>
                          <w:r w:rsidR="002F0671">
                            <w:t xml:space="preserve"> </w:t>
                          </w:r>
                          <w:r>
                            <w:t>met CW 3.1. kaders</w:t>
                          </w:r>
                          <w:bookmarkEnd w:id="2"/>
                        </w:p>
                      </w:tc>
                    </w:tr>
                  </w:tbl>
                  <w:p w:rsidR="00A83518" w14:paraId="001D69F9"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13F0" w:rsidRPr="00B050FC" w14:textId="77777777">
                          <w:pPr>
                            <w:pStyle w:val="Referentiegegevens"/>
                            <w:rPr>
                              <w:lang w:val="de-DE"/>
                            </w:rPr>
                          </w:pPr>
                          <w:r w:rsidRPr="00B050FC">
                            <w:rPr>
                              <w:lang w:val="de-DE"/>
                            </w:rPr>
                            <w:t>Turfmarkt 147</w:t>
                          </w:r>
                        </w:p>
                        <w:p w:rsidR="005A13F0" w:rsidRPr="00B050FC" w14:textId="77777777">
                          <w:pPr>
                            <w:pStyle w:val="Referentiegegevens"/>
                            <w:rPr>
                              <w:lang w:val="de-DE"/>
                            </w:rPr>
                          </w:pPr>
                          <w:r w:rsidRPr="00B050FC">
                            <w:rPr>
                              <w:lang w:val="de-DE"/>
                            </w:rPr>
                            <w:t>2511 DP Den Haag</w:t>
                          </w:r>
                        </w:p>
                        <w:p w:rsidR="005A13F0" w:rsidRPr="00B050FC" w14:textId="77777777">
                          <w:pPr>
                            <w:pStyle w:val="Referentiegegevens"/>
                            <w:rPr>
                              <w:lang w:val="de-DE"/>
                            </w:rPr>
                          </w:pPr>
                          <w:r w:rsidRPr="00B050FC">
                            <w:rPr>
                              <w:lang w:val="de-DE"/>
                            </w:rPr>
                            <w:t>Postbus 20011</w:t>
                          </w:r>
                        </w:p>
                        <w:p w:rsidR="005A13F0" w14:textId="77777777">
                          <w:pPr>
                            <w:pStyle w:val="Referentiegegevens"/>
                          </w:pPr>
                          <w:r>
                            <w:t>2500 EA  Den Haag</w:t>
                          </w:r>
                        </w:p>
                        <w:p w:rsidR="005A13F0" w14:textId="77777777">
                          <w:pPr>
                            <w:pStyle w:val="WitregelW2"/>
                          </w:pPr>
                        </w:p>
                        <w:p w:rsidR="005A13F0" w14:textId="77777777">
                          <w:pPr>
                            <w:pStyle w:val="Referentiegegevensbold"/>
                          </w:pPr>
                          <w:r>
                            <w:t>Onze referentie</w:t>
                          </w:r>
                        </w:p>
                        <w:p w:rsidR="008F7590" w14:textId="4A8D7870">
                          <w:pPr>
                            <w:pStyle w:val="Referentiegegevens"/>
                          </w:pPr>
                          <w:r>
                            <w:fldChar w:fldCharType="begin"/>
                          </w:r>
                          <w:r>
                            <w:instrText xml:space="preserve"> DOCPROPERTY  "Kenmerk"  \* MERGEFORMAT </w:instrText>
                          </w:r>
                          <w:r>
                            <w:fldChar w:fldCharType="separate"/>
                          </w:r>
                          <w:r w:rsidR="00D63262">
                            <w:t>2026-0000167605</w:t>
                          </w:r>
                          <w:r w:rsidR="00D63262">
                            <w:fldChar w:fldCharType="end"/>
                          </w:r>
                        </w:p>
                        <w:p w:rsidR="005A13F0" w14:textId="77777777">
                          <w:pPr>
                            <w:pStyle w:val="WitregelW1"/>
                          </w:pPr>
                        </w:p>
                        <w:p w:rsidR="005A13F0" w14:textId="77777777">
                          <w:pPr>
                            <w:pStyle w:val="Referentiegegevensbold"/>
                          </w:pPr>
                          <w:r>
                            <w:t>Bijlage(n)</w:t>
                          </w:r>
                        </w:p>
                        <w:p w:rsidR="005A13F0" w14:textId="77777777">
                          <w:pPr>
                            <w:pStyle w:val="Referentiegegevens"/>
                          </w:pPr>
                          <w:r>
                            <w:t>0</w:t>
                          </w:r>
                        </w:p>
                        <w:p w:rsidR="005A13F0" w14:textId="77777777">
                          <w:pPr>
                            <w:pStyle w:val="WitregelW2"/>
                          </w:pPr>
                        </w:p>
                        <w:p w:rsidR="005A13F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A13F0" w:rsidRPr="00B050FC" w14:paraId="0ADDA7DC" w14:textId="77777777">
                    <w:pPr>
                      <w:pStyle w:val="Referentiegegevens"/>
                      <w:rPr>
                        <w:lang w:val="de-DE"/>
                      </w:rPr>
                    </w:pPr>
                    <w:r w:rsidRPr="00B050FC">
                      <w:rPr>
                        <w:lang w:val="de-DE"/>
                      </w:rPr>
                      <w:t>Turfmarkt 147</w:t>
                    </w:r>
                  </w:p>
                  <w:p w:rsidR="005A13F0" w:rsidRPr="00B050FC" w14:paraId="747D4CB7" w14:textId="77777777">
                    <w:pPr>
                      <w:pStyle w:val="Referentiegegevens"/>
                      <w:rPr>
                        <w:lang w:val="de-DE"/>
                      </w:rPr>
                    </w:pPr>
                    <w:r w:rsidRPr="00B050FC">
                      <w:rPr>
                        <w:lang w:val="de-DE"/>
                      </w:rPr>
                      <w:t>2511 DP Den Haag</w:t>
                    </w:r>
                  </w:p>
                  <w:p w:rsidR="005A13F0" w:rsidRPr="00B050FC" w14:paraId="05F4FF6F" w14:textId="77777777">
                    <w:pPr>
                      <w:pStyle w:val="Referentiegegevens"/>
                      <w:rPr>
                        <w:lang w:val="de-DE"/>
                      </w:rPr>
                    </w:pPr>
                    <w:r w:rsidRPr="00B050FC">
                      <w:rPr>
                        <w:lang w:val="de-DE"/>
                      </w:rPr>
                      <w:t>Postbus 20011</w:t>
                    </w:r>
                  </w:p>
                  <w:p w:rsidR="005A13F0" w14:paraId="22F7F342" w14:textId="77777777">
                    <w:pPr>
                      <w:pStyle w:val="Referentiegegevens"/>
                    </w:pPr>
                    <w:r>
                      <w:t>2500 EA  Den Haag</w:t>
                    </w:r>
                  </w:p>
                  <w:p w:rsidR="005A13F0" w14:paraId="1D3BEBB8" w14:textId="77777777">
                    <w:pPr>
                      <w:pStyle w:val="WitregelW2"/>
                    </w:pPr>
                  </w:p>
                  <w:p w:rsidR="005A13F0" w14:paraId="1ECEA2ED" w14:textId="77777777">
                    <w:pPr>
                      <w:pStyle w:val="Referentiegegevensbold"/>
                    </w:pPr>
                    <w:r>
                      <w:t>Onze referentie</w:t>
                    </w:r>
                  </w:p>
                  <w:p w:rsidR="008F7590" w14:paraId="784D1099" w14:textId="4A8D7870">
                    <w:pPr>
                      <w:pStyle w:val="Referentiegegevens"/>
                    </w:pPr>
                    <w:r>
                      <w:fldChar w:fldCharType="begin"/>
                    </w:r>
                    <w:r>
                      <w:instrText xml:space="preserve"> DOCPROPERTY  "Kenmerk"  \* MERGEFORMAT </w:instrText>
                    </w:r>
                    <w:r>
                      <w:fldChar w:fldCharType="separate"/>
                    </w:r>
                    <w:r w:rsidR="00D63262">
                      <w:t>2026-0000167605</w:t>
                    </w:r>
                    <w:r w:rsidR="00D63262">
                      <w:fldChar w:fldCharType="end"/>
                    </w:r>
                  </w:p>
                  <w:p w:rsidR="005A13F0" w14:paraId="3F82A7C1" w14:textId="77777777">
                    <w:pPr>
                      <w:pStyle w:val="WitregelW1"/>
                    </w:pPr>
                  </w:p>
                  <w:p w:rsidR="005A13F0" w14:paraId="126A7FCB" w14:textId="77777777">
                    <w:pPr>
                      <w:pStyle w:val="Referentiegegevensbold"/>
                    </w:pPr>
                    <w:r>
                      <w:t>Bijlage(n)</w:t>
                    </w:r>
                  </w:p>
                  <w:p w:rsidR="005A13F0" w14:paraId="1AB538B5" w14:textId="77777777">
                    <w:pPr>
                      <w:pStyle w:val="Referentiegegevens"/>
                    </w:pPr>
                    <w:r>
                      <w:t>0</w:t>
                    </w:r>
                  </w:p>
                  <w:p w:rsidR="005A13F0" w14:paraId="354D46CE" w14:textId="77777777">
                    <w:pPr>
                      <w:pStyle w:val="WitregelW2"/>
                    </w:pPr>
                  </w:p>
                  <w:p w:rsidR="005A13F0" w14:paraId="70A2188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8351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83518" w14:paraId="4DC9767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43F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43F39" w14:paraId="3FECE61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A13F0" w14:textId="77777777">
                          <w:pPr>
                            <w:spacing w:line="240" w:lineRule="auto"/>
                          </w:pPr>
                          <w:r>
                            <w:rPr>
                              <w:noProof/>
                            </w:rPr>
                            <w:drawing>
                              <wp:inline distT="0" distB="0" distL="0" distR="0">
                                <wp:extent cx="467995" cy="1583865"/>
                                <wp:effectExtent l="0" t="0" r="0" b="0"/>
                                <wp:docPr id="185857567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5857567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A13F0" w14:paraId="0745595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A13F0" w14:textId="77777777">
                          <w:pPr>
                            <w:spacing w:line="240" w:lineRule="auto"/>
                          </w:pPr>
                          <w:r>
                            <w:rPr>
                              <w:noProof/>
                            </w:rPr>
                            <w:drawing>
                              <wp:inline distT="0" distB="0" distL="0" distR="0">
                                <wp:extent cx="2339975" cy="1582834"/>
                                <wp:effectExtent l="0" t="0" r="0" b="0"/>
                                <wp:docPr id="237914977"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37914977"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A13F0" w14:paraId="784E0775"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A13F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A13F0" w14:paraId="4653DEB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80B67B"/>
    <w:multiLevelType w:val="multilevel"/>
    <w:tmpl w:val="8686D5C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DCA3692"/>
    <w:multiLevelType w:val="multilevel"/>
    <w:tmpl w:val="56F6E5C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585D69"/>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3">
    <w:nsid w:val="00F13ABE"/>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4">
    <w:nsid w:val="04BD6763"/>
    <w:multiLevelType w:val="hybridMultilevel"/>
    <w:tmpl w:val="3B0C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222311"/>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6">
    <w:nsid w:val="06FE00C8"/>
    <w:multiLevelType w:val="hybridMultilevel"/>
    <w:tmpl w:val="CBC8474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0415F9"/>
    <w:multiLevelType w:val="multilevel"/>
    <w:tmpl w:val="5647F7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15C9637D"/>
    <w:multiLevelType w:val="hybridMultilevel"/>
    <w:tmpl w:val="C7964D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4D0558E"/>
    <w:multiLevelType w:val="hybridMultilevel"/>
    <w:tmpl w:val="53426C3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67E3FBB"/>
    <w:multiLevelType w:val="hybridMultilevel"/>
    <w:tmpl w:val="5E58D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7F75BD"/>
    <w:multiLevelType w:val="hybridMultilevel"/>
    <w:tmpl w:val="48A6705E"/>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A657B97"/>
    <w:multiLevelType w:val="hybridMultilevel"/>
    <w:tmpl w:val="3070AA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9316B8"/>
    <w:multiLevelType w:val="hybridMultilevel"/>
    <w:tmpl w:val="43BABE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12D1A86"/>
    <w:multiLevelType w:val="hybridMultilevel"/>
    <w:tmpl w:val="9C4EF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31415D"/>
    <w:multiLevelType w:val="hybridMultilevel"/>
    <w:tmpl w:val="AD284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587A73"/>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7">
    <w:nsid w:val="4F75147D"/>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8">
    <w:nsid w:val="5143E3C3"/>
    <w:multiLevelType w:val="multilevel"/>
    <w:tmpl w:val="F86528A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9">
    <w:nsid w:val="52960B46"/>
    <w:multiLevelType w:val="hybridMultilevel"/>
    <w:tmpl w:val="3B4E6D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572E4388"/>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21">
    <w:nsid w:val="614D12E4"/>
    <w:multiLevelType w:val="hybridMultilevel"/>
    <w:tmpl w:val="BC48B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D7F7B91"/>
    <w:multiLevelType w:val="hybridMultilevel"/>
    <w:tmpl w:val="F18889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F1A08C6"/>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24">
    <w:nsid w:val="706D615D"/>
    <w:multiLevelType w:val="hybridMultilevel"/>
    <w:tmpl w:val="2626FAF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51725415">
    <w:abstractNumId w:val="18"/>
  </w:num>
  <w:num w:numId="2" w16cid:durableId="1404377501">
    <w:abstractNumId w:val="7"/>
  </w:num>
  <w:num w:numId="3" w16cid:durableId="1424304449">
    <w:abstractNumId w:val="1"/>
  </w:num>
  <w:num w:numId="4" w16cid:durableId="1671905519">
    <w:abstractNumId w:val="0"/>
  </w:num>
  <w:num w:numId="5" w16cid:durableId="1893302020">
    <w:abstractNumId w:val="16"/>
  </w:num>
  <w:num w:numId="6" w16cid:durableId="1340162921">
    <w:abstractNumId w:val="2"/>
  </w:num>
  <w:num w:numId="7" w16cid:durableId="792596238">
    <w:abstractNumId w:val="11"/>
  </w:num>
  <w:num w:numId="8" w16cid:durableId="1493789180">
    <w:abstractNumId w:val="4"/>
  </w:num>
  <w:num w:numId="9" w16cid:durableId="414744318">
    <w:abstractNumId w:val="8"/>
  </w:num>
  <w:num w:numId="10" w16cid:durableId="1672440581">
    <w:abstractNumId w:val="6"/>
  </w:num>
  <w:num w:numId="11" w16cid:durableId="1931889607">
    <w:abstractNumId w:val="15"/>
  </w:num>
  <w:num w:numId="12" w16cid:durableId="1007096457">
    <w:abstractNumId w:val="12"/>
  </w:num>
  <w:num w:numId="13" w16cid:durableId="602802734">
    <w:abstractNumId w:val="14"/>
  </w:num>
  <w:num w:numId="14" w16cid:durableId="1573855629">
    <w:abstractNumId w:val="21"/>
  </w:num>
  <w:num w:numId="15" w16cid:durableId="2040005806">
    <w:abstractNumId w:val="20"/>
  </w:num>
  <w:num w:numId="16" w16cid:durableId="2006863002">
    <w:abstractNumId w:val="5"/>
  </w:num>
  <w:num w:numId="17" w16cid:durableId="993416647">
    <w:abstractNumId w:val="17"/>
  </w:num>
  <w:num w:numId="18" w16cid:durableId="1100761746">
    <w:abstractNumId w:val="23"/>
  </w:num>
  <w:num w:numId="19" w16cid:durableId="1495606651">
    <w:abstractNumId w:val="3"/>
  </w:num>
  <w:num w:numId="20" w16cid:durableId="645283326">
    <w:abstractNumId w:val="13"/>
  </w:num>
  <w:num w:numId="21" w16cid:durableId="411202891">
    <w:abstractNumId w:val="22"/>
  </w:num>
  <w:num w:numId="22" w16cid:durableId="1483354827">
    <w:abstractNumId w:val="19"/>
  </w:num>
  <w:num w:numId="23" w16cid:durableId="1873573019">
    <w:abstractNumId w:val="10"/>
  </w:num>
  <w:num w:numId="24" w16cid:durableId="605499379">
    <w:abstractNumId w:val="24"/>
  </w:num>
  <w:num w:numId="25" w16cid:durableId="553810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FC"/>
    <w:rsid w:val="00002858"/>
    <w:rsid w:val="00021725"/>
    <w:rsid w:val="000220AA"/>
    <w:rsid w:val="00022C9B"/>
    <w:rsid w:val="00024245"/>
    <w:rsid w:val="00043F39"/>
    <w:rsid w:val="00045AEF"/>
    <w:rsid w:val="00046731"/>
    <w:rsid w:val="00047D76"/>
    <w:rsid w:val="000578AC"/>
    <w:rsid w:val="000608D2"/>
    <w:rsid w:val="0007024F"/>
    <w:rsid w:val="000A54EE"/>
    <w:rsid w:val="000B2DA8"/>
    <w:rsid w:val="000F18FC"/>
    <w:rsid w:val="00114540"/>
    <w:rsid w:val="00123667"/>
    <w:rsid w:val="0013065E"/>
    <w:rsid w:val="00137627"/>
    <w:rsid w:val="00137FAF"/>
    <w:rsid w:val="00143338"/>
    <w:rsid w:val="001602C3"/>
    <w:rsid w:val="00175F63"/>
    <w:rsid w:val="00191773"/>
    <w:rsid w:val="001B0D44"/>
    <w:rsid w:val="001C0172"/>
    <w:rsid w:val="00212F2F"/>
    <w:rsid w:val="00225FE9"/>
    <w:rsid w:val="00230D6F"/>
    <w:rsid w:val="0024020A"/>
    <w:rsid w:val="00243D6E"/>
    <w:rsid w:val="00257CCE"/>
    <w:rsid w:val="002649FD"/>
    <w:rsid w:val="00274498"/>
    <w:rsid w:val="00287E34"/>
    <w:rsid w:val="00295ED7"/>
    <w:rsid w:val="002A3923"/>
    <w:rsid w:val="002A5762"/>
    <w:rsid w:val="002B0BE1"/>
    <w:rsid w:val="002B2DEA"/>
    <w:rsid w:val="002B772F"/>
    <w:rsid w:val="002C45C5"/>
    <w:rsid w:val="002D429D"/>
    <w:rsid w:val="002E3AD6"/>
    <w:rsid w:val="002F0671"/>
    <w:rsid w:val="0030551E"/>
    <w:rsid w:val="00307C63"/>
    <w:rsid w:val="00310227"/>
    <w:rsid w:val="0031290C"/>
    <w:rsid w:val="003172D1"/>
    <w:rsid w:val="00332A0D"/>
    <w:rsid w:val="00333373"/>
    <w:rsid w:val="003573E7"/>
    <w:rsid w:val="003660FC"/>
    <w:rsid w:val="00373607"/>
    <w:rsid w:val="003914BE"/>
    <w:rsid w:val="0039492F"/>
    <w:rsid w:val="003A2110"/>
    <w:rsid w:val="003A2ED3"/>
    <w:rsid w:val="003A431A"/>
    <w:rsid w:val="003A5C6F"/>
    <w:rsid w:val="003F1888"/>
    <w:rsid w:val="003F6EF4"/>
    <w:rsid w:val="00400E08"/>
    <w:rsid w:val="00423D2E"/>
    <w:rsid w:val="004306D0"/>
    <w:rsid w:val="0043544F"/>
    <w:rsid w:val="00443D3E"/>
    <w:rsid w:val="004508E9"/>
    <w:rsid w:val="0047546F"/>
    <w:rsid w:val="004828ED"/>
    <w:rsid w:val="004927EA"/>
    <w:rsid w:val="004C1736"/>
    <w:rsid w:val="004D499D"/>
    <w:rsid w:val="004E0EE7"/>
    <w:rsid w:val="004F33AD"/>
    <w:rsid w:val="00504C0C"/>
    <w:rsid w:val="00531F44"/>
    <w:rsid w:val="00562C04"/>
    <w:rsid w:val="005704EA"/>
    <w:rsid w:val="005717F6"/>
    <w:rsid w:val="00577A61"/>
    <w:rsid w:val="005930E1"/>
    <w:rsid w:val="00597959"/>
    <w:rsid w:val="005A13F0"/>
    <w:rsid w:val="005C116A"/>
    <w:rsid w:val="005D3180"/>
    <w:rsid w:val="005D4091"/>
    <w:rsid w:val="005D6410"/>
    <w:rsid w:val="005E04FE"/>
    <w:rsid w:val="005F4F3F"/>
    <w:rsid w:val="00603B72"/>
    <w:rsid w:val="00614ED0"/>
    <w:rsid w:val="006169E1"/>
    <w:rsid w:val="00616B77"/>
    <w:rsid w:val="0062017C"/>
    <w:rsid w:val="00621023"/>
    <w:rsid w:val="00622882"/>
    <w:rsid w:val="006466D1"/>
    <w:rsid w:val="00656405"/>
    <w:rsid w:val="0067705C"/>
    <w:rsid w:val="006870CA"/>
    <w:rsid w:val="00693523"/>
    <w:rsid w:val="006B6846"/>
    <w:rsid w:val="006C36C9"/>
    <w:rsid w:val="006C43FB"/>
    <w:rsid w:val="006C71F4"/>
    <w:rsid w:val="006D1F42"/>
    <w:rsid w:val="006E520F"/>
    <w:rsid w:val="006F2143"/>
    <w:rsid w:val="007110C4"/>
    <w:rsid w:val="007160A5"/>
    <w:rsid w:val="007656BF"/>
    <w:rsid w:val="007B43A8"/>
    <w:rsid w:val="007B676A"/>
    <w:rsid w:val="007D02B0"/>
    <w:rsid w:val="007F296B"/>
    <w:rsid w:val="007F2FB6"/>
    <w:rsid w:val="008114BA"/>
    <w:rsid w:val="008141D4"/>
    <w:rsid w:val="008159EE"/>
    <w:rsid w:val="008164D9"/>
    <w:rsid w:val="00823418"/>
    <w:rsid w:val="0082485C"/>
    <w:rsid w:val="00840E2F"/>
    <w:rsid w:val="0084186C"/>
    <w:rsid w:val="00842D62"/>
    <w:rsid w:val="00843877"/>
    <w:rsid w:val="00844BFF"/>
    <w:rsid w:val="00853FF2"/>
    <w:rsid w:val="00866680"/>
    <w:rsid w:val="00866DF2"/>
    <w:rsid w:val="008775A1"/>
    <w:rsid w:val="008B158D"/>
    <w:rsid w:val="008D01A2"/>
    <w:rsid w:val="008D23C6"/>
    <w:rsid w:val="008F7590"/>
    <w:rsid w:val="0091544E"/>
    <w:rsid w:val="009465AD"/>
    <w:rsid w:val="009657F5"/>
    <w:rsid w:val="00967368"/>
    <w:rsid w:val="00971094"/>
    <w:rsid w:val="00980390"/>
    <w:rsid w:val="00983585"/>
    <w:rsid w:val="009A47AC"/>
    <w:rsid w:val="009A617E"/>
    <w:rsid w:val="009C66D0"/>
    <w:rsid w:val="009F1A81"/>
    <w:rsid w:val="00A02E3C"/>
    <w:rsid w:val="00A10615"/>
    <w:rsid w:val="00A26204"/>
    <w:rsid w:val="00A33266"/>
    <w:rsid w:val="00A44465"/>
    <w:rsid w:val="00A47753"/>
    <w:rsid w:val="00A57AFC"/>
    <w:rsid w:val="00A61CA4"/>
    <w:rsid w:val="00A702D8"/>
    <w:rsid w:val="00A82C9E"/>
    <w:rsid w:val="00A83518"/>
    <w:rsid w:val="00AA15BA"/>
    <w:rsid w:val="00AA75F3"/>
    <w:rsid w:val="00AB04A3"/>
    <w:rsid w:val="00AC2A9D"/>
    <w:rsid w:val="00AC401D"/>
    <w:rsid w:val="00AD2DDC"/>
    <w:rsid w:val="00AE3DE2"/>
    <w:rsid w:val="00AE3F18"/>
    <w:rsid w:val="00B050FC"/>
    <w:rsid w:val="00B31471"/>
    <w:rsid w:val="00B337FA"/>
    <w:rsid w:val="00B34E12"/>
    <w:rsid w:val="00B41847"/>
    <w:rsid w:val="00B53DC6"/>
    <w:rsid w:val="00B544CD"/>
    <w:rsid w:val="00B70B06"/>
    <w:rsid w:val="00B74DB3"/>
    <w:rsid w:val="00B75412"/>
    <w:rsid w:val="00B93127"/>
    <w:rsid w:val="00BA533B"/>
    <w:rsid w:val="00BA5C9D"/>
    <w:rsid w:val="00BB1B90"/>
    <w:rsid w:val="00BB4EF5"/>
    <w:rsid w:val="00BC4B23"/>
    <w:rsid w:val="00BF17D8"/>
    <w:rsid w:val="00C00266"/>
    <w:rsid w:val="00C0149A"/>
    <w:rsid w:val="00C030DB"/>
    <w:rsid w:val="00C22F70"/>
    <w:rsid w:val="00C23D24"/>
    <w:rsid w:val="00C32193"/>
    <w:rsid w:val="00C41043"/>
    <w:rsid w:val="00C41DBA"/>
    <w:rsid w:val="00C41F1F"/>
    <w:rsid w:val="00C517B1"/>
    <w:rsid w:val="00C56164"/>
    <w:rsid w:val="00C56346"/>
    <w:rsid w:val="00C63A1E"/>
    <w:rsid w:val="00C66F7D"/>
    <w:rsid w:val="00C84847"/>
    <w:rsid w:val="00CB2031"/>
    <w:rsid w:val="00CD036C"/>
    <w:rsid w:val="00CD4462"/>
    <w:rsid w:val="00CD6FC1"/>
    <w:rsid w:val="00CE76E3"/>
    <w:rsid w:val="00CF444A"/>
    <w:rsid w:val="00D11482"/>
    <w:rsid w:val="00D61449"/>
    <w:rsid w:val="00D63262"/>
    <w:rsid w:val="00D74876"/>
    <w:rsid w:val="00D84154"/>
    <w:rsid w:val="00DA2036"/>
    <w:rsid w:val="00DA5F73"/>
    <w:rsid w:val="00DC4A7C"/>
    <w:rsid w:val="00DC4F99"/>
    <w:rsid w:val="00DD6A14"/>
    <w:rsid w:val="00DF0C1E"/>
    <w:rsid w:val="00DF1787"/>
    <w:rsid w:val="00E0083B"/>
    <w:rsid w:val="00E0489E"/>
    <w:rsid w:val="00E11B9E"/>
    <w:rsid w:val="00E214B7"/>
    <w:rsid w:val="00E23250"/>
    <w:rsid w:val="00E5477C"/>
    <w:rsid w:val="00E553EE"/>
    <w:rsid w:val="00E55830"/>
    <w:rsid w:val="00E6112A"/>
    <w:rsid w:val="00E70035"/>
    <w:rsid w:val="00E76555"/>
    <w:rsid w:val="00E766D1"/>
    <w:rsid w:val="00E82922"/>
    <w:rsid w:val="00E9728F"/>
    <w:rsid w:val="00E97E1E"/>
    <w:rsid w:val="00EA4DDB"/>
    <w:rsid w:val="00EB758C"/>
    <w:rsid w:val="00EC4E0B"/>
    <w:rsid w:val="00ED7D01"/>
    <w:rsid w:val="00EE357C"/>
    <w:rsid w:val="00EF0CE1"/>
    <w:rsid w:val="00EF46D0"/>
    <w:rsid w:val="00F20FB9"/>
    <w:rsid w:val="00F30E9A"/>
    <w:rsid w:val="00F370BC"/>
    <w:rsid w:val="00F45D7E"/>
    <w:rsid w:val="00F50CFC"/>
    <w:rsid w:val="00F55330"/>
    <w:rsid w:val="00F6012C"/>
    <w:rsid w:val="00F76826"/>
    <w:rsid w:val="00F838C8"/>
    <w:rsid w:val="00F912BC"/>
    <w:rsid w:val="00F94C60"/>
    <w:rsid w:val="00FA189A"/>
    <w:rsid w:val="00FA796E"/>
    <w:rsid w:val="00FB69A0"/>
    <w:rsid w:val="00FC0BD7"/>
    <w:rsid w:val="00FC3135"/>
    <w:rsid w:val="00FE277D"/>
    <w:rsid w:val="00FF4C3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B34C97A"/>
  <w15:docId w15:val="{61FCFFEC-9204-408B-ABD3-3B19B9AC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B7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050FC"/>
    <w:pPr>
      <w:tabs>
        <w:tab w:val="center" w:pos="4536"/>
        <w:tab w:val="right" w:pos="9072"/>
      </w:tabs>
      <w:spacing w:line="240" w:lineRule="auto"/>
    </w:pPr>
  </w:style>
  <w:style w:type="character" w:customStyle="1" w:styleId="KoptekstChar">
    <w:name w:val="Koptekst Char"/>
    <w:basedOn w:val="DefaultParagraphFont"/>
    <w:link w:val="Header"/>
    <w:uiPriority w:val="99"/>
    <w:rsid w:val="00B050FC"/>
    <w:rPr>
      <w:rFonts w:ascii="Verdana" w:hAnsi="Verdana"/>
      <w:color w:val="000000"/>
      <w:sz w:val="18"/>
      <w:szCs w:val="18"/>
    </w:rPr>
  </w:style>
  <w:style w:type="paragraph" w:styleId="Footer">
    <w:name w:val="footer"/>
    <w:basedOn w:val="Normal"/>
    <w:link w:val="VoettekstChar"/>
    <w:uiPriority w:val="99"/>
    <w:unhideWhenUsed/>
    <w:rsid w:val="00B050FC"/>
    <w:pPr>
      <w:tabs>
        <w:tab w:val="center" w:pos="4536"/>
        <w:tab w:val="right" w:pos="9072"/>
      </w:tabs>
      <w:spacing w:line="240" w:lineRule="auto"/>
    </w:pPr>
  </w:style>
  <w:style w:type="character" w:customStyle="1" w:styleId="VoettekstChar">
    <w:name w:val="Voettekst Char"/>
    <w:basedOn w:val="DefaultParagraphFont"/>
    <w:link w:val="Footer"/>
    <w:uiPriority w:val="99"/>
    <w:rsid w:val="00B050FC"/>
    <w:rPr>
      <w:rFonts w:ascii="Verdana" w:hAnsi="Verdana"/>
      <w:color w:val="000000"/>
      <w:sz w:val="18"/>
      <w:szCs w:val="18"/>
    </w:rPr>
  </w:style>
  <w:style w:type="paragraph" w:styleId="ListParagraph">
    <w:name w:val="List Paragraph"/>
    <w:basedOn w:val="Normal"/>
    <w:uiPriority w:val="34"/>
    <w:rsid w:val="00C517B1"/>
    <w:pPr>
      <w:ind w:left="720"/>
      <w:contextualSpacing/>
    </w:pPr>
  </w:style>
  <w:style w:type="paragraph" w:styleId="FootnoteTex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Normal"/>
    <w:link w:val="VoetnoottekstChar"/>
    <w:uiPriority w:val="99"/>
    <w:unhideWhenUsed/>
    <w:rsid w:val="00F7682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DefaultParagraphFont"/>
    <w:link w:val="FootnoteText"/>
    <w:uiPriority w:val="99"/>
    <w:rsid w:val="00F76826"/>
    <w:rPr>
      <w:rFonts w:asciiTheme="minorHAnsi" w:eastAsiaTheme="minorHAnsi" w:hAnsiTheme="minorHAnsi" w:cstheme="minorBidi"/>
      <w:lang w:eastAsia="en-US"/>
    </w:rPr>
  </w:style>
  <w:style w:type="character" w:styleId="FootnoteReference">
    <w:name w:val="footnote reference"/>
    <w:aliases w:val="Footnote reference Rebel"/>
    <w:basedOn w:val="DefaultParagraphFont"/>
    <w:uiPriority w:val="99"/>
    <w:unhideWhenUsed/>
    <w:rsid w:val="00F76826"/>
    <w:rPr>
      <w:vertAlign w:val="superscript"/>
    </w:rPr>
  </w:style>
  <w:style w:type="paragraph" w:customStyle="1" w:styleId="paragraph">
    <w:name w:val="paragraph"/>
    <w:basedOn w:val="Normal"/>
    <w:rsid w:val="00F7682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eop">
    <w:name w:val="eop"/>
    <w:basedOn w:val="DefaultParagraphFont"/>
    <w:rsid w:val="00F76826"/>
  </w:style>
  <w:style w:type="paragraph" w:styleId="NoSpacing">
    <w:name w:val="No Spacing"/>
    <w:uiPriority w:val="1"/>
    <w:qFormat/>
    <w:rsid w:val="00F76826"/>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D23C6"/>
    <w:rPr>
      <w:sz w:val="16"/>
      <w:szCs w:val="16"/>
    </w:rPr>
  </w:style>
  <w:style w:type="paragraph" w:styleId="CommentText">
    <w:name w:val="annotation text"/>
    <w:basedOn w:val="Normal"/>
    <w:link w:val="TekstopmerkingChar"/>
    <w:uiPriority w:val="99"/>
    <w:unhideWhenUsed/>
    <w:rsid w:val="008D23C6"/>
    <w:pPr>
      <w:spacing w:line="240" w:lineRule="auto"/>
    </w:pPr>
    <w:rPr>
      <w:sz w:val="20"/>
      <w:szCs w:val="20"/>
    </w:rPr>
  </w:style>
  <w:style w:type="character" w:customStyle="1" w:styleId="TekstopmerkingChar">
    <w:name w:val="Tekst opmerking Char"/>
    <w:basedOn w:val="DefaultParagraphFont"/>
    <w:link w:val="CommentText"/>
    <w:uiPriority w:val="99"/>
    <w:rsid w:val="008D23C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D23C6"/>
    <w:rPr>
      <w:b/>
      <w:bCs/>
    </w:rPr>
  </w:style>
  <w:style w:type="character" w:customStyle="1" w:styleId="OnderwerpvanopmerkingChar">
    <w:name w:val="Onderwerp van opmerking Char"/>
    <w:basedOn w:val="TekstopmerkingChar"/>
    <w:link w:val="CommentSubject"/>
    <w:uiPriority w:val="99"/>
    <w:semiHidden/>
    <w:rsid w:val="008D23C6"/>
    <w:rPr>
      <w:rFonts w:ascii="Verdana" w:hAnsi="Verdana"/>
      <w:b/>
      <w:bCs/>
      <w:color w:val="000000"/>
    </w:rPr>
  </w:style>
  <w:style w:type="paragraph" w:styleId="Revision">
    <w:name w:val="Revision"/>
    <w:hidden/>
    <w:uiPriority w:val="99"/>
    <w:semiHidden/>
    <w:rsid w:val="00866DF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A3923"/>
    <w:rPr>
      <w:color w:val="605E5C"/>
      <w:shd w:val="clear" w:color="auto" w:fill="E1DFDD"/>
    </w:rPr>
  </w:style>
  <w:style w:type="character" w:styleId="FollowedHyperlink">
    <w:name w:val="FollowedHyperlink"/>
    <w:basedOn w:val="DefaultParagraphFont"/>
    <w:uiPriority w:val="99"/>
    <w:semiHidden/>
    <w:unhideWhenUsed/>
    <w:rsid w:val="003F6EF4"/>
    <w:rPr>
      <w:color w:val="96607D" w:themeColor="followedHyperlink"/>
      <w:u w:val="single"/>
    </w:rPr>
  </w:style>
  <w:style w:type="paragraph" w:customStyle="1" w:styleId="Default">
    <w:name w:val="Default"/>
    <w:rsid w:val="00622882"/>
    <w:pPr>
      <w:autoSpaceDE w:val="0"/>
      <w:adjustRightInd w:val="0"/>
      <w:textAlignment w:val="auto"/>
    </w:pPr>
    <w:rPr>
      <w:rFonts w:ascii="Verdana" w:hAnsi="Verdana" w:eastAsiaTheme="minorHAnsi"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abfresearch.nl/publicaties/bouwmix-doorstroming-en-betaalbaarheid/" TargetMode="External" /><Relationship Id="rId2" Type="http://schemas.openxmlformats.org/officeDocument/2006/relationships/hyperlink" Target="https://www.pbl.nl/sites/default/files/downloads/pbl-2020-startanalyse-aardgasvrije-buurten-versie_2020-24-september-2020_4038.pdf" TargetMode="External" /><Relationship Id="rId3" Type="http://schemas.openxmlformats.org/officeDocument/2006/relationships/hyperlink" Target="https://www.pbl.nl/publicaties/klimaat-en-energieverkenning-2025" TargetMode="External" /><Relationship Id="rId4" Type="http://schemas.openxmlformats.org/officeDocument/2006/relationships/hyperlink" Target="https://www.rvo.nl/sites/default/files/2024-02/Rapportage-Invoeringstoets-SAH-2024.pdf" TargetMode="External" /><Relationship Id="rId5" Type="http://schemas.openxmlformats.org/officeDocument/2006/relationships/hyperlink" Target="https://www.pbl.nl/sites/default/files/downloads/pbl-2023-klimaat-en-energieverkenning-2023-5243.pdf" TargetMode="External" /><Relationship Id="rId6" Type="http://schemas.openxmlformats.org/officeDocument/2006/relationships/hyperlink" Target="https://www.pbl.nl/uploads/default/downloads/pbl-2023-klimaat-en-energieverkenning-2023-5243.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1907</ap:Words>
  <ap:Characters>10492</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aan Parlement - Beleidsvoorstellen uit de begroting 2026 van Hoofdstuk VII met CW 3.1. kaders</vt:lpstr>
    </vt:vector>
  </ap:TitlesOfParts>
  <ap:LinksUpToDate>false</ap:LinksUpToDate>
  <ap:CharactersWithSpaces>12375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2026-04-13T10:14:00.0000000Z</lastPrinted>
  <dcterms:created xsi:type="dcterms:W3CDTF">2026-04-07T18:07:00.0000000Z</dcterms:created>
  <dcterms:modified xsi:type="dcterms:W3CDTF">2026-04-13T10:14:00.0000000Z</dcterms:modified>
  <dc:creator/>
  <lastModifiedBy/>
  <dc:description>------------------------</dc:description>
  <dc:subject/>
  <keywords/>
  <version/>
  <category/>
</coreProperties>
</file>