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B02C05" w:rsidR="002F0671" w:rsidP="00B050FC" w14:paraId="4BC3DBC6" w14:textId="77777777">
      <w:r w:rsidRPr="00B02C05">
        <w:t>Met</w:t>
      </w:r>
      <w:r w:rsidRPr="00B02C05" w:rsidR="005266C4">
        <w:t xml:space="preserve"> deze brief</w:t>
      </w:r>
      <w:r w:rsidRPr="00B02C05">
        <w:t xml:space="preserve"> </w:t>
      </w:r>
      <w:r w:rsidRPr="00B02C05" w:rsidR="00C63A1E">
        <w:t>informeer ik</w:t>
      </w:r>
      <w:r w:rsidRPr="00B02C05">
        <w:t xml:space="preserve"> </w:t>
      </w:r>
      <w:r w:rsidRPr="00B02C05" w:rsidR="007E21B1">
        <w:t xml:space="preserve">uw </w:t>
      </w:r>
      <w:r w:rsidRPr="00B02C05" w:rsidR="00B050FC">
        <w:t>Kamer over</w:t>
      </w:r>
      <w:r w:rsidRPr="00B02C05" w:rsidR="00F912BC">
        <w:t xml:space="preserve"> nieuwe</w:t>
      </w:r>
      <w:r w:rsidRPr="00B02C05" w:rsidR="00B050FC">
        <w:t xml:space="preserve"> voorstellen met financiële gevolgen (€ 20 mln. of meer in enig jaar) </w:t>
      </w:r>
      <w:bookmarkStart w:name="_Hlk208560301" w:id="0"/>
      <w:r w:rsidRPr="00B02C05" w:rsidR="00B050FC">
        <w:t xml:space="preserve">die zijn opgenomen </w:t>
      </w:r>
      <w:r w:rsidRPr="00B02C05" w:rsidR="002D51D9">
        <w:t xml:space="preserve">in de </w:t>
      </w:r>
      <w:r w:rsidRPr="00B02C05">
        <w:t>1</w:t>
      </w:r>
      <w:r w:rsidRPr="00B02C05">
        <w:rPr>
          <w:vertAlign w:val="superscript"/>
        </w:rPr>
        <w:t>e</w:t>
      </w:r>
      <w:r w:rsidRPr="00B02C05" w:rsidR="00E53573">
        <w:rPr>
          <w:vertAlign w:val="superscript"/>
        </w:rPr>
        <w:t> </w:t>
      </w:r>
      <w:r w:rsidRPr="00B02C05" w:rsidR="00E53573">
        <w:t>s</w:t>
      </w:r>
      <w:r w:rsidRPr="00B02C05">
        <w:t>uppletoire begroting</w:t>
      </w:r>
      <w:r w:rsidRPr="00B02C05" w:rsidR="00303383">
        <w:t xml:space="preserve"> </w:t>
      </w:r>
      <w:r w:rsidRPr="00B02C05" w:rsidR="001D7054">
        <w:t xml:space="preserve">2026 </w:t>
      </w:r>
      <w:r w:rsidRPr="00B02C05">
        <w:t xml:space="preserve">van </w:t>
      </w:r>
      <w:r w:rsidRPr="00B02C05" w:rsidR="00D52E25">
        <w:t>Binnenlandse Zaken en Koninkrijksrelaties</w:t>
      </w:r>
      <w:r w:rsidRPr="00B02C05">
        <w:t xml:space="preserve"> </w:t>
      </w:r>
      <w:r w:rsidRPr="00B02C05" w:rsidR="00D52E25">
        <w:t xml:space="preserve">(BZK) </w:t>
      </w:r>
      <w:r w:rsidRPr="00B02C05">
        <w:t xml:space="preserve">(hoofdstuk </w:t>
      </w:r>
      <w:r w:rsidRPr="00B02C05" w:rsidR="00C4082F">
        <w:t>VII</w:t>
      </w:r>
      <w:r w:rsidRPr="00B02C05">
        <w:t>).</w:t>
      </w:r>
      <w:r w:rsidRPr="00B02C05" w:rsidR="008D01A2">
        <w:t xml:space="preserve"> </w:t>
      </w:r>
      <w:bookmarkEnd w:id="0"/>
    </w:p>
    <w:p w:rsidRPr="00B02C05" w:rsidR="002F0671" w:rsidP="00B050FC" w14:paraId="33D30CFA" w14:textId="77777777"/>
    <w:p w:rsidRPr="00B02C05" w:rsidR="00B050FC" w:rsidP="00B050FC" w14:paraId="42A5A8B0" w14:textId="77777777">
      <w:r w:rsidRPr="00B02C05">
        <w:t xml:space="preserve">In deze brief </w:t>
      </w:r>
      <w:r w:rsidRPr="00B02C05">
        <w:t xml:space="preserve">wordt </w:t>
      </w:r>
      <w:r w:rsidRPr="00B02C05">
        <w:t>conform</w:t>
      </w:r>
      <w:r w:rsidRPr="00B02C05">
        <w:t xml:space="preserve"> wetsartikel 3.1 van de Comptabiliteitswet 2016 per voorstel ingegaan op doelen, instrumenten, financiële gevolgen, verwachte doeltreffendheid en doelmatigheid en voorgenomen monitoring en evaluatie. Sinds eind 2021 gebeurt dit </w:t>
      </w:r>
      <w:r w:rsidRPr="00B02C05">
        <w:t>Rijksbreed</w:t>
      </w:r>
      <w:r w:rsidRPr="00B02C05">
        <w:t xml:space="preserve"> via </w:t>
      </w:r>
      <w:r w:rsidRPr="00B02C05" w:rsidR="002D51D9">
        <w:t>het kader</w:t>
      </w:r>
      <w:r w:rsidRPr="00B02C05">
        <w:t xml:space="preserve"> “Beleidskeuzes uitgelegd</w:t>
      </w:r>
      <w:r w:rsidRPr="00B02C05" w:rsidR="002D51D9">
        <w:t xml:space="preserve"> </w:t>
      </w:r>
      <w:r w:rsidRPr="00B02C05" w:rsidR="00B02C05">
        <w:t>(</w:t>
      </w:r>
      <w:r w:rsidRPr="00B02C05" w:rsidR="002D51D9">
        <w:t>CW 3.1)</w:t>
      </w:r>
      <w:r w:rsidRPr="00B02C05">
        <w:t xml:space="preserve">” </w:t>
      </w:r>
      <w:r w:rsidRPr="00B02C05" w:rsidR="00E9129B">
        <w:t>(</w:t>
      </w:r>
      <w:r w:rsidRPr="00B02C05">
        <w:t>zie Kamerstuk 31865, nr. 198</w:t>
      </w:r>
      <w:r w:rsidRPr="00B02C05" w:rsidR="00E9129B">
        <w:t>)</w:t>
      </w:r>
      <w:r w:rsidRPr="00B02C05">
        <w:t>.</w:t>
      </w:r>
    </w:p>
    <w:p w:rsidRPr="00B02C05" w:rsidR="00B050FC" w:rsidP="00B050FC" w14:paraId="684547EB" w14:textId="77777777"/>
    <w:p w:rsidRPr="00B02C05" w:rsidR="00A83518" w:rsidP="00632851" w14:paraId="44E4F65C" w14:textId="77777777">
      <w:r w:rsidRPr="00B02C05">
        <w:t xml:space="preserve">In deze brief zijn </w:t>
      </w:r>
      <w:r w:rsidRPr="00B02C05">
        <w:t>onderstaande</w:t>
      </w:r>
      <w:r w:rsidRPr="00B02C05">
        <w:t xml:space="preserve"> </w:t>
      </w:r>
      <w:r w:rsidRPr="00B02C05">
        <w:t>beleids</w:t>
      </w:r>
      <w:r w:rsidRPr="00B02C05">
        <w:t>voorstellen opgenomen</w:t>
      </w:r>
      <w:r w:rsidRPr="00B02C05" w:rsidR="00D52E25">
        <w:t>, allen voor</w:t>
      </w:r>
      <w:r w:rsidRPr="00B02C05" w:rsidR="00D52E25">
        <w:rPr>
          <w:u w:val="single"/>
        </w:rPr>
        <w:t xml:space="preserve"> </w:t>
      </w:r>
      <w:r w:rsidRPr="00B02C05" w:rsidR="00D52E25">
        <w:t>b</w:t>
      </w:r>
      <w:r w:rsidRPr="00B02C05" w:rsidR="00632851">
        <w:t xml:space="preserve">egrotingsartikel 15 </w:t>
      </w:r>
      <w:r w:rsidRPr="00B02C05" w:rsidR="000C1DD8">
        <w:t>(</w:t>
      </w:r>
      <w:r w:rsidRPr="00B02C05" w:rsidR="00632851">
        <w:t>Een veilig Groningen met perspectief</w:t>
      </w:r>
      <w:r w:rsidRPr="00B02C05" w:rsidR="000C1DD8">
        <w:t>)</w:t>
      </w:r>
      <w:r w:rsidRPr="00B02C05" w:rsidR="00AC1CE3">
        <w:t>:</w:t>
      </w:r>
    </w:p>
    <w:p w:rsidRPr="00B02C05" w:rsidR="00303383" w:rsidP="00303383" w14:paraId="1ECC0828" w14:textId="77777777">
      <w:pPr>
        <w:pStyle w:val="ListParagraph"/>
        <w:numPr>
          <w:ilvl w:val="0"/>
          <w:numId w:val="22"/>
        </w:numPr>
      </w:pPr>
      <w:bookmarkStart w:name="_Hlk225775009" w:id="1"/>
      <w:r w:rsidRPr="00B02C05">
        <w:t>Economische agenda Groningen</w:t>
      </w:r>
    </w:p>
    <w:p w:rsidRPr="00B02C05" w:rsidR="00303383" w:rsidP="00303383" w14:paraId="1461AD1E" w14:textId="77777777">
      <w:pPr>
        <w:pStyle w:val="ListParagraph"/>
        <w:numPr>
          <w:ilvl w:val="0"/>
          <w:numId w:val="22"/>
        </w:numPr>
      </w:pPr>
      <w:r w:rsidRPr="00B02C05">
        <w:t>Nationaal Programma Groningen (NPG)</w:t>
      </w:r>
    </w:p>
    <w:p w:rsidRPr="00B02C05" w:rsidR="00632851" w:rsidP="00632851" w14:paraId="023B0F6D" w14:textId="77777777">
      <w:pPr>
        <w:pStyle w:val="ListParagraph"/>
        <w:numPr>
          <w:ilvl w:val="0"/>
          <w:numId w:val="22"/>
        </w:numPr>
      </w:pPr>
      <w:r w:rsidRPr="00B02C05">
        <w:t>Knelpuntenpot</w:t>
      </w:r>
      <w:r w:rsidRPr="00B02C05">
        <w:t xml:space="preserve"> Nationaal Coördinator Groningen (NCG)</w:t>
      </w:r>
    </w:p>
    <w:bookmarkEnd w:id="1"/>
    <w:p w:rsidRPr="00B02C05" w:rsidR="00A83518" w:rsidP="00A83518" w14:paraId="2ECB6C91" w14:textId="77777777"/>
    <w:p w:rsidRPr="00B02C05" w:rsidR="009F1A81" w:rsidP="00B050FC" w14:paraId="4D10B159" w14:textId="77777777"/>
    <w:p w:rsidRPr="00B02C05" w:rsidR="009C093C" w:rsidP="009C093C" w14:paraId="1470766E" w14:textId="77777777">
      <w:r w:rsidRPr="00B02C05">
        <w:t>De minister van Binnenlandse Zaken en Koninkrijksrelaties,</w:t>
      </w:r>
      <w:r w:rsidRPr="00B02C05">
        <w:br/>
      </w:r>
      <w:r w:rsidRPr="00B02C05">
        <w:br/>
      </w:r>
      <w:r w:rsidRPr="00B02C05">
        <w:br/>
      </w:r>
      <w:r w:rsidRPr="00B02C05">
        <w:br/>
      </w:r>
    </w:p>
    <w:p w:rsidRPr="00B02C05" w:rsidR="009C093C" w:rsidP="009C093C" w14:paraId="397C1E4C" w14:textId="77777777"/>
    <w:p w:rsidR="009C093C" w:rsidP="009C093C" w14:paraId="69A31642" w14:textId="77777777">
      <w:r w:rsidRPr="00B02C05">
        <w:t>Pieter Heerma</w:t>
      </w:r>
    </w:p>
    <w:p w:rsidRPr="00B02C05" w:rsidR="009F1A81" w:rsidP="00B050FC" w14:paraId="3099DB36" w14:textId="77777777"/>
    <w:p w:rsidRPr="00B02C05" w:rsidR="009F1A81" w:rsidP="00B050FC" w14:paraId="197B7C6A" w14:textId="77777777"/>
    <w:p w:rsidRPr="00B02C05" w:rsidR="00AC1CE3" w14:paraId="3160A129" w14:textId="77777777">
      <w:pPr>
        <w:spacing w:line="240" w:lineRule="auto"/>
      </w:pPr>
      <w:r w:rsidRPr="00B02C05">
        <w:br w:type="page"/>
      </w:r>
    </w:p>
    <w:p w:rsidRPr="00B02C05" w:rsidR="00B050FC" w:rsidP="00B050FC" w14:paraId="631373A4" w14:textId="77777777"/>
    <w:p w:rsidRPr="00B02C05" w:rsidR="00543951" w:rsidP="00B050FC" w14:paraId="7C483AEF" w14:textId="77777777"/>
    <w:p w:rsidRPr="00B02C05" w:rsidR="00543951" w:rsidP="00B050FC" w14:paraId="7A09D34A" w14:textId="77777777"/>
    <w:p w:rsidRPr="00B02C05" w:rsidR="00A83518" w14:paraId="65FBB072" w14:textId="77777777">
      <w:pPr>
        <w:spacing w:line="240" w:lineRule="auto"/>
      </w:pPr>
      <w:r w:rsidRPr="00B02C05">
        <w:rPr>
          <w:b/>
          <w:bCs/>
          <w:color w:val="000000" w:themeColor="text1"/>
        </w:rPr>
        <w:t xml:space="preserve">1. </w:t>
      </w:r>
      <w:r w:rsidRPr="00B02C05" w:rsidR="00303383">
        <w:rPr>
          <w:b/>
          <w:bCs/>
          <w:color w:val="000000" w:themeColor="text1"/>
        </w:rPr>
        <w:t>Economische Agenda Groningen</w:t>
      </w:r>
    </w:p>
    <w:p w:rsidRPr="00B02C05" w:rsidR="00C63A1E" w:rsidP="00C63A1E" w14:paraId="03ACFB48" w14:textId="77777777">
      <w:pPr>
        <w:pStyle w:val="ListParagraph"/>
        <w:ind w:left="1080"/>
      </w:pPr>
      <w:bookmarkStart w:name="_Hlk205994692" w:id="2"/>
    </w:p>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971"/>
        <w:gridCol w:w="4571"/>
      </w:tblGrid>
      <w:tr w:rsidTr="00F76826" w14:paraId="57088BB4" w14:textId="77777777">
        <w:tblPrEx>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B02C05" w:rsidR="00A83518" w:rsidP="00FC0BD7" w14:paraId="1E30A1EB" w14:textId="77777777">
            <w:pPr>
              <w:rPr>
                <w:b/>
              </w:rPr>
            </w:pPr>
            <w:r w:rsidRPr="00B02C05">
              <w:rPr>
                <w:b/>
              </w:rPr>
              <w:t xml:space="preserve">Beleidskeuzes uitgelegd </w:t>
            </w:r>
          </w:p>
          <w:p w:rsidRPr="00B02C05" w:rsidR="00A83518" w:rsidP="00FC0BD7" w14:paraId="4AC08704" w14:textId="77777777">
            <w:pPr>
              <w:rPr>
                <w:b/>
              </w:rPr>
            </w:pPr>
          </w:p>
        </w:tc>
      </w:tr>
      <w:tr w:rsidTr="00303383" w14:paraId="5AF92768" w14:textId="77777777">
        <w:tblPrEx>
          <w:tblW w:w="5004" w:type="pct"/>
          <w:tblInd w:w="-5" w:type="dxa"/>
          <w:shd w:val="clear" w:color="auto" w:fill="DEEAF6"/>
          <w:tblLook w:val="01E0"/>
        </w:tblPrEx>
        <w:trPr>
          <w:trHeight w:val="741"/>
        </w:trPr>
        <w:tc>
          <w:tcPr>
            <w:tcW w:w="1601" w:type="pct"/>
            <w:tcBorders>
              <w:top w:val="single" w:color="FFFFFF" w:sz="4" w:space="0"/>
              <w:left w:val="nil"/>
              <w:bottom w:val="single" w:color="FFFFFF" w:sz="4" w:space="0"/>
              <w:right w:val="single" w:color="FFFFFF" w:sz="4" w:space="0"/>
            </w:tcBorders>
            <w:shd w:val="clear" w:color="auto" w:fill="DEEAF6"/>
          </w:tcPr>
          <w:p w:rsidRPr="00B02C05" w:rsidR="00303383" w:rsidP="00303383" w14:paraId="7DE45DC4" w14:textId="77777777">
            <w:pPr>
              <w:rPr>
                <w:b/>
              </w:rPr>
            </w:pPr>
          </w:p>
          <w:p w:rsidRPr="00B02C05" w:rsidR="00303383" w:rsidP="00303383" w14:paraId="3CEE1F31" w14:textId="77777777">
            <w:pPr>
              <w:numPr>
                <w:ilvl w:val="0"/>
                <w:numId w:val="16"/>
              </w:numPr>
              <w:rPr>
                <w:b/>
              </w:rPr>
            </w:pPr>
            <w:r w:rsidRPr="00B02C05">
              <w:rPr>
                <w:b/>
              </w:rPr>
              <w:t xml:space="preserve">Doel(en) </w:t>
            </w:r>
          </w:p>
        </w:tc>
        <w:tc>
          <w:tcPr>
            <w:tcW w:w="3399" w:type="pct"/>
            <w:tcBorders>
              <w:top w:val="single" w:color="FFFFFF" w:sz="4" w:space="0"/>
              <w:left w:val="single" w:color="FFFFFF" w:sz="4" w:space="0"/>
              <w:bottom w:val="single" w:color="FFFFFF" w:sz="4" w:space="0"/>
              <w:right w:val="nil"/>
            </w:tcBorders>
            <w:shd w:val="clear" w:color="auto" w:fill="DEEAF6"/>
          </w:tcPr>
          <w:p w:rsidRPr="00B02C05" w:rsidR="00303383" w:rsidP="00303383" w14:paraId="162F5F5D" w14:textId="77777777">
            <w:pPr>
              <w:rPr>
                <w:color w:val="000000" w:themeColor="text1"/>
              </w:rPr>
            </w:pPr>
            <w:r w:rsidRPr="00B02C05">
              <w:rPr>
                <w:color w:val="000000" w:themeColor="text1"/>
              </w:rPr>
              <w:t xml:space="preserve">In de kabinetsreactie op de parlementaire enquête gaswinning Groningen is een dertigjarige aanpak ten behoeve van economisch perspectief voor Groningen en Noord-Drenthe aangekondigd. Doelen hierbij zijn economische structuurversterking, het vergroten van het verdienvermogen in de regio en het verbeteren van de brede welvaart in Groningen en Noord-Drenthe (zodat </w:t>
            </w:r>
            <w:r w:rsidRPr="00B02C05" w:rsidR="00AF60F4">
              <w:rPr>
                <w:color w:val="000000" w:themeColor="text1"/>
              </w:rPr>
              <w:t xml:space="preserve">deze regio </w:t>
            </w:r>
            <w:r w:rsidRPr="00B02C05">
              <w:rPr>
                <w:color w:val="000000" w:themeColor="text1"/>
              </w:rPr>
              <w:t>in 2055 tot het Nederlandse gemiddelde hoort).</w:t>
            </w:r>
          </w:p>
          <w:p w:rsidRPr="00B02C05" w:rsidR="00303383" w:rsidP="00303383" w14:paraId="326A2DFB" w14:textId="77777777">
            <w:pPr>
              <w:rPr>
                <w:color w:val="000000" w:themeColor="text1"/>
              </w:rPr>
            </w:pPr>
            <w:bookmarkStart w:name="_Hlk225775104" w:id="3"/>
            <w:r w:rsidRPr="00B02C05">
              <w:rPr>
                <w:color w:val="000000" w:themeColor="text1"/>
              </w:rPr>
              <w:t>Door middel van de Economische Agenda Groningen en Noord-Drenthe (EAG) wordt</w:t>
            </w:r>
            <w:r w:rsidRPr="00B02C05" w:rsidR="000C1DD8">
              <w:rPr>
                <w:color w:val="000000" w:themeColor="text1"/>
              </w:rPr>
              <w:t xml:space="preserve"> hier invulling aan gegeven</w:t>
            </w:r>
            <w:r w:rsidRPr="00B02C05">
              <w:rPr>
                <w:color w:val="000000" w:themeColor="text1"/>
              </w:rPr>
              <w:t xml:space="preserve">. </w:t>
            </w:r>
            <w:bookmarkEnd w:id="3"/>
            <w:r w:rsidRPr="00B02C05">
              <w:rPr>
                <w:color w:val="000000" w:themeColor="text1"/>
              </w:rPr>
              <w:t xml:space="preserve">Daarbij wordt ingezet op thematische en generieke inzet, zoals rond de thema’s digitalisering, campusontwikkeling, gezondheid, energie en landbouw. </w:t>
            </w:r>
          </w:p>
          <w:p w:rsidRPr="00B02C05" w:rsidR="00303383" w:rsidP="00303383" w14:paraId="2E72BCB1" w14:textId="77777777">
            <w:pPr>
              <w:rPr>
                <w:color w:val="000000" w:themeColor="text1"/>
              </w:rPr>
            </w:pPr>
          </w:p>
          <w:p w:rsidRPr="00B02C05" w:rsidR="00303383" w:rsidP="00303383" w14:paraId="02BDA939" w14:textId="77777777">
            <w:pPr>
              <w:rPr>
                <w:color w:val="000000" w:themeColor="text1"/>
              </w:rPr>
            </w:pPr>
            <w:r w:rsidRPr="00B02C05">
              <w:rPr>
                <w:color w:val="000000" w:themeColor="text1"/>
              </w:rPr>
              <w:t xml:space="preserve">Ten behoeve van de uitvoering van (de maatregelen zoals de economische agenda die is aangekondigd in) Nij </w:t>
            </w:r>
            <w:r w:rsidRPr="00B02C05">
              <w:rPr>
                <w:color w:val="000000" w:themeColor="text1"/>
              </w:rPr>
              <w:t>Begun</w:t>
            </w:r>
            <w:r w:rsidRPr="00B02C05">
              <w:rPr>
                <w:color w:val="000000" w:themeColor="text1"/>
              </w:rPr>
              <w:t xml:space="preserve"> wordt eenmalig </w:t>
            </w:r>
            <w:r w:rsidRPr="00B02C05">
              <w:rPr>
                <w:rFonts w:eastAsia="Times New Roman" w:cs="Segoe UI"/>
                <w:color w:val="000000" w:themeColor="text1"/>
              </w:rPr>
              <w:t xml:space="preserve">€ </w:t>
            </w:r>
            <w:r w:rsidRPr="00B02C05">
              <w:rPr>
                <w:color w:val="000000" w:themeColor="text1"/>
              </w:rPr>
              <w:t>250 mln. startkapitaal en € 3 mld.</w:t>
            </w:r>
            <w:r w:rsidRPr="00B02C05" w:rsidR="00E9129B">
              <w:rPr>
                <w:color w:val="000000" w:themeColor="text1"/>
              </w:rPr>
              <w:t xml:space="preserve"> voor</w:t>
            </w:r>
            <w:r w:rsidRPr="00B02C05">
              <w:rPr>
                <w:color w:val="000000" w:themeColor="text1"/>
              </w:rPr>
              <w:t xml:space="preserve"> generatielange betrokkenheid beschikbaar gesteld. </w:t>
            </w:r>
            <w:bookmarkStart w:name="_Hlk225775249" w:id="4"/>
            <w:r w:rsidRPr="00B02C05">
              <w:rPr>
                <w:color w:val="000000" w:themeColor="text1"/>
              </w:rPr>
              <w:t xml:space="preserve">Om tot 2029 de regio te voorzien van middelen om projecten te financieren worden nu middelen </w:t>
            </w:r>
            <w:r w:rsidRPr="00B02C05" w:rsidR="00AF60F4">
              <w:rPr>
                <w:color w:val="000000" w:themeColor="text1"/>
              </w:rPr>
              <w:t xml:space="preserve">voor 2026 t/m 2028 </w:t>
            </w:r>
            <w:r w:rsidRPr="00B02C05">
              <w:rPr>
                <w:color w:val="000000" w:themeColor="text1"/>
              </w:rPr>
              <w:t xml:space="preserve">aan de BZK-begroting toegevoegd. </w:t>
            </w:r>
            <w:bookmarkEnd w:id="4"/>
          </w:p>
          <w:p w:rsidRPr="00B02C05" w:rsidR="00303383" w:rsidP="00303383" w14:paraId="411197CB" w14:textId="77777777">
            <w:pPr>
              <w:rPr>
                <w:b/>
              </w:rPr>
            </w:pPr>
          </w:p>
        </w:tc>
      </w:tr>
      <w:tr w:rsidTr="00303383" w14:paraId="751D56A3" w14:textId="77777777">
        <w:tblPrEx>
          <w:tblW w:w="5004" w:type="pct"/>
          <w:tblInd w:w="-5" w:type="dxa"/>
          <w:shd w:val="clear" w:color="auto" w:fill="DEEAF6"/>
          <w:tblLook w:val="01E0"/>
        </w:tblPrEx>
        <w:trPr>
          <w:trHeight w:val="565"/>
        </w:trPr>
        <w:tc>
          <w:tcPr>
            <w:tcW w:w="1601" w:type="pct"/>
            <w:tcBorders>
              <w:top w:val="single" w:color="FFFFFF" w:sz="4" w:space="0"/>
              <w:left w:val="nil"/>
              <w:bottom w:val="single" w:color="FFFFFF" w:sz="4" w:space="0"/>
              <w:right w:val="single" w:color="FFFFFF" w:sz="4" w:space="0"/>
            </w:tcBorders>
            <w:shd w:val="clear" w:color="auto" w:fill="DEEAF6"/>
          </w:tcPr>
          <w:p w:rsidRPr="00B02C05" w:rsidR="00303383" w:rsidP="00303383" w14:paraId="23699767" w14:textId="77777777">
            <w:pPr>
              <w:rPr>
                <w:b/>
              </w:rPr>
            </w:pPr>
          </w:p>
          <w:p w:rsidRPr="00B02C05" w:rsidR="00303383" w:rsidP="00303383" w14:paraId="24E1FCFF" w14:textId="77777777">
            <w:pPr>
              <w:numPr>
                <w:ilvl w:val="0"/>
                <w:numId w:val="16"/>
              </w:numPr>
              <w:rPr>
                <w:b/>
              </w:rPr>
            </w:pPr>
            <w:r w:rsidRPr="00B02C05">
              <w:rPr>
                <w:b/>
              </w:rPr>
              <w:t>Beleidsinstrument(en)</w:t>
            </w:r>
          </w:p>
        </w:tc>
        <w:tc>
          <w:tcPr>
            <w:tcW w:w="3399" w:type="pct"/>
            <w:tcBorders>
              <w:top w:val="single" w:color="FFFFFF" w:sz="4" w:space="0"/>
              <w:left w:val="single" w:color="FFFFFF" w:sz="4" w:space="0"/>
              <w:bottom w:val="single" w:color="FFFFFF" w:sz="4" w:space="0"/>
              <w:right w:val="nil"/>
            </w:tcBorders>
            <w:shd w:val="clear" w:color="auto" w:fill="DEEAF6"/>
          </w:tcPr>
          <w:p w:rsidRPr="00B02C05" w:rsidR="00303383" w:rsidP="00303383" w14:paraId="0CB38D6B" w14:textId="77777777">
            <w:pPr>
              <w:pStyle w:val="NoSpacing"/>
              <w:rPr>
                <w:rFonts w:ascii="Verdana" w:hAnsi="Verdana"/>
                <w:color w:val="000000" w:themeColor="text1"/>
                <w:sz w:val="18"/>
                <w:szCs w:val="18"/>
              </w:rPr>
            </w:pPr>
            <w:bookmarkStart w:name="_Hlk225775706" w:id="5"/>
            <w:r w:rsidRPr="00B02C05">
              <w:rPr>
                <w:rFonts w:ascii="Verdana" w:hAnsi="Verdana"/>
                <w:color w:val="000000" w:themeColor="text1"/>
                <w:sz w:val="18"/>
                <w:szCs w:val="18"/>
              </w:rPr>
              <w:t xml:space="preserve">De middelen worden voorlopig verstrekt aan de regio </w:t>
            </w:r>
            <w:r w:rsidRPr="00B02C05">
              <w:rPr>
                <w:rFonts w:ascii="Verdana" w:hAnsi="Verdana"/>
                <w:color w:val="000000" w:themeColor="text1"/>
                <w:sz w:val="18"/>
                <w:szCs w:val="18"/>
              </w:rPr>
              <w:t>middels</w:t>
            </w:r>
            <w:r w:rsidRPr="00B02C05">
              <w:rPr>
                <w:rFonts w:ascii="Verdana" w:hAnsi="Verdana"/>
                <w:color w:val="000000" w:themeColor="text1"/>
                <w:sz w:val="18"/>
                <w:szCs w:val="18"/>
              </w:rPr>
              <w:t xml:space="preserve"> een </w:t>
            </w:r>
            <w:r w:rsidRPr="00B02C05" w:rsidR="00B02C05">
              <w:rPr>
                <w:rFonts w:ascii="Verdana" w:hAnsi="Verdana"/>
                <w:color w:val="000000" w:themeColor="text1"/>
                <w:sz w:val="18"/>
                <w:szCs w:val="18"/>
              </w:rPr>
              <w:t>d</w:t>
            </w:r>
            <w:r w:rsidRPr="00B02C05">
              <w:rPr>
                <w:rFonts w:ascii="Verdana" w:hAnsi="Verdana"/>
                <w:color w:val="000000" w:themeColor="text1"/>
                <w:sz w:val="18"/>
                <w:szCs w:val="18"/>
              </w:rPr>
              <w:t>ecentral</w:t>
            </w:r>
            <w:r w:rsidRPr="00B02C05" w:rsidR="002D51D9">
              <w:rPr>
                <w:rFonts w:ascii="Verdana" w:hAnsi="Verdana"/>
                <w:color w:val="000000" w:themeColor="text1"/>
                <w:sz w:val="18"/>
                <w:szCs w:val="18"/>
              </w:rPr>
              <w:t>isatie</w:t>
            </w:r>
            <w:r w:rsidR="00F50408">
              <w:rPr>
                <w:rFonts w:ascii="Verdana" w:hAnsi="Verdana"/>
                <w:color w:val="000000" w:themeColor="text1"/>
                <w:sz w:val="18"/>
                <w:szCs w:val="18"/>
              </w:rPr>
              <w:t>-</w:t>
            </w:r>
            <w:r w:rsidRPr="00B02C05" w:rsidR="00B02C05">
              <w:rPr>
                <w:rFonts w:ascii="Verdana" w:hAnsi="Verdana"/>
                <w:color w:val="000000" w:themeColor="text1"/>
                <w:sz w:val="18"/>
                <w:szCs w:val="18"/>
              </w:rPr>
              <w:t>u</w:t>
            </w:r>
            <w:r w:rsidRPr="00B02C05">
              <w:rPr>
                <w:rFonts w:ascii="Verdana" w:hAnsi="Verdana"/>
                <w:color w:val="000000" w:themeColor="text1"/>
                <w:sz w:val="18"/>
                <w:szCs w:val="18"/>
              </w:rPr>
              <w:t xml:space="preserve">itkering. </w:t>
            </w:r>
            <w:bookmarkEnd w:id="5"/>
            <w:r w:rsidRPr="00B02C05">
              <w:rPr>
                <w:rFonts w:ascii="Verdana" w:hAnsi="Verdana"/>
                <w:color w:val="000000" w:themeColor="text1"/>
                <w:sz w:val="18"/>
                <w:szCs w:val="18"/>
              </w:rPr>
              <w:t>De provincie Groningen zal als ontvanger van de middelen, namens de GR, de middelen ontvangen.</w:t>
            </w:r>
            <w:r w:rsidRPr="00B02C05" w:rsidR="00543951">
              <w:rPr>
                <w:rFonts w:ascii="Verdana" w:hAnsi="Verdana"/>
                <w:color w:val="000000" w:themeColor="text1"/>
                <w:sz w:val="18"/>
                <w:szCs w:val="18"/>
              </w:rPr>
              <w:t xml:space="preserve"> In het uitvoeringsplan 2026-2028 wordt een meerjarenplan en begroting opgenomen voor de Gemeenschappelijke Regeling (GR) en een nog op te richten Stichting.</w:t>
            </w:r>
            <w:r w:rsidRPr="00B02C05" w:rsidR="00543951">
              <w:rPr>
                <w:color w:val="000000" w:themeColor="text1"/>
              </w:rPr>
              <w:t xml:space="preserve"> </w:t>
            </w:r>
            <w:r w:rsidRPr="00B02C05">
              <w:rPr>
                <w:rFonts w:ascii="Verdana" w:hAnsi="Verdana"/>
                <w:color w:val="000000" w:themeColor="text1"/>
                <w:sz w:val="18"/>
                <w:szCs w:val="18"/>
              </w:rPr>
              <w:t xml:space="preserve">Uitvoering van de EAG </w:t>
            </w:r>
            <w:r w:rsidRPr="00B02C05" w:rsidR="00543951">
              <w:rPr>
                <w:rFonts w:ascii="Verdana" w:hAnsi="Verdana"/>
                <w:color w:val="000000" w:themeColor="text1"/>
                <w:sz w:val="18"/>
                <w:szCs w:val="18"/>
              </w:rPr>
              <w:t xml:space="preserve">wordt </w:t>
            </w:r>
            <w:r w:rsidRPr="00B02C05">
              <w:rPr>
                <w:rFonts w:ascii="Verdana" w:hAnsi="Verdana"/>
                <w:color w:val="000000" w:themeColor="text1"/>
                <w:sz w:val="18"/>
                <w:szCs w:val="18"/>
              </w:rPr>
              <w:t>belegd bij provincie Groningen, NOM</w:t>
            </w:r>
            <w:r w:rsidRPr="00B02C05" w:rsidR="000606B7">
              <w:rPr>
                <w:rFonts w:ascii="Verdana" w:hAnsi="Verdana"/>
                <w:color w:val="000000" w:themeColor="text1"/>
                <w:sz w:val="18"/>
                <w:szCs w:val="18"/>
              </w:rPr>
              <w:t xml:space="preserve"> (Investerings- en Ontwikkelingsmaatschappij voor Noord-Nederland)</w:t>
            </w:r>
            <w:r w:rsidRPr="00B02C05">
              <w:rPr>
                <w:rFonts w:ascii="Verdana" w:hAnsi="Verdana"/>
                <w:color w:val="000000" w:themeColor="text1"/>
                <w:sz w:val="18"/>
                <w:szCs w:val="18"/>
              </w:rPr>
              <w:t xml:space="preserve">, </w:t>
            </w:r>
            <w:r w:rsidRPr="00B02C05" w:rsidR="00D52E25">
              <w:rPr>
                <w:rFonts w:ascii="Verdana" w:hAnsi="Verdana"/>
                <w:color w:val="000000" w:themeColor="text1"/>
                <w:sz w:val="18"/>
                <w:szCs w:val="18"/>
              </w:rPr>
              <w:t>SNN (</w:t>
            </w:r>
            <w:r w:rsidRPr="00B02C05" w:rsidR="000606B7">
              <w:rPr>
                <w:rFonts w:ascii="Verdana" w:hAnsi="Verdana"/>
                <w:color w:val="000000" w:themeColor="text1"/>
                <w:sz w:val="18"/>
                <w:szCs w:val="18"/>
              </w:rPr>
              <w:t>Samenwerkingsverband Noord-Nederland</w:t>
            </w:r>
            <w:r w:rsidRPr="00B02C05" w:rsidR="00D52E25">
              <w:rPr>
                <w:rFonts w:ascii="Verdana" w:hAnsi="Verdana"/>
                <w:color w:val="000000" w:themeColor="text1"/>
                <w:sz w:val="18"/>
                <w:szCs w:val="18"/>
              </w:rPr>
              <w:t>)</w:t>
            </w:r>
            <w:r w:rsidRPr="00B02C05">
              <w:rPr>
                <w:rFonts w:ascii="Verdana" w:hAnsi="Verdana"/>
                <w:color w:val="000000" w:themeColor="text1"/>
                <w:sz w:val="18"/>
                <w:szCs w:val="18"/>
              </w:rPr>
              <w:t xml:space="preserve">, de </w:t>
            </w:r>
            <w:r w:rsidRPr="00B02C05" w:rsidR="00D52E25">
              <w:rPr>
                <w:rFonts w:ascii="Verdana" w:hAnsi="Verdana"/>
                <w:color w:val="000000" w:themeColor="text1"/>
                <w:sz w:val="18"/>
                <w:szCs w:val="18"/>
              </w:rPr>
              <w:t>S</w:t>
            </w:r>
            <w:r w:rsidRPr="00B02C05">
              <w:rPr>
                <w:rFonts w:ascii="Verdana" w:hAnsi="Verdana"/>
                <w:color w:val="000000" w:themeColor="text1"/>
                <w:sz w:val="18"/>
                <w:szCs w:val="18"/>
              </w:rPr>
              <w:t xml:space="preserve">tichting en mogelijke gemeenten. Momenteel wordt door de regio en het </w:t>
            </w:r>
            <w:r w:rsidRPr="00B02C05" w:rsidR="00E9129B">
              <w:rPr>
                <w:rFonts w:ascii="Verdana" w:hAnsi="Verdana"/>
                <w:color w:val="000000" w:themeColor="text1"/>
                <w:sz w:val="18"/>
                <w:szCs w:val="18"/>
              </w:rPr>
              <w:t>R</w:t>
            </w:r>
            <w:r w:rsidRPr="00B02C05">
              <w:rPr>
                <w:rFonts w:ascii="Verdana" w:hAnsi="Verdana"/>
                <w:color w:val="000000" w:themeColor="text1"/>
                <w:sz w:val="18"/>
                <w:szCs w:val="18"/>
              </w:rPr>
              <w:t>ijk gewerkt aan de oplevering van de definitieve uitvoeringsstructuur waar</w:t>
            </w:r>
            <w:r w:rsidRPr="00B02C05" w:rsidR="000606B7">
              <w:rPr>
                <w:rFonts w:ascii="Verdana" w:hAnsi="Verdana"/>
                <w:color w:val="000000" w:themeColor="text1"/>
                <w:sz w:val="18"/>
                <w:szCs w:val="18"/>
              </w:rPr>
              <w:t>onder</w:t>
            </w:r>
            <w:r w:rsidRPr="00B02C05">
              <w:rPr>
                <w:rFonts w:ascii="Verdana" w:hAnsi="Verdana"/>
                <w:color w:val="000000" w:themeColor="text1"/>
                <w:sz w:val="18"/>
                <w:szCs w:val="18"/>
              </w:rPr>
              <w:t xml:space="preserve"> een GR en een stichting. Het is denkbaar dat in de toekomst een uitvoeringsorganisatie de middelen gaat ontvangen en verstrekken. Dat is voor nu nog niet duidelijk. </w:t>
            </w:r>
          </w:p>
          <w:p w:rsidRPr="00B02C05" w:rsidR="00303383" w:rsidP="00303383" w14:paraId="5F44FFFC" w14:textId="77777777">
            <w:pPr>
              <w:rPr>
                <w:bCs/>
              </w:rPr>
            </w:pPr>
          </w:p>
        </w:tc>
      </w:tr>
      <w:tr w:rsidTr="00303383" w14:paraId="78030FF0" w14:textId="77777777">
        <w:tblPrEx>
          <w:tblW w:w="5004" w:type="pct"/>
          <w:tblInd w:w="-5" w:type="dxa"/>
          <w:shd w:val="clear" w:color="auto" w:fill="DEEAF6"/>
          <w:tblLook w:val="01E0"/>
        </w:tblPrEx>
        <w:trPr>
          <w:trHeight w:val="655"/>
        </w:trPr>
        <w:tc>
          <w:tcPr>
            <w:tcW w:w="1601" w:type="pct"/>
            <w:tcBorders>
              <w:top w:val="single" w:color="FFFFFF" w:sz="4" w:space="0"/>
              <w:left w:val="nil"/>
              <w:bottom w:val="single" w:color="FFFFFF" w:sz="4" w:space="0"/>
              <w:right w:val="single" w:color="FFFFFF" w:sz="4" w:space="0"/>
            </w:tcBorders>
            <w:shd w:val="clear" w:color="auto" w:fill="DEEAF6"/>
          </w:tcPr>
          <w:p w:rsidRPr="00B02C05" w:rsidR="00303383" w:rsidP="00303383" w14:paraId="0191A13B" w14:textId="77777777">
            <w:pPr>
              <w:rPr>
                <w:bCs/>
              </w:rPr>
            </w:pPr>
          </w:p>
          <w:p w:rsidRPr="00B02C05" w:rsidR="00303383" w:rsidP="00303383" w14:paraId="4AE30B35" w14:textId="77777777">
            <w:pPr>
              <w:numPr>
                <w:ilvl w:val="0"/>
                <w:numId w:val="16"/>
              </w:numPr>
              <w:rPr>
                <w:b/>
              </w:rPr>
            </w:pPr>
            <w:r w:rsidRPr="00B02C05">
              <w:rPr>
                <w:b/>
              </w:rPr>
              <w:t>Financiële gevolgen</w:t>
            </w:r>
          </w:p>
          <w:p w:rsidRPr="00B02C05" w:rsidR="00303383" w:rsidP="00303383" w14:paraId="0331C1A2" w14:textId="77777777">
            <w:pPr>
              <w:rPr>
                <w:b/>
              </w:rPr>
            </w:pPr>
          </w:p>
          <w:p w:rsidRPr="00B02C05" w:rsidR="00303383" w:rsidP="00303383" w14:paraId="26DE0678" w14:textId="77777777">
            <w:pPr>
              <w:rPr>
                <w:b/>
              </w:rPr>
            </w:pPr>
            <w:r w:rsidRPr="00B02C05">
              <w:rPr>
                <w:b/>
              </w:rPr>
              <w:t>A. voor het Rijk</w:t>
            </w:r>
          </w:p>
        </w:tc>
        <w:tc>
          <w:tcPr>
            <w:tcW w:w="3399" w:type="pct"/>
            <w:tcBorders>
              <w:top w:val="single" w:color="FFFFFF" w:sz="4" w:space="0"/>
              <w:left w:val="single" w:color="FFFFFF" w:sz="4" w:space="0"/>
              <w:bottom w:val="single" w:color="FFFFFF" w:sz="4" w:space="0"/>
              <w:right w:val="nil"/>
            </w:tcBorders>
            <w:shd w:val="clear" w:color="auto" w:fill="DEEAF6"/>
          </w:tcPr>
          <w:p w:rsidRPr="00B02C05" w:rsidR="00303383" w:rsidP="00303383" w14:paraId="2EAB004A" w14:textId="77777777">
            <w:pPr>
              <w:pStyle w:val="NoSpacing"/>
              <w:rPr>
                <w:rFonts w:ascii="Verdana" w:hAnsi="Verdana"/>
                <w:color w:val="000000" w:themeColor="text1"/>
                <w:sz w:val="18"/>
                <w:szCs w:val="18"/>
              </w:rPr>
            </w:pPr>
          </w:p>
          <w:p w:rsidRPr="00B02C05" w:rsidR="00303383" w:rsidP="00303383" w14:paraId="7136E76E" w14:textId="77777777">
            <w:pPr>
              <w:pStyle w:val="NoSpacing"/>
              <w:rPr>
                <w:rFonts w:ascii="Verdana" w:hAnsi="Verdana"/>
                <w:color w:val="000000" w:themeColor="text1"/>
                <w:sz w:val="18"/>
                <w:szCs w:val="18"/>
              </w:rPr>
            </w:pPr>
          </w:p>
          <w:tbl>
            <w:tblPr>
              <w:tblStyle w:val="TableGrid"/>
              <w:tblW w:w="0" w:type="auto"/>
              <w:tblInd w:w="0" w:type="dxa"/>
              <w:tblLook w:val="04A0"/>
            </w:tblPr>
            <w:tblGrid>
              <w:gridCol w:w="1249"/>
              <w:gridCol w:w="579"/>
              <w:gridCol w:w="403"/>
              <w:gridCol w:w="390"/>
              <w:gridCol w:w="380"/>
              <w:gridCol w:w="336"/>
              <w:gridCol w:w="336"/>
              <w:gridCol w:w="336"/>
              <w:gridCol w:w="336"/>
            </w:tblGrid>
            <w:tr w:rsidTr="00EB07CF" w14:paraId="5F59BEDA" w14:textId="77777777">
              <w:tblPrEx>
                <w:tblW w:w="0" w:type="auto"/>
                <w:tblInd w:w="0" w:type="dxa"/>
                <w:tblLook w:val="04A0"/>
              </w:tblPrEx>
              <w:trPr>
                <w:trHeight w:val="543"/>
              </w:trPr>
              <w:tc>
                <w:tcPr>
                  <w:tcW w:w="1542" w:type="dxa"/>
                </w:tcPr>
                <w:p w:rsidRPr="00B02C05" w:rsidR="00303383" w:rsidP="00303383" w14:paraId="62594AEA" w14:textId="77777777">
                  <w:pPr>
                    <w:rPr>
                      <w:rFonts w:eastAsia="Times New Roman" w:cs="Segoe UI"/>
                    </w:rPr>
                  </w:pPr>
                  <w:r w:rsidRPr="00B02C05">
                    <w:rPr>
                      <w:rFonts w:eastAsia="Times New Roman" w:cs="Segoe UI"/>
                    </w:rPr>
                    <w:t xml:space="preserve">Budget </w:t>
                  </w:r>
                </w:p>
                <w:p w:rsidRPr="00B02C05" w:rsidR="00303383" w:rsidP="00303383" w14:paraId="169BD8D7" w14:textId="77777777">
                  <w:pPr>
                    <w:rPr>
                      <w:rFonts w:eastAsia="Times New Roman" w:cs="Segoe UI"/>
                      <w:i/>
                      <w:iCs/>
                      <w:color w:val="000000" w:themeColor="text1"/>
                    </w:rPr>
                  </w:pPr>
                  <w:r w:rsidRPr="00B02C05">
                    <w:rPr>
                      <w:rFonts w:eastAsia="Times New Roman" w:cs="Segoe UI"/>
                    </w:rPr>
                    <w:t>(€ mln.)</w:t>
                  </w:r>
                </w:p>
              </w:tc>
              <w:tc>
                <w:tcPr>
                  <w:tcW w:w="813" w:type="dxa"/>
                </w:tcPr>
                <w:p w:rsidRPr="00B02C05" w:rsidR="00303383" w:rsidP="00303383" w14:paraId="73DA5DCF" w14:textId="77777777">
                  <w:pPr>
                    <w:rPr>
                      <w:rFonts w:eastAsia="Times New Roman" w:cs="Segoe UI"/>
                      <w:i/>
                      <w:iCs/>
                      <w:color w:val="000000" w:themeColor="text1"/>
                    </w:rPr>
                  </w:pPr>
                  <w:r w:rsidRPr="00B02C05">
                    <w:rPr>
                      <w:rFonts w:eastAsia="Times New Roman" w:cs="Segoe UI"/>
                      <w:i/>
                      <w:iCs/>
                      <w:color w:val="000000" w:themeColor="text1"/>
                    </w:rPr>
                    <w:t>totaal</w:t>
                  </w:r>
                </w:p>
              </w:tc>
              <w:tc>
                <w:tcPr>
                  <w:tcW w:w="621" w:type="dxa"/>
                </w:tcPr>
                <w:p w:rsidRPr="00B02C05" w:rsidR="00303383" w:rsidP="00303383" w14:paraId="1B4DC6C3" w14:textId="77777777">
                  <w:pPr>
                    <w:rPr>
                      <w:rFonts w:eastAsia="Times New Roman" w:cs="Segoe UI"/>
                      <w:i/>
                      <w:iCs/>
                      <w:color w:val="000000" w:themeColor="text1"/>
                    </w:rPr>
                  </w:pPr>
                  <w:r w:rsidRPr="00B02C05">
                    <w:rPr>
                      <w:rFonts w:eastAsia="Times New Roman" w:cs="Segoe UI"/>
                      <w:i/>
                      <w:iCs/>
                      <w:color w:val="000000" w:themeColor="text1"/>
                    </w:rPr>
                    <w:t>‘26</w:t>
                  </w:r>
                </w:p>
              </w:tc>
              <w:tc>
                <w:tcPr>
                  <w:tcW w:w="547" w:type="dxa"/>
                </w:tcPr>
                <w:p w:rsidRPr="00B02C05" w:rsidR="00303383" w:rsidP="00303383" w14:paraId="11CEE45C" w14:textId="77777777">
                  <w:pPr>
                    <w:rPr>
                      <w:rFonts w:eastAsia="Times New Roman" w:cs="Segoe UI"/>
                      <w:i/>
                      <w:iCs/>
                      <w:color w:val="000000" w:themeColor="text1"/>
                    </w:rPr>
                  </w:pPr>
                  <w:r w:rsidRPr="00B02C05">
                    <w:rPr>
                      <w:rFonts w:eastAsia="Times New Roman" w:cs="Segoe UI"/>
                      <w:i/>
                      <w:iCs/>
                      <w:color w:val="000000" w:themeColor="text1"/>
                    </w:rPr>
                    <w:t>‘27</w:t>
                  </w:r>
                </w:p>
              </w:tc>
              <w:tc>
                <w:tcPr>
                  <w:tcW w:w="493" w:type="dxa"/>
                </w:tcPr>
                <w:p w:rsidRPr="00B02C05" w:rsidR="00303383" w:rsidP="00303383" w14:paraId="491B55C5" w14:textId="77777777">
                  <w:pPr>
                    <w:ind w:left="-78"/>
                    <w:rPr>
                      <w:rFonts w:eastAsia="Times New Roman" w:cs="Segoe UI"/>
                      <w:i/>
                      <w:iCs/>
                      <w:color w:val="000000" w:themeColor="text1"/>
                    </w:rPr>
                  </w:pPr>
                  <w:r w:rsidRPr="00B02C05">
                    <w:rPr>
                      <w:rFonts w:eastAsia="Times New Roman" w:cs="Segoe UI"/>
                      <w:i/>
                      <w:iCs/>
                      <w:color w:val="000000" w:themeColor="text1"/>
                    </w:rPr>
                    <w:t>‘28</w:t>
                  </w:r>
                </w:p>
              </w:tc>
              <w:tc>
                <w:tcPr>
                  <w:tcW w:w="547" w:type="dxa"/>
                </w:tcPr>
                <w:p w:rsidRPr="00B02C05" w:rsidR="00303383" w:rsidP="00303383" w14:paraId="38B630D2" w14:textId="77777777">
                  <w:pPr>
                    <w:rPr>
                      <w:rFonts w:eastAsia="Times New Roman" w:cs="Segoe UI"/>
                      <w:i/>
                      <w:iCs/>
                      <w:color w:val="000000" w:themeColor="text1"/>
                    </w:rPr>
                  </w:pPr>
                  <w:r w:rsidRPr="00B02C05">
                    <w:rPr>
                      <w:rFonts w:eastAsia="Times New Roman" w:cs="Segoe UI"/>
                      <w:i/>
                      <w:iCs/>
                      <w:color w:val="000000" w:themeColor="text1"/>
                    </w:rPr>
                    <w:t>‘29</w:t>
                  </w:r>
                </w:p>
              </w:tc>
              <w:tc>
                <w:tcPr>
                  <w:tcW w:w="547" w:type="dxa"/>
                </w:tcPr>
                <w:p w:rsidRPr="00B02C05" w:rsidR="00303383" w:rsidP="00303383" w14:paraId="407BC25A" w14:textId="77777777">
                  <w:pPr>
                    <w:rPr>
                      <w:rFonts w:eastAsia="Times New Roman" w:cs="Segoe UI"/>
                      <w:i/>
                      <w:iCs/>
                      <w:color w:val="000000" w:themeColor="text1"/>
                    </w:rPr>
                  </w:pPr>
                  <w:r w:rsidRPr="00B02C05">
                    <w:rPr>
                      <w:rFonts w:eastAsia="Times New Roman" w:cs="Segoe UI"/>
                      <w:i/>
                      <w:iCs/>
                      <w:color w:val="000000" w:themeColor="text1"/>
                    </w:rPr>
                    <w:t>‘30</w:t>
                  </w:r>
                </w:p>
              </w:tc>
              <w:tc>
                <w:tcPr>
                  <w:tcW w:w="547" w:type="dxa"/>
                </w:tcPr>
                <w:p w:rsidRPr="00B02C05" w:rsidR="00303383" w:rsidP="00303383" w14:paraId="66DBDD45" w14:textId="77777777">
                  <w:pPr>
                    <w:rPr>
                      <w:rFonts w:eastAsia="Times New Roman" w:cs="Segoe UI"/>
                      <w:i/>
                      <w:iCs/>
                      <w:color w:val="000000" w:themeColor="text1"/>
                    </w:rPr>
                  </w:pPr>
                  <w:r w:rsidRPr="00B02C05">
                    <w:rPr>
                      <w:rFonts w:eastAsia="Times New Roman" w:cs="Segoe UI"/>
                      <w:i/>
                      <w:iCs/>
                      <w:color w:val="000000" w:themeColor="text1"/>
                    </w:rPr>
                    <w:t>‘31</w:t>
                  </w:r>
                </w:p>
              </w:tc>
              <w:tc>
                <w:tcPr>
                  <w:tcW w:w="547" w:type="dxa"/>
                </w:tcPr>
                <w:p w:rsidRPr="00B02C05" w:rsidR="00303383" w:rsidP="00303383" w14:paraId="1BC49375" w14:textId="77777777">
                  <w:pPr>
                    <w:rPr>
                      <w:rFonts w:eastAsia="Times New Roman" w:cs="Segoe UI"/>
                      <w:i/>
                      <w:iCs/>
                      <w:color w:val="000000" w:themeColor="text1"/>
                    </w:rPr>
                  </w:pPr>
                  <w:r w:rsidRPr="00B02C05">
                    <w:rPr>
                      <w:rFonts w:eastAsia="Times New Roman" w:cs="Segoe UI"/>
                      <w:i/>
                      <w:iCs/>
                      <w:color w:val="000000" w:themeColor="text1"/>
                    </w:rPr>
                    <w:t>‘31</w:t>
                  </w:r>
                </w:p>
              </w:tc>
            </w:tr>
            <w:tr w:rsidTr="00EB07CF" w14:paraId="36C0BB39" w14:textId="77777777">
              <w:tblPrEx>
                <w:tblW w:w="0" w:type="auto"/>
                <w:tblInd w:w="0" w:type="dxa"/>
                <w:tblLook w:val="04A0"/>
              </w:tblPrEx>
              <w:trPr>
                <w:trHeight w:val="661"/>
              </w:trPr>
              <w:tc>
                <w:tcPr>
                  <w:tcW w:w="1542" w:type="dxa"/>
                </w:tcPr>
                <w:p w:rsidRPr="00B02C05" w:rsidR="00303383" w:rsidP="00303383" w14:paraId="10FB98C0" w14:textId="77777777">
                  <w:pPr>
                    <w:rPr>
                      <w:rFonts w:eastAsia="Times New Roman" w:cs="Segoe UI"/>
                      <w:color w:val="000000" w:themeColor="text1"/>
                    </w:rPr>
                  </w:pPr>
                  <w:r w:rsidRPr="00B02C05">
                    <w:rPr>
                      <w:rFonts w:eastAsia="Times New Roman" w:cs="Segoe UI"/>
                      <w:color w:val="000000" w:themeColor="text1"/>
                    </w:rPr>
                    <w:t>Economische Agenda Groningen</w:t>
                  </w:r>
                </w:p>
              </w:tc>
              <w:tc>
                <w:tcPr>
                  <w:tcW w:w="813" w:type="dxa"/>
                </w:tcPr>
                <w:p w:rsidRPr="00B02C05" w:rsidR="00303383" w:rsidP="00303383" w14:paraId="1F1FB247" w14:textId="77777777">
                  <w:pPr>
                    <w:rPr>
                      <w:rFonts w:eastAsia="Times New Roman" w:cs="Segoe UI"/>
                      <w:color w:val="000000" w:themeColor="text1"/>
                    </w:rPr>
                  </w:pPr>
                  <w:r w:rsidRPr="00B02C05">
                    <w:rPr>
                      <w:rFonts w:eastAsia="Times New Roman" w:cs="Segoe UI"/>
                      <w:color w:val="000000" w:themeColor="text1"/>
                    </w:rPr>
                    <w:t>300</w:t>
                  </w:r>
                </w:p>
              </w:tc>
              <w:tc>
                <w:tcPr>
                  <w:tcW w:w="621" w:type="dxa"/>
                </w:tcPr>
                <w:p w:rsidRPr="00B02C05" w:rsidR="00303383" w:rsidP="00303383" w14:paraId="1E070DEF" w14:textId="77777777">
                  <w:pPr>
                    <w:rPr>
                      <w:rFonts w:eastAsia="Times New Roman" w:cs="Segoe UI"/>
                      <w:color w:val="000000" w:themeColor="text1"/>
                    </w:rPr>
                  </w:pPr>
                  <w:r w:rsidRPr="00B02C05">
                    <w:rPr>
                      <w:rFonts w:eastAsia="Times New Roman" w:cs="Segoe UI"/>
                      <w:color w:val="000000" w:themeColor="text1"/>
                    </w:rPr>
                    <w:t>100</w:t>
                  </w:r>
                </w:p>
              </w:tc>
              <w:tc>
                <w:tcPr>
                  <w:tcW w:w="547" w:type="dxa"/>
                </w:tcPr>
                <w:p w:rsidRPr="00B02C05" w:rsidR="00303383" w:rsidP="00303383" w14:paraId="0FAE4FE3" w14:textId="77777777">
                  <w:pPr>
                    <w:rPr>
                      <w:rFonts w:eastAsia="Times New Roman" w:cs="Segoe UI"/>
                      <w:color w:val="000000" w:themeColor="text1"/>
                    </w:rPr>
                  </w:pPr>
                  <w:r w:rsidRPr="00B02C05">
                    <w:rPr>
                      <w:rFonts w:eastAsia="Times New Roman" w:cs="Segoe UI"/>
                      <w:color w:val="000000" w:themeColor="text1"/>
                    </w:rPr>
                    <w:t>100</w:t>
                  </w:r>
                </w:p>
              </w:tc>
              <w:tc>
                <w:tcPr>
                  <w:tcW w:w="493" w:type="dxa"/>
                </w:tcPr>
                <w:p w:rsidRPr="00B02C05" w:rsidR="00303383" w:rsidP="00303383" w14:paraId="2D3B6493" w14:textId="77777777">
                  <w:pPr>
                    <w:rPr>
                      <w:rFonts w:eastAsia="Times New Roman" w:cs="Segoe UI"/>
                      <w:color w:val="000000" w:themeColor="text1"/>
                    </w:rPr>
                  </w:pPr>
                  <w:r w:rsidRPr="00B02C05">
                    <w:rPr>
                      <w:rFonts w:eastAsia="Times New Roman" w:cs="Segoe UI"/>
                      <w:color w:val="000000" w:themeColor="text1"/>
                    </w:rPr>
                    <w:t>100</w:t>
                  </w:r>
                </w:p>
              </w:tc>
              <w:tc>
                <w:tcPr>
                  <w:tcW w:w="547" w:type="dxa"/>
                </w:tcPr>
                <w:p w:rsidRPr="00B02C05" w:rsidR="00303383" w:rsidP="00303383" w14:paraId="5A8E1C37" w14:textId="77777777">
                  <w:pPr>
                    <w:rPr>
                      <w:rFonts w:eastAsia="Times New Roman" w:cs="Segoe UI"/>
                      <w:color w:val="000000" w:themeColor="text1"/>
                    </w:rPr>
                  </w:pPr>
                </w:p>
              </w:tc>
              <w:tc>
                <w:tcPr>
                  <w:tcW w:w="547" w:type="dxa"/>
                </w:tcPr>
                <w:p w:rsidRPr="00B02C05" w:rsidR="00303383" w:rsidP="00303383" w14:paraId="18DD4865" w14:textId="77777777">
                  <w:pPr>
                    <w:rPr>
                      <w:rFonts w:eastAsia="Times New Roman" w:cs="Segoe UI"/>
                      <w:color w:val="000000" w:themeColor="text1"/>
                    </w:rPr>
                  </w:pPr>
                  <w:r w:rsidRPr="00B02C05">
                    <w:rPr>
                      <w:rFonts w:eastAsia="Times New Roman" w:cs="Segoe UI"/>
                      <w:color w:val="000000" w:themeColor="text1"/>
                    </w:rPr>
                    <w:t>-</w:t>
                  </w:r>
                </w:p>
              </w:tc>
              <w:tc>
                <w:tcPr>
                  <w:tcW w:w="547" w:type="dxa"/>
                </w:tcPr>
                <w:p w:rsidRPr="00B02C05" w:rsidR="00303383" w:rsidP="00303383" w14:paraId="7C2EF912" w14:textId="77777777">
                  <w:pPr>
                    <w:rPr>
                      <w:rFonts w:eastAsia="Times New Roman" w:cs="Segoe UI"/>
                      <w:color w:val="000000" w:themeColor="text1"/>
                    </w:rPr>
                  </w:pPr>
                  <w:r w:rsidRPr="00B02C05">
                    <w:rPr>
                      <w:rFonts w:eastAsia="Times New Roman" w:cs="Segoe UI"/>
                      <w:color w:val="000000" w:themeColor="text1"/>
                    </w:rPr>
                    <w:t>-</w:t>
                  </w:r>
                </w:p>
              </w:tc>
              <w:tc>
                <w:tcPr>
                  <w:tcW w:w="547" w:type="dxa"/>
                </w:tcPr>
                <w:p w:rsidRPr="00B02C05" w:rsidR="00303383" w:rsidP="00303383" w14:paraId="31161217" w14:textId="77777777">
                  <w:pPr>
                    <w:rPr>
                      <w:rFonts w:eastAsia="Times New Roman" w:cs="Segoe UI"/>
                      <w:color w:val="000000" w:themeColor="text1"/>
                    </w:rPr>
                  </w:pPr>
                  <w:r w:rsidRPr="00B02C05">
                    <w:rPr>
                      <w:rFonts w:eastAsia="Times New Roman" w:cs="Segoe UI"/>
                      <w:color w:val="000000" w:themeColor="text1"/>
                    </w:rPr>
                    <w:t>-</w:t>
                  </w:r>
                </w:p>
              </w:tc>
            </w:tr>
          </w:tbl>
          <w:p w:rsidRPr="00B02C05" w:rsidR="00303383" w:rsidP="00303383" w14:paraId="1ADB3C65" w14:textId="77777777">
            <w:pPr>
              <w:pStyle w:val="NoSpacing"/>
              <w:rPr>
                <w:rFonts w:ascii="Verdana" w:hAnsi="Verdana"/>
                <w:color w:val="000000" w:themeColor="text1"/>
                <w:sz w:val="18"/>
                <w:szCs w:val="18"/>
                <w:bdr w:val="none" w:color="auto" w:sz="0" w:space="0" w:frame="1"/>
              </w:rPr>
            </w:pPr>
          </w:p>
          <w:p w:rsidRPr="00B02C05" w:rsidR="00AF60F4" w:rsidP="00303383" w14:paraId="67A8BB7E" w14:textId="77777777">
            <w:pPr>
              <w:pStyle w:val="NoSpacing"/>
              <w:numPr>
                <w:ilvl w:val="0"/>
                <w:numId w:val="7"/>
              </w:numPr>
              <w:rPr>
                <w:rFonts w:ascii="Verdana" w:hAnsi="Verdana"/>
                <w:color w:val="000000" w:themeColor="text1"/>
                <w:sz w:val="18"/>
                <w:szCs w:val="18"/>
                <w:bdr w:val="none" w:color="auto" w:sz="0" w:space="0" w:frame="1"/>
              </w:rPr>
            </w:pPr>
            <w:r w:rsidRPr="00B02C05">
              <w:rPr>
                <w:rFonts w:ascii="Verdana" w:hAnsi="Verdana"/>
                <w:color w:val="000000" w:themeColor="text1"/>
                <w:sz w:val="18"/>
                <w:szCs w:val="18"/>
                <w:bdr w:val="none" w:color="auto" w:sz="0" w:space="0" w:frame="1"/>
              </w:rPr>
              <w:t xml:space="preserve">In Nij </w:t>
            </w:r>
            <w:r w:rsidRPr="00B02C05">
              <w:rPr>
                <w:rFonts w:ascii="Verdana" w:hAnsi="Verdana"/>
                <w:color w:val="000000" w:themeColor="text1"/>
                <w:sz w:val="18"/>
                <w:szCs w:val="18"/>
                <w:bdr w:val="none" w:color="auto" w:sz="0" w:space="0" w:frame="1"/>
              </w:rPr>
              <w:t>Begun</w:t>
            </w:r>
            <w:r w:rsidRPr="00B02C05">
              <w:rPr>
                <w:rFonts w:ascii="Verdana" w:hAnsi="Verdana"/>
                <w:color w:val="000000" w:themeColor="text1"/>
                <w:sz w:val="18"/>
                <w:szCs w:val="18"/>
                <w:bdr w:val="none" w:color="auto" w:sz="0" w:space="0" w:frame="1"/>
              </w:rPr>
              <w:t xml:space="preserve"> is een Economische Agenda Groningen toegezegd, waarvan de middelen op de Aanvullende Post </w:t>
            </w:r>
            <w:r w:rsidRPr="00B02C05" w:rsidR="000606B7">
              <w:rPr>
                <w:rFonts w:ascii="Verdana" w:hAnsi="Verdana"/>
                <w:color w:val="000000" w:themeColor="text1"/>
                <w:sz w:val="18"/>
                <w:szCs w:val="18"/>
                <w:bdr w:val="none" w:color="auto" w:sz="0" w:space="0" w:frame="1"/>
              </w:rPr>
              <w:t xml:space="preserve">zijn </w:t>
            </w:r>
            <w:r w:rsidRPr="00B02C05">
              <w:rPr>
                <w:rFonts w:ascii="Verdana" w:hAnsi="Verdana"/>
                <w:color w:val="000000" w:themeColor="text1"/>
                <w:sz w:val="18"/>
                <w:szCs w:val="18"/>
                <w:bdr w:val="none" w:color="auto" w:sz="0" w:space="0" w:frame="1"/>
              </w:rPr>
              <w:t xml:space="preserve">gereserveerd. Voor de 2026 t/m 2028 </w:t>
            </w:r>
            <w:r w:rsidRPr="00B02C05" w:rsidR="00E9129B">
              <w:rPr>
                <w:rFonts w:ascii="Verdana" w:hAnsi="Verdana"/>
                <w:color w:val="000000" w:themeColor="text1"/>
                <w:sz w:val="18"/>
                <w:szCs w:val="18"/>
                <w:bdr w:val="none" w:color="auto" w:sz="0" w:space="0" w:frame="1"/>
              </w:rPr>
              <w:t>zijn in de 1</w:t>
            </w:r>
            <w:r w:rsidRPr="00B02C05" w:rsidR="00E9129B">
              <w:rPr>
                <w:rFonts w:ascii="Verdana" w:hAnsi="Verdana"/>
                <w:color w:val="000000" w:themeColor="text1"/>
                <w:sz w:val="18"/>
                <w:szCs w:val="18"/>
                <w:bdr w:val="none" w:color="auto" w:sz="0" w:space="0" w:frame="1"/>
                <w:vertAlign w:val="superscript"/>
              </w:rPr>
              <w:t>e</w:t>
            </w:r>
            <w:r w:rsidRPr="00B02C05" w:rsidR="00E9129B">
              <w:rPr>
                <w:rFonts w:ascii="Verdana" w:hAnsi="Verdana"/>
                <w:color w:val="000000" w:themeColor="text1"/>
                <w:sz w:val="18"/>
                <w:szCs w:val="18"/>
                <w:bdr w:val="none" w:color="auto" w:sz="0" w:space="0" w:frame="1"/>
              </w:rPr>
              <w:t xml:space="preserve"> suppletoire begroting 2026</w:t>
            </w:r>
            <w:r w:rsidRPr="00B02C05">
              <w:rPr>
                <w:rFonts w:ascii="Verdana" w:hAnsi="Verdana"/>
                <w:color w:val="000000" w:themeColor="text1"/>
                <w:sz w:val="18"/>
                <w:szCs w:val="18"/>
                <w:bdr w:val="none" w:color="auto" w:sz="0" w:space="0" w:frame="1"/>
              </w:rPr>
              <w:t xml:space="preserve"> middelen aan de begroting van BZK toegevoegd.</w:t>
            </w:r>
          </w:p>
          <w:p w:rsidRPr="00B02C05" w:rsidR="00303383" w:rsidP="00303383" w14:paraId="4F2DB195" w14:textId="77777777">
            <w:pPr>
              <w:pStyle w:val="NoSpacing"/>
              <w:numPr>
                <w:ilvl w:val="0"/>
                <w:numId w:val="7"/>
              </w:numPr>
              <w:rPr>
                <w:rFonts w:ascii="Verdana" w:hAnsi="Verdana"/>
                <w:color w:val="000000" w:themeColor="text1"/>
                <w:sz w:val="18"/>
                <w:szCs w:val="18"/>
                <w:bdr w:val="none" w:color="auto" w:sz="0" w:space="0" w:frame="1"/>
              </w:rPr>
            </w:pPr>
            <w:r w:rsidRPr="00B02C05">
              <w:rPr>
                <w:rFonts w:ascii="Verdana" w:hAnsi="Verdana"/>
                <w:color w:val="000000" w:themeColor="text1"/>
                <w:sz w:val="18"/>
                <w:szCs w:val="18"/>
                <w:bdr w:val="none" w:color="auto" w:sz="0" w:space="0" w:frame="1"/>
              </w:rPr>
              <w:t>In 2025 is de Economische Agenda voor Groningen en Noord-Drenthe vastgesteld. Om uitvoering te kunnen geven aan het meerjarig uitvoeringsplan, zijn de middelen vanaf 2026 nodig.</w:t>
            </w:r>
          </w:p>
          <w:p w:rsidRPr="00B02C05" w:rsidR="00303383" w:rsidP="00303383" w14:paraId="27026EAE" w14:textId="77777777">
            <w:pPr>
              <w:pStyle w:val="NoSpacing"/>
              <w:numPr>
                <w:ilvl w:val="0"/>
                <w:numId w:val="7"/>
              </w:numPr>
              <w:rPr>
                <w:rFonts w:ascii="Verdana" w:hAnsi="Verdana"/>
                <w:color w:val="000000" w:themeColor="text1"/>
                <w:sz w:val="18"/>
                <w:szCs w:val="18"/>
                <w:bdr w:val="none" w:color="auto" w:sz="0" w:space="0" w:frame="1"/>
              </w:rPr>
            </w:pPr>
            <w:r w:rsidRPr="00B02C05">
              <w:rPr>
                <w:rFonts w:ascii="Verdana" w:hAnsi="Verdana"/>
                <w:color w:val="000000" w:themeColor="text1"/>
                <w:sz w:val="18"/>
                <w:szCs w:val="18"/>
                <w:bdr w:val="none" w:color="auto" w:sz="0" w:space="0" w:frame="1"/>
              </w:rPr>
              <w:t xml:space="preserve">Vanaf 2026 is er een GR en een stichting die uitvoering moeten gaan geven aan de EAG. </w:t>
            </w:r>
          </w:p>
          <w:p w:rsidRPr="00B02C05" w:rsidR="00303383" w:rsidP="00303383" w14:paraId="235CE2FA" w14:textId="77777777">
            <w:pPr>
              <w:pStyle w:val="NoSpacing"/>
              <w:numPr>
                <w:ilvl w:val="0"/>
                <w:numId w:val="7"/>
              </w:numPr>
              <w:rPr>
                <w:rFonts w:ascii="Verdana" w:hAnsi="Verdana"/>
                <w:color w:val="000000" w:themeColor="text1"/>
                <w:sz w:val="18"/>
                <w:szCs w:val="18"/>
                <w:bdr w:val="none" w:color="auto" w:sz="0" w:space="0" w:frame="1"/>
              </w:rPr>
            </w:pPr>
            <w:r w:rsidRPr="00B02C05">
              <w:rPr>
                <w:rFonts w:ascii="Verdana" w:hAnsi="Verdana"/>
                <w:color w:val="000000" w:themeColor="text1"/>
                <w:sz w:val="18"/>
                <w:szCs w:val="18"/>
                <w:bdr w:val="none" w:color="auto" w:sz="0" w:space="0" w:frame="1"/>
              </w:rPr>
              <w:t xml:space="preserve">In Nij </w:t>
            </w:r>
            <w:r w:rsidRPr="00B02C05">
              <w:rPr>
                <w:rFonts w:ascii="Verdana" w:hAnsi="Verdana"/>
                <w:color w:val="000000" w:themeColor="text1"/>
                <w:sz w:val="18"/>
                <w:szCs w:val="18"/>
                <w:bdr w:val="none" w:color="auto" w:sz="0" w:space="0" w:frame="1"/>
              </w:rPr>
              <w:t>Begun</w:t>
            </w:r>
            <w:r w:rsidRPr="00B02C05">
              <w:rPr>
                <w:rFonts w:ascii="Verdana" w:hAnsi="Verdana"/>
                <w:color w:val="000000" w:themeColor="text1"/>
                <w:sz w:val="18"/>
                <w:szCs w:val="18"/>
                <w:bdr w:val="none" w:color="auto" w:sz="0" w:space="0" w:frame="1"/>
              </w:rPr>
              <w:t xml:space="preserve"> is een bedrag vastgesteld voor het startkapitaal en de generatielange betrokkenheid</w:t>
            </w:r>
            <w:r w:rsidRPr="00B02C05" w:rsidR="00E9129B">
              <w:rPr>
                <w:rFonts w:ascii="Verdana" w:hAnsi="Verdana"/>
                <w:color w:val="000000" w:themeColor="text1"/>
                <w:sz w:val="18"/>
                <w:szCs w:val="18"/>
                <w:bdr w:val="none" w:color="auto" w:sz="0" w:space="0" w:frame="1"/>
              </w:rPr>
              <w:t>.</w:t>
            </w:r>
            <w:r w:rsidRPr="00B02C05">
              <w:rPr>
                <w:rFonts w:ascii="Verdana" w:hAnsi="Verdana"/>
                <w:color w:val="000000" w:themeColor="text1"/>
                <w:sz w:val="18"/>
                <w:szCs w:val="18"/>
                <w:bdr w:val="none" w:color="auto" w:sz="0" w:space="0" w:frame="1"/>
              </w:rPr>
              <w:t xml:space="preserve"> </w:t>
            </w:r>
            <w:r w:rsidRPr="00B02C05" w:rsidR="00E9129B">
              <w:rPr>
                <w:rFonts w:ascii="Verdana" w:hAnsi="Verdana"/>
                <w:color w:val="000000" w:themeColor="text1"/>
                <w:sz w:val="18"/>
                <w:szCs w:val="18"/>
                <w:bdr w:val="none" w:color="auto" w:sz="0" w:space="0" w:frame="1"/>
              </w:rPr>
              <w:t>I</w:t>
            </w:r>
            <w:r w:rsidRPr="00B02C05">
              <w:rPr>
                <w:rFonts w:ascii="Verdana" w:hAnsi="Verdana"/>
                <w:color w:val="000000" w:themeColor="text1"/>
                <w:sz w:val="18"/>
                <w:szCs w:val="18"/>
                <w:bdr w:val="none" w:color="auto" w:sz="0" w:space="0" w:frame="1"/>
              </w:rPr>
              <w:t xml:space="preserve">nschatting is dat hiermee projectvoorstellen voor thema’s van Economische Agenda Groningen verstrekt kunnen worden in de periode 2024-2028. </w:t>
            </w:r>
          </w:p>
          <w:p w:rsidRPr="00B02C05" w:rsidR="00303383" w:rsidP="00303383" w14:paraId="3D7C5B86" w14:textId="77777777">
            <w:pPr>
              <w:pStyle w:val="NoSpacing"/>
              <w:numPr>
                <w:ilvl w:val="0"/>
                <w:numId w:val="7"/>
              </w:numPr>
              <w:rPr>
                <w:rFonts w:ascii="Verdana" w:hAnsi="Verdana"/>
                <w:color w:val="000000" w:themeColor="text1"/>
                <w:sz w:val="18"/>
                <w:szCs w:val="18"/>
                <w:bdr w:val="none" w:color="auto" w:sz="0" w:space="0" w:frame="1"/>
              </w:rPr>
            </w:pPr>
            <w:r w:rsidRPr="00B02C05">
              <w:rPr>
                <w:rFonts w:ascii="Verdana" w:hAnsi="Verdana"/>
                <w:color w:val="000000" w:themeColor="text1"/>
                <w:sz w:val="18"/>
                <w:szCs w:val="18"/>
                <w:bdr w:val="none" w:color="auto" w:sz="0" w:space="0" w:frame="1"/>
              </w:rPr>
              <w:t xml:space="preserve">Budgetverstrekking gebeurt op projectbasis, nadat projecten eerst door een afwegingskader </w:t>
            </w:r>
            <w:r w:rsidRPr="00B02C05" w:rsidR="00E9129B">
              <w:rPr>
                <w:rFonts w:ascii="Verdana" w:hAnsi="Verdana"/>
                <w:color w:val="000000" w:themeColor="text1"/>
                <w:sz w:val="18"/>
                <w:szCs w:val="18"/>
                <w:bdr w:val="none" w:color="auto" w:sz="0" w:space="0" w:frame="1"/>
              </w:rPr>
              <w:t xml:space="preserve">(vastgesteld door Regio/Rijk) </w:t>
            </w:r>
            <w:r w:rsidRPr="00B02C05">
              <w:rPr>
                <w:rFonts w:ascii="Verdana" w:hAnsi="Verdana"/>
                <w:color w:val="000000" w:themeColor="text1"/>
                <w:sz w:val="18"/>
                <w:szCs w:val="18"/>
                <w:bdr w:val="none" w:color="auto" w:sz="0" w:space="0" w:frame="1"/>
              </w:rPr>
              <w:t xml:space="preserve">zijn getoetst. </w:t>
            </w:r>
          </w:p>
          <w:p w:rsidRPr="00B02C05" w:rsidR="00303383" w:rsidP="00303383" w14:paraId="66D00130" w14:textId="77777777">
            <w:pPr>
              <w:pStyle w:val="NoSpacing"/>
              <w:numPr>
                <w:ilvl w:val="0"/>
                <w:numId w:val="7"/>
              </w:numPr>
              <w:rPr>
                <w:rFonts w:ascii="Verdana" w:hAnsi="Verdana"/>
                <w:color w:val="000000" w:themeColor="text1"/>
                <w:sz w:val="18"/>
                <w:szCs w:val="18"/>
              </w:rPr>
            </w:pPr>
            <w:r w:rsidRPr="00B02C05">
              <w:rPr>
                <w:rFonts w:ascii="Verdana" w:hAnsi="Verdana"/>
                <w:color w:val="000000" w:themeColor="text1"/>
                <w:sz w:val="18"/>
                <w:szCs w:val="18"/>
                <w:bdr w:val="none" w:color="auto" w:sz="0" w:space="0" w:frame="1"/>
              </w:rPr>
              <w:t xml:space="preserve">Deze </w:t>
            </w:r>
            <w:r w:rsidRPr="00B02C05" w:rsidR="00AF60F4">
              <w:rPr>
                <w:rFonts w:ascii="Verdana" w:hAnsi="Verdana"/>
                <w:color w:val="000000" w:themeColor="text1"/>
                <w:sz w:val="18"/>
                <w:szCs w:val="18"/>
                <w:bdr w:val="none" w:color="auto" w:sz="0" w:space="0" w:frame="1"/>
              </w:rPr>
              <w:t xml:space="preserve">middelen voor 2026 t/m 2028 </w:t>
            </w:r>
            <w:r w:rsidRPr="00B02C05">
              <w:rPr>
                <w:rFonts w:ascii="Verdana" w:hAnsi="Verdana"/>
                <w:color w:val="000000" w:themeColor="text1"/>
                <w:sz w:val="18"/>
                <w:szCs w:val="18"/>
                <w:bdr w:val="none" w:color="auto" w:sz="0" w:space="0" w:frame="1"/>
              </w:rPr>
              <w:t>voorzie</w:t>
            </w:r>
            <w:r w:rsidRPr="00B02C05" w:rsidR="00AF60F4">
              <w:rPr>
                <w:rFonts w:ascii="Verdana" w:hAnsi="Verdana"/>
                <w:color w:val="000000" w:themeColor="text1"/>
                <w:sz w:val="18"/>
                <w:szCs w:val="18"/>
                <w:bdr w:val="none" w:color="auto" w:sz="0" w:space="0" w:frame="1"/>
              </w:rPr>
              <w:t>n</w:t>
            </w:r>
            <w:r w:rsidRPr="00B02C05">
              <w:rPr>
                <w:rFonts w:ascii="Verdana" w:hAnsi="Verdana"/>
                <w:color w:val="000000" w:themeColor="text1"/>
                <w:sz w:val="18"/>
                <w:szCs w:val="18"/>
                <w:bdr w:val="none" w:color="auto" w:sz="0" w:space="0" w:frame="1"/>
              </w:rPr>
              <w:t xml:space="preserve"> in de voorlopige kosten van de uitvoering van de EAG en de mogelijke aanstaande projecten. </w:t>
            </w:r>
          </w:p>
          <w:p w:rsidRPr="00B02C05" w:rsidR="00303383" w:rsidP="00303383" w14:paraId="54CA82A6" w14:textId="77777777">
            <w:pPr>
              <w:rPr>
                <w:b/>
              </w:rPr>
            </w:pPr>
          </w:p>
        </w:tc>
      </w:tr>
      <w:tr w:rsidTr="00303383" w14:paraId="03674089" w14:textId="77777777">
        <w:tblPrEx>
          <w:tblW w:w="5004" w:type="pct"/>
          <w:tblInd w:w="-5" w:type="dxa"/>
          <w:shd w:val="clear" w:color="auto" w:fill="DEEAF6"/>
          <w:tblLook w:val="01E0"/>
        </w:tblPrEx>
        <w:trPr>
          <w:trHeight w:val="725"/>
        </w:trPr>
        <w:tc>
          <w:tcPr>
            <w:tcW w:w="1601" w:type="pct"/>
            <w:tcBorders>
              <w:top w:val="single" w:color="FFFFFF" w:sz="4" w:space="0"/>
              <w:left w:val="nil"/>
              <w:bottom w:val="single" w:color="FFFFFF" w:sz="4" w:space="0"/>
              <w:right w:val="single" w:color="FFFFFF" w:sz="4" w:space="0"/>
            </w:tcBorders>
            <w:shd w:val="clear" w:color="auto" w:fill="DEEAF6"/>
          </w:tcPr>
          <w:p w:rsidRPr="00B02C05" w:rsidR="00303383" w:rsidP="00303383" w14:paraId="28877123" w14:textId="77777777">
            <w:pPr>
              <w:rPr>
                <w:bCs/>
              </w:rPr>
            </w:pPr>
          </w:p>
          <w:p w:rsidRPr="00B02C05" w:rsidR="00303383" w:rsidP="00303383" w14:paraId="6F0C046F" w14:textId="77777777">
            <w:pPr>
              <w:rPr>
                <w:b/>
              </w:rPr>
            </w:pPr>
            <w:r w:rsidRPr="00B02C05">
              <w:rPr>
                <w:b/>
              </w:rPr>
              <w:t>B. voor maatschappelijke   sectoren</w:t>
            </w:r>
          </w:p>
        </w:tc>
        <w:tc>
          <w:tcPr>
            <w:tcW w:w="3399" w:type="pct"/>
            <w:tcBorders>
              <w:top w:val="single" w:color="FFFFFF" w:sz="4" w:space="0"/>
              <w:left w:val="single" w:color="FFFFFF" w:sz="4" w:space="0"/>
              <w:bottom w:val="single" w:color="FFFFFF" w:sz="4" w:space="0"/>
              <w:right w:val="nil"/>
            </w:tcBorders>
            <w:shd w:val="clear" w:color="auto" w:fill="DEEAF6"/>
          </w:tcPr>
          <w:p w:rsidRPr="00B02C05" w:rsidR="00303383" w:rsidP="00303383" w14:paraId="3B13036C" w14:textId="77777777">
            <w:pPr>
              <w:pStyle w:val="NoSpacing"/>
              <w:rPr>
                <w:rFonts w:ascii="Verdana" w:hAnsi="Verdana"/>
                <w:i/>
                <w:iCs/>
                <w:color w:val="000000" w:themeColor="text1"/>
                <w:sz w:val="18"/>
                <w:szCs w:val="18"/>
              </w:rPr>
            </w:pPr>
          </w:p>
          <w:p w:rsidRPr="00B02C05" w:rsidR="00303383" w:rsidP="00303383" w14:paraId="63770BB1" w14:textId="77777777">
            <w:pPr>
              <w:pStyle w:val="NoSpacing"/>
              <w:rPr>
                <w:rFonts w:ascii="Verdana" w:hAnsi="Verdana"/>
                <w:color w:val="000000" w:themeColor="text1"/>
                <w:sz w:val="18"/>
                <w:szCs w:val="18"/>
              </w:rPr>
            </w:pPr>
            <w:r w:rsidRPr="00B02C05">
              <w:rPr>
                <w:rFonts w:ascii="Verdana" w:hAnsi="Verdana"/>
                <w:color w:val="000000" w:themeColor="text1"/>
                <w:sz w:val="18"/>
                <w:szCs w:val="18"/>
              </w:rPr>
              <w:t>Niet van toepassing.</w:t>
            </w:r>
          </w:p>
          <w:p w:rsidRPr="00B02C05" w:rsidR="00303383" w:rsidP="00303383" w14:paraId="69086DC0" w14:textId="77777777">
            <w:pPr>
              <w:rPr>
                <w:bCs/>
              </w:rPr>
            </w:pPr>
          </w:p>
        </w:tc>
      </w:tr>
      <w:tr w:rsidTr="00303383" w14:paraId="1973F0E2" w14:textId="77777777">
        <w:tblPrEx>
          <w:tblW w:w="5004" w:type="pct"/>
          <w:tblInd w:w="-5" w:type="dxa"/>
          <w:shd w:val="clear" w:color="auto" w:fill="DEEAF6"/>
          <w:tblLook w:val="01E0"/>
        </w:tblPrEx>
        <w:trPr>
          <w:trHeight w:val="778"/>
        </w:trPr>
        <w:tc>
          <w:tcPr>
            <w:tcW w:w="1601" w:type="pct"/>
            <w:tcBorders>
              <w:top w:val="single" w:color="FFFFFF" w:sz="4" w:space="0"/>
              <w:left w:val="nil"/>
              <w:bottom w:val="single" w:color="FFFFFF" w:sz="4" w:space="0"/>
              <w:right w:val="single" w:color="FFFFFF" w:sz="4" w:space="0"/>
            </w:tcBorders>
            <w:shd w:val="clear" w:color="auto" w:fill="DEEAF6"/>
          </w:tcPr>
          <w:p w:rsidRPr="00B02C05" w:rsidR="00303383" w:rsidP="00303383" w14:paraId="2B237CD2" w14:textId="77777777">
            <w:pPr>
              <w:rPr>
                <w:b/>
              </w:rPr>
            </w:pPr>
          </w:p>
          <w:p w:rsidRPr="00B02C05" w:rsidR="00303383" w:rsidP="00303383" w14:paraId="0B784ED9" w14:textId="77777777">
            <w:pPr>
              <w:numPr>
                <w:ilvl w:val="0"/>
                <w:numId w:val="16"/>
              </w:numPr>
              <w:rPr>
                <w:b/>
              </w:rPr>
            </w:pPr>
            <w:r w:rsidRPr="00B02C05">
              <w:rPr>
                <w:b/>
              </w:rPr>
              <w:t>Nagestreefde doeltreffendheid</w:t>
            </w:r>
          </w:p>
        </w:tc>
        <w:tc>
          <w:tcPr>
            <w:tcW w:w="3399" w:type="pct"/>
            <w:tcBorders>
              <w:top w:val="single" w:color="FFFFFF" w:sz="4" w:space="0"/>
              <w:left w:val="single" w:color="FFFFFF" w:sz="4" w:space="0"/>
              <w:bottom w:val="single" w:color="FFFFFF" w:sz="4" w:space="0"/>
              <w:right w:val="nil"/>
            </w:tcBorders>
            <w:shd w:val="clear" w:color="auto" w:fill="DEEAF6"/>
          </w:tcPr>
          <w:p w:rsidRPr="00B02C05" w:rsidR="00303383" w:rsidP="00303383" w14:paraId="2175840B" w14:textId="77777777">
            <w:pPr>
              <w:pStyle w:val="NoSpacing"/>
              <w:rPr>
                <w:rFonts w:ascii="Verdana" w:hAnsi="Verdana"/>
                <w:color w:val="000000" w:themeColor="text1"/>
                <w:sz w:val="18"/>
                <w:szCs w:val="18"/>
              </w:rPr>
            </w:pPr>
            <w:r w:rsidRPr="00B02C05">
              <w:rPr>
                <w:rFonts w:ascii="Verdana" w:hAnsi="Verdana"/>
                <w:color w:val="000000" w:themeColor="text1"/>
                <w:sz w:val="18"/>
                <w:szCs w:val="18"/>
              </w:rPr>
              <w:t>Met de beschikbare middelen k</w:t>
            </w:r>
            <w:r w:rsidRPr="00B02C05" w:rsidR="00C92B9A">
              <w:rPr>
                <w:rFonts w:ascii="Verdana" w:hAnsi="Verdana"/>
                <w:color w:val="000000" w:themeColor="text1"/>
                <w:sz w:val="18"/>
                <w:szCs w:val="18"/>
              </w:rPr>
              <w:t>u</w:t>
            </w:r>
            <w:r w:rsidRPr="00B02C05">
              <w:rPr>
                <w:rFonts w:ascii="Verdana" w:hAnsi="Verdana"/>
                <w:color w:val="000000" w:themeColor="text1"/>
                <w:sz w:val="18"/>
                <w:szCs w:val="18"/>
              </w:rPr>
              <w:t>n</w:t>
            </w:r>
            <w:r w:rsidRPr="00B02C05" w:rsidR="00C92B9A">
              <w:rPr>
                <w:rFonts w:ascii="Verdana" w:hAnsi="Verdana"/>
                <w:color w:val="000000" w:themeColor="text1"/>
                <w:sz w:val="18"/>
                <w:szCs w:val="18"/>
              </w:rPr>
              <w:t>nen</w:t>
            </w:r>
            <w:r w:rsidRPr="00B02C05">
              <w:rPr>
                <w:rFonts w:ascii="Verdana" w:hAnsi="Verdana"/>
                <w:color w:val="000000" w:themeColor="text1"/>
                <w:sz w:val="18"/>
                <w:szCs w:val="18"/>
              </w:rPr>
              <w:t xml:space="preserve"> Rijk en regio investeren in programma’s en projecten die merkbare verbeteringen zullen opleveren voor de inwoners van Groningen en Noord-Drenthe. Dit dankzij nieuwe werkgelegenheid, een betere aansluiting van onderwijs-arbeidsmarkt, een verbeterde kwaliteit van de leefomgeving door verduurzaming van de industrie, perspectief voor ondernemers en een aantrekkelijke regio voor (private) partijen om te ondernemen en investeren. </w:t>
            </w:r>
          </w:p>
          <w:p w:rsidRPr="00B02C05" w:rsidR="00303383" w:rsidP="00303383" w14:paraId="34577017" w14:textId="77777777">
            <w:pPr>
              <w:rPr>
                <w:bCs/>
              </w:rPr>
            </w:pPr>
          </w:p>
        </w:tc>
      </w:tr>
      <w:tr w:rsidTr="00303383" w14:paraId="78DE48CC" w14:textId="77777777">
        <w:tblPrEx>
          <w:tblW w:w="5004" w:type="pct"/>
          <w:tblInd w:w="-5" w:type="dxa"/>
          <w:shd w:val="clear" w:color="auto" w:fill="DEEAF6"/>
          <w:tblLook w:val="01E0"/>
        </w:tblPrEx>
        <w:trPr>
          <w:trHeight w:val="801"/>
        </w:trPr>
        <w:tc>
          <w:tcPr>
            <w:tcW w:w="1601" w:type="pct"/>
            <w:tcBorders>
              <w:top w:val="single" w:color="FFFFFF" w:sz="4" w:space="0"/>
              <w:left w:val="nil"/>
              <w:bottom w:val="single" w:color="FFFFFF" w:sz="4" w:space="0"/>
              <w:right w:val="single" w:color="FFFFFF" w:sz="4" w:space="0"/>
            </w:tcBorders>
            <w:shd w:val="clear" w:color="auto" w:fill="DEEAF6"/>
          </w:tcPr>
          <w:p w:rsidRPr="00B02C05" w:rsidR="00303383" w:rsidP="00303383" w14:paraId="0FECCF5E" w14:textId="77777777">
            <w:pPr>
              <w:rPr>
                <w:b/>
              </w:rPr>
            </w:pPr>
          </w:p>
          <w:p w:rsidRPr="00B02C05" w:rsidR="00303383" w:rsidP="00303383" w14:paraId="0ADC04A5" w14:textId="77777777">
            <w:pPr>
              <w:numPr>
                <w:ilvl w:val="0"/>
                <w:numId w:val="16"/>
              </w:numPr>
              <w:rPr>
                <w:b/>
              </w:rPr>
            </w:pPr>
            <w:r w:rsidRPr="00B02C05">
              <w:rPr>
                <w:b/>
              </w:rPr>
              <w:t>Nagestreefde doelmatigheid</w:t>
            </w:r>
          </w:p>
        </w:tc>
        <w:tc>
          <w:tcPr>
            <w:tcW w:w="3399" w:type="pct"/>
            <w:tcBorders>
              <w:top w:val="single" w:color="FFFFFF" w:sz="4" w:space="0"/>
              <w:left w:val="single" w:color="FFFFFF" w:sz="4" w:space="0"/>
              <w:bottom w:val="single" w:color="FFFFFF" w:sz="4" w:space="0"/>
              <w:right w:val="nil"/>
            </w:tcBorders>
            <w:shd w:val="clear" w:color="auto" w:fill="DEEAF6"/>
          </w:tcPr>
          <w:p w:rsidRPr="00B02C05" w:rsidR="00303383" w:rsidP="00303383" w14:paraId="35AAE9F6" w14:textId="77777777">
            <w:pPr>
              <w:rPr>
                <w:color w:val="000000" w:themeColor="text1"/>
              </w:rPr>
            </w:pPr>
            <w:r w:rsidRPr="00B02C05">
              <w:rPr>
                <w:color w:val="000000" w:themeColor="text1"/>
              </w:rPr>
              <w:t xml:space="preserve">Met het instrument kunnen </w:t>
            </w:r>
            <w:r w:rsidRPr="00B02C05" w:rsidR="00C70AC3">
              <w:rPr>
                <w:color w:val="000000" w:themeColor="text1"/>
              </w:rPr>
              <w:t xml:space="preserve">doelmatige </w:t>
            </w:r>
            <w:r w:rsidRPr="00B02C05">
              <w:rPr>
                <w:color w:val="000000" w:themeColor="text1"/>
              </w:rPr>
              <w:t>voorstellen op programma</w:t>
            </w:r>
            <w:r w:rsidRPr="00B02C05" w:rsidR="00C92B9A">
              <w:rPr>
                <w:color w:val="000000" w:themeColor="text1"/>
              </w:rPr>
              <w:t>-</w:t>
            </w:r>
            <w:r w:rsidRPr="00B02C05">
              <w:rPr>
                <w:color w:val="000000" w:themeColor="text1"/>
              </w:rPr>
              <w:t xml:space="preserve"> en projectbasis worden ondersteund. Het biedt het Rijk de mogelijkheid van sturing op de kwaliteit van de geleverde prestaties. Losstaande projecten worden door een beoordelingscommissie getoetst aan een afwegingskader. </w:t>
            </w:r>
            <w:r w:rsidRPr="00B02C05">
              <w:rPr>
                <w:color w:val="000000" w:themeColor="text1"/>
              </w:rPr>
              <w:br/>
              <w:t xml:space="preserve">           </w:t>
            </w:r>
          </w:p>
        </w:tc>
      </w:tr>
      <w:tr w:rsidTr="00303383" w14:paraId="07118539" w14:textId="77777777">
        <w:tblPrEx>
          <w:tblW w:w="5004" w:type="pct"/>
          <w:tblInd w:w="-5" w:type="dxa"/>
          <w:shd w:val="clear" w:color="auto" w:fill="DEEAF6"/>
          <w:tblLook w:val="01E0"/>
        </w:tblPrEx>
        <w:trPr>
          <w:trHeight w:val="801"/>
        </w:trPr>
        <w:tc>
          <w:tcPr>
            <w:tcW w:w="1601" w:type="pct"/>
            <w:tcBorders>
              <w:top w:val="single" w:color="FFFFFF" w:sz="4" w:space="0"/>
              <w:left w:val="nil"/>
              <w:bottom w:val="single" w:color="FFFFFF" w:sz="4" w:space="0"/>
              <w:right w:val="single" w:color="FFFFFF" w:sz="4" w:space="0"/>
            </w:tcBorders>
            <w:shd w:val="clear" w:color="auto" w:fill="DEEAF6"/>
          </w:tcPr>
          <w:p w:rsidRPr="00B02C05" w:rsidR="00303383" w:rsidP="00303383" w14:paraId="029BB06D" w14:textId="77777777">
            <w:pPr>
              <w:rPr>
                <w:b/>
              </w:rPr>
            </w:pPr>
          </w:p>
          <w:p w:rsidRPr="00B02C05" w:rsidR="00303383" w:rsidP="00303383" w14:paraId="29CBF1E2" w14:textId="77777777">
            <w:pPr>
              <w:numPr>
                <w:ilvl w:val="0"/>
                <w:numId w:val="16"/>
              </w:numPr>
              <w:rPr>
                <w:b/>
              </w:rPr>
            </w:pPr>
            <w:r w:rsidRPr="00B02C05">
              <w:rPr>
                <w:b/>
              </w:rPr>
              <w:t>Evaluatieparagraaf</w:t>
            </w:r>
          </w:p>
        </w:tc>
        <w:tc>
          <w:tcPr>
            <w:tcW w:w="3399" w:type="pct"/>
            <w:tcBorders>
              <w:top w:val="single" w:color="FFFFFF" w:sz="4" w:space="0"/>
              <w:left w:val="single" w:color="FFFFFF" w:sz="4" w:space="0"/>
              <w:bottom w:val="single" w:color="FFFFFF" w:sz="4" w:space="0"/>
              <w:right w:val="nil"/>
            </w:tcBorders>
            <w:shd w:val="clear" w:color="auto" w:fill="DEEAF6"/>
          </w:tcPr>
          <w:p w:rsidRPr="00B02C05" w:rsidR="00303383" w:rsidP="00303383" w14:paraId="100B2BFF" w14:textId="77777777">
            <w:pPr>
              <w:pStyle w:val="NoSpacing"/>
              <w:rPr>
                <w:rFonts w:ascii="Verdana" w:hAnsi="Verdana"/>
                <w:color w:val="000000" w:themeColor="text1"/>
                <w:sz w:val="18"/>
                <w:szCs w:val="18"/>
              </w:rPr>
            </w:pPr>
            <w:r w:rsidRPr="00B02C05">
              <w:rPr>
                <w:rFonts w:ascii="Verdana" w:hAnsi="Verdana"/>
                <w:color w:val="000000" w:themeColor="text1"/>
                <w:sz w:val="18"/>
                <w:szCs w:val="18"/>
              </w:rPr>
              <w:t xml:space="preserve">De doeltreffendheid en doelmatigheid van de investeringen worden gemonitord door middel van de bestaande monitor van het Nationaal Programma Groningen. Zie bijvoorbeeld de monitor </w:t>
            </w:r>
            <w:r w:rsidRPr="00B02C05" w:rsidR="009A1525">
              <w:rPr>
                <w:rFonts w:ascii="Verdana" w:hAnsi="Verdana"/>
                <w:color w:val="000000" w:themeColor="text1"/>
                <w:sz w:val="18"/>
                <w:szCs w:val="18"/>
              </w:rPr>
              <w:t xml:space="preserve">2023 (kamerstuk 2023-2024, 33529, nr. 1235). </w:t>
            </w:r>
            <w:r w:rsidRPr="00B02C05">
              <w:rPr>
                <w:rFonts w:ascii="Verdana" w:hAnsi="Verdana"/>
                <w:color w:val="000000" w:themeColor="text1"/>
                <w:sz w:val="18"/>
                <w:szCs w:val="18"/>
              </w:rPr>
              <w:t>Hierin zit de Brede Welvaart Index NPG (BWI-NPG) die bestaat uit een gewogen score van 39 indicatoren uit de Brede Welvaartsmonitor van CBS (zoals rond onderwijs, arbeidsparticipatie, leefbaarheid, investeringen enz</w:t>
            </w:r>
            <w:r w:rsidRPr="00B02C05" w:rsidR="00C4082F">
              <w:rPr>
                <w:rFonts w:ascii="Verdana" w:hAnsi="Verdana"/>
                <w:color w:val="000000" w:themeColor="text1"/>
                <w:sz w:val="18"/>
                <w:szCs w:val="18"/>
              </w:rPr>
              <w:t>.</w:t>
            </w:r>
            <w:r w:rsidRPr="00B02C05">
              <w:rPr>
                <w:rFonts w:ascii="Verdana" w:hAnsi="Verdana"/>
                <w:color w:val="000000" w:themeColor="text1"/>
                <w:sz w:val="18"/>
                <w:szCs w:val="18"/>
              </w:rPr>
              <w:t xml:space="preserve">). Deze monitor zal </w:t>
            </w:r>
            <w:r w:rsidRPr="00B02C05">
              <w:rPr>
                <w:rFonts w:ascii="Verdana" w:hAnsi="Verdana"/>
                <w:color w:val="000000" w:themeColor="text1"/>
                <w:sz w:val="18"/>
                <w:szCs w:val="18"/>
              </w:rPr>
              <w:t>tevens</w:t>
            </w:r>
            <w:r w:rsidRPr="00B02C05">
              <w:rPr>
                <w:rFonts w:ascii="Verdana" w:hAnsi="Verdana"/>
                <w:color w:val="000000" w:themeColor="text1"/>
                <w:sz w:val="18"/>
                <w:szCs w:val="18"/>
              </w:rPr>
              <w:t xml:space="preserve"> gebruikt worden voor de monitoring van de voortgang en </w:t>
            </w:r>
            <w:r w:rsidRPr="00B02C05">
              <w:rPr>
                <w:rFonts w:ascii="Verdana" w:hAnsi="Verdana"/>
                <w:color w:val="000000" w:themeColor="text1"/>
                <w:sz w:val="18"/>
                <w:szCs w:val="18"/>
              </w:rPr>
              <w:t>outcome</w:t>
            </w:r>
            <w:r w:rsidRPr="00B02C05">
              <w:rPr>
                <w:rFonts w:ascii="Verdana" w:hAnsi="Verdana"/>
                <w:color w:val="000000" w:themeColor="text1"/>
                <w:sz w:val="18"/>
                <w:szCs w:val="18"/>
              </w:rPr>
              <w:t xml:space="preserve"> van investeringen in het kader van de jaarlijkse Staat van Groningen. </w:t>
            </w:r>
          </w:p>
          <w:p w:rsidRPr="00B02C05" w:rsidR="00303383" w:rsidP="00303383" w14:paraId="17A3854B" w14:textId="77777777">
            <w:pPr>
              <w:pStyle w:val="NoSpacing"/>
              <w:rPr>
                <w:rFonts w:ascii="Verdana" w:hAnsi="Verdana"/>
                <w:color w:val="000000" w:themeColor="text1"/>
                <w:sz w:val="18"/>
                <w:szCs w:val="18"/>
              </w:rPr>
            </w:pPr>
          </w:p>
          <w:p w:rsidRPr="00B02C05" w:rsidR="00303383" w:rsidP="00303383" w14:paraId="773D55CD" w14:textId="77777777">
            <w:pPr>
              <w:rPr>
                <w:bCs/>
              </w:rPr>
            </w:pPr>
            <w:r w:rsidRPr="00B02C05">
              <w:rPr>
                <w:color w:val="000000" w:themeColor="text1"/>
              </w:rPr>
              <w:t>In de nieuwe uitvoeringsorganisatie wordt ook een 3-</w:t>
            </w:r>
            <w:r w:rsidRPr="00B02C05">
              <w:rPr>
                <w:color w:val="000000" w:themeColor="text1"/>
              </w:rPr>
              <w:t>5 jaarlijks</w:t>
            </w:r>
            <w:r w:rsidRPr="00B02C05">
              <w:rPr>
                <w:color w:val="000000" w:themeColor="text1"/>
              </w:rPr>
              <w:t xml:space="preserve"> evaluatie opgenomen. Tegelijkertijd hebben </w:t>
            </w:r>
            <w:r w:rsidRPr="00B02C05" w:rsidR="000606B7">
              <w:rPr>
                <w:color w:val="000000" w:themeColor="text1"/>
              </w:rPr>
              <w:t>Gemeenter</w:t>
            </w:r>
            <w:r w:rsidRPr="00B02C05">
              <w:rPr>
                <w:color w:val="000000" w:themeColor="text1"/>
              </w:rPr>
              <w:t xml:space="preserve">aden en </w:t>
            </w:r>
            <w:r w:rsidRPr="00B02C05" w:rsidR="000606B7">
              <w:rPr>
                <w:color w:val="000000" w:themeColor="text1"/>
              </w:rPr>
              <w:t xml:space="preserve">Provinciale </w:t>
            </w:r>
            <w:r w:rsidRPr="00B02C05">
              <w:rPr>
                <w:color w:val="000000" w:themeColor="text1"/>
              </w:rPr>
              <w:t xml:space="preserve">Staten jaarlijks de mogelijkheid om (half)jaar rapportages van de GR en stichting in te zien. </w:t>
            </w:r>
            <w:r w:rsidRPr="00B02C05">
              <w:rPr>
                <w:color w:val="000000" w:themeColor="text1"/>
              </w:rPr>
              <w:br/>
            </w:r>
          </w:p>
        </w:tc>
      </w:tr>
    </w:tbl>
    <w:p w:rsidRPr="00B02C05" w:rsidR="00A83518" w:rsidP="00A83518" w14:paraId="463096FA" w14:textId="77777777"/>
    <w:bookmarkEnd w:id="2"/>
    <w:p w:rsidRPr="00B02C05" w:rsidR="00A83518" w:rsidP="00A83518" w14:paraId="511CC24C" w14:textId="77777777"/>
    <w:p w:rsidRPr="00B02C05" w:rsidR="00B050FC" w:rsidP="00B050FC" w14:paraId="5756B067" w14:textId="77777777"/>
    <w:p w:rsidRPr="00B02C05" w:rsidR="00E605C7" w14:paraId="33BA549B" w14:textId="77777777">
      <w:pPr>
        <w:spacing w:line="240" w:lineRule="auto"/>
      </w:pPr>
      <w:r w:rsidRPr="00B02C05">
        <w:br w:type="page"/>
      </w:r>
    </w:p>
    <w:p w:rsidRPr="00B02C05" w:rsidR="00E605C7" w:rsidP="00E605C7" w14:paraId="0E4C9B73" w14:textId="77777777"/>
    <w:p w:rsidRPr="00B02C05" w:rsidR="00E605C7" w:rsidP="00E605C7" w14:paraId="2BF435CA" w14:textId="77777777"/>
    <w:p w:rsidRPr="00B02C05" w:rsidR="00E605C7" w:rsidP="00E605C7" w14:paraId="52C043E6" w14:textId="77777777">
      <w:pPr>
        <w:spacing w:line="240" w:lineRule="auto"/>
      </w:pPr>
    </w:p>
    <w:p w:rsidRPr="00B02C05" w:rsidR="00E605C7" w:rsidP="005266C4" w14:paraId="34F9AD44" w14:textId="77777777">
      <w:pPr>
        <w:rPr>
          <w:b/>
          <w:bCs/>
        </w:rPr>
      </w:pPr>
      <w:r w:rsidRPr="00B02C05">
        <w:rPr>
          <w:b/>
          <w:bCs/>
        </w:rPr>
        <w:t xml:space="preserve">2. </w:t>
      </w:r>
      <w:r w:rsidRPr="00B02C05" w:rsidR="00303383">
        <w:rPr>
          <w:b/>
          <w:bCs/>
        </w:rPr>
        <w:t>Nationaal Programma</w:t>
      </w:r>
      <w:r w:rsidRPr="00B02C05">
        <w:rPr>
          <w:b/>
          <w:bCs/>
        </w:rPr>
        <w:t xml:space="preserve"> Groningen</w:t>
      </w:r>
    </w:p>
    <w:p w:rsidRPr="00B02C05" w:rsidR="00E605C7" w:rsidP="00E605C7" w14:paraId="6978D3F4" w14:textId="77777777">
      <w:pPr>
        <w:pStyle w:val="ListParagraph"/>
        <w:ind w:left="1080"/>
      </w:pPr>
    </w:p>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972"/>
        <w:gridCol w:w="4570"/>
      </w:tblGrid>
      <w:tr w:rsidTr="00625D7D" w14:paraId="38DE1B24" w14:textId="77777777">
        <w:tblPrEx>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B02C05" w:rsidR="00E605C7" w:rsidP="00625D7D" w14:paraId="5B683811" w14:textId="77777777">
            <w:pPr>
              <w:rPr>
                <w:b/>
              </w:rPr>
            </w:pPr>
            <w:r w:rsidRPr="00B02C05">
              <w:rPr>
                <w:b/>
              </w:rPr>
              <w:t xml:space="preserve">Beleidskeuzes uitgelegd </w:t>
            </w:r>
          </w:p>
          <w:p w:rsidRPr="00B02C05" w:rsidR="00E605C7" w:rsidP="00625D7D" w14:paraId="483BCAC1" w14:textId="77777777">
            <w:pPr>
              <w:rPr>
                <w:b/>
              </w:rPr>
            </w:pPr>
          </w:p>
        </w:tc>
      </w:tr>
      <w:tr w:rsidTr="005266C4" w14:paraId="7D053E91" w14:textId="77777777">
        <w:tblPrEx>
          <w:tblW w:w="5004" w:type="pct"/>
          <w:tblInd w:w="-5" w:type="dxa"/>
          <w:shd w:val="clear" w:color="auto" w:fill="DEEAF6"/>
          <w:tblLook w:val="01E0"/>
        </w:tblPrEx>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B02C05" w:rsidR="005266C4" w:rsidP="005266C4" w14:paraId="3BC4036E" w14:textId="77777777">
            <w:pPr>
              <w:rPr>
                <w:b/>
              </w:rPr>
            </w:pPr>
          </w:p>
          <w:p w:rsidRPr="00B02C05" w:rsidR="005266C4" w:rsidP="005266C4" w14:paraId="69C45425" w14:textId="77777777">
            <w:pPr>
              <w:numPr>
                <w:ilvl w:val="0"/>
                <w:numId w:val="25"/>
              </w:numPr>
              <w:rPr>
                <w:b/>
              </w:rPr>
            </w:pPr>
            <w:r w:rsidRPr="00B02C05">
              <w:rPr>
                <w:b/>
              </w:rPr>
              <w:t xml:space="preserve">Doel(en) </w:t>
            </w:r>
          </w:p>
        </w:tc>
        <w:tc>
          <w:tcPr>
            <w:tcW w:w="3006" w:type="pct"/>
            <w:tcBorders>
              <w:top w:val="single" w:color="FFFFFF" w:sz="4" w:space="0"/>
              <w:left w:val="single" w:color="FFFFFF" w:sz="4" w:space="0"/>
              <w:bottom w:val="single" w:color="FFFFFF" w:sz="4" w:space="0"/>
              <w:right w:val="nil"/>
            </w:tcBorders>
            <w:shd w:val="clear" w:color="auto" w:fill="DEEAF6"/>
          </w:tcPr>
          <w:p w:rsidRPr="00B02C05" w:rsidR="005266C4" w:rsidP="005266C4" w14:paraId="2BDD10B2" w14:textId="77777777">
            <w:pPr>
              <w:rPr>
                <w:color w:val="000000" w:themeColor="text1"/>
              </w:rPr>
            </w:pPr>
            <w:bookmarkStart w:name="_Hlk225775656" w:id="6"/>
            <w:r w:rsidRPr="00B02C05">
              <w:rPr>
                <w:color w:val="000000" w:themeColor="text1"/>
              </w:rPr>
              <w:t xml:space="preserve">Door middel van het Nationaal Programma </w:t>
            </w:r>
            <w:r w:rsidRPr="00B02C05" w:rsidR="00C92B9A">
              <w:rPr>
                <w:color w:val="000000" w:themeColor="text1"/>
              </w:rPr>
              <w:t xml:space="preserve">Groningen </w:t>
            </w:r>
            <w:r w:rsidRPr="00B02C05">
              <w:rPr>
                <w:color w:val="000000" w:themeColor="text1"/>
              </w:rPr>
              <w:t xml:space="preserve">(NPG) wordt ingezet op economische structuurversterking in Groningen. </w:t>
            </w:r>
            <w:bookmarkEnd w:id="6"/>
            <w:r w:rsidRPr="00B02C05">
              <w:rPr>
                <w:color w:val="000000" w:themeColor="text1"/>
              </w:rPr>
              <w:t xml:space="preserve">Hiervoor wordt ingezet op vijf zogeheten baanbrekers. Dit zijn vijf programma’s rond waterstof, gezondheid, landbouw, circulaire economie en vrijetijdseconomie. De doelen zijn divers. Voor landbouw gaat het bijvoorbeeld om de transitie in Groningen naar de productie van eiwitrijke gewassen, voor waterstof om de creatie van een keten van producenten en afnemers. </w:t>
            </w:r>
          </w:p>
          <w:p w:rsidRPr="00B02C05" w:rsidR="005266C4" w:rsidP="005266C4" w14:paraId="5AD63CCD" w14:textId="77777777">
            <w:pPr>
              <w:rPr>
                <w:color w:val="000000" w:themeColor="text1"/>
              </w:rPr>
            </w:pPr>
          </w:p>
          <w:p w:rsidRPr="00B02C05" w:rsidR="005266C4" w:rsidP="005266C4" w14:paraId="67E770E4" w14:textId="77777777">
            <w:pPr>
              <w:rPr>
                <w:color w:val="000000" w:themeColor="text1"/>
              </w:rPr>
            </w:pPr>
            <w:r w:rsidRPr="00B02C05">
              <w:rPr>
                <w:color w:val="000000" w:themeColor="text1"/>
              </w:rPr>
              <w:t xml:space="preserve">Ten behoeve van de uitvoering van Nij </w:t>
            </w:r>
            <w:r w:rsidRPr="00B02C05">
              <w:rPr>
                <w:color w:val="000000" w:themeColor="text1"/>
              </w:rPr>
              <w:t>Begun</w:t>
            </w:r>
            <w:r w:rsidRPr="00B02C05">
              <w:rPr>
                <w:color w:val="000000" w:themeColor="text1"/>
              </w:rPr>
              <w:t xml:space="preserve"> is € 1,15 </w:t>
            </w:r>
            <w:r w:rsidRPr="00B02C05" w:rsidR="00C4082F">
              <w:rPr>
                <w:color w:val="000000" w:themeColor="text1"/>
              </w:rPr>
              <w:t xml:space="preserve">miljard </w:t>
            </w:r>
            <w:r w:rsidRPr="00B02C05">
              <w:rPr>
                <w:color w:val="000000" w:themeColor="text1"/>
              </w:rPr>
              <w:t xml:space="preserve">toegezegd aan het NPG. Een deel van deze middelen </w:t>
            </w:r>
            <w:r w:rsidRPr="00B02C05" w:rsidR="00C92B9A">
              <w:rPr>
                <w:color w:val="000000" w:themeColor="text1"/>
              </w:rPr>
              <w:t>zijn in de 1</w:t>
            </w:r>
            <w:r w:rsidRPr="00B02C05" w:rsidR="00C92B9A">
              <w:rPr>
                <w:color w:val="000000" w:themeColor="text1"/>
                <w:vertAlign w:val="superscript"/>
              </w:rPr>
              <w:t>e</w:t>
            </w:r>
            <w:r w:rsidRPr="00B02C05" w:rsidR="00C92B9A">
              <w:rPr>
                <w:color w:val="000000" w:themeColor="text1"/>
              </w:rPr>
              <w:t xml:space="preserve"> suppletoire begroting 2026</w:t>
            </w:r>
            <w:r w:rsidRPr="00B02C05">
              <w:rPr>
                <w:color w:val="000000" w:themeColor="text1"/>
              </w:rPr>
              <w:t xml:space="preserve"> toegevoegd aan de begroting</w:t>
            </w:r>
            <w:r w:rsidRPr="00B02C05" w:rsidR="00C4082F">
              <w:rPr>
                <w:color w:val="000000" w:themeColor="text1"/>
              </w:rPr>
              <w:t xml:space="preserve"> van Binnenlandse Zaken</w:t>
            </w:r>
            <w:r w:rsidRPr="00B02C05">
              <w:rPr>
                <w:color w:val="000000" w:themeColor="text1"/>
              </w:rPr>
              <w:t>.</w:t>
            </w:r>
          </w:p>
          <w:p w:rsidRPr="00B02C05" w:rsidR="005266C4" w:rsidP="005266C4" w14:paraId="34E2D4AA" w14:textId="77777777">
            <w:pPr>
              <w:rPr>
                <w:b/>
              </w:rPr>
            </w:pPr>
          </w:p>
        </w:tc>
      </w:tr>
      <w:tr w:rsidTr="005266C4" w14:paraId="75351EE5" w14:textId="77777777">
        <w:tblPrEx>
          <w:tblW w:w="5004" w:type="pct"/>
          <w:tblInd w:w="-5" w:type="dxa"/>
          <w:shd w:val="clear" w:color="auto" w:fill="DEEAF6"/>
          <w:tblLook w:val="01E0"/>
        </w:tblPrEx>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B02C05" w:rsidR="005266C4" w:rsidP="005266C4" w14:paraId="4D3E4573" w14:textId="77777777">
            <w:pPr>
              <w:rPr>
                <w:b/>
              </w:rPr>
            </w:pPr>
          </w:p>
          <w:p w:rsidRPr="00B02C05" w:rsidR="005266C4" w:rsidP="005266C4" w14:paraId="68FB2185" w14:textId="77777777">
            <w:pPr>
              <w:numPr>
                <w:ilvl w:val="0"/>
                <w:numId w:val="25"/>
              </w:numPr>
              <w:rPr>
                <w:b/>
              </w:rPr>
            </w:pPr>
            <w:r w:rsidRPr="00B02C05">
              <w:rPr>
                <w:b/>
              </w:rPr>
              <w:t>Beleidsinstrument(en)</w:t>
            </w:r>
          </w:p>
        </w:tc>
        <w:tc>
          <w:tcPr>
            <w:tcW w:w="3006" w:type="pct"/>
            <w:tcBorders>
              <w:top w:val="single" w:color="FFFFFF" w:sz="4" w:space="0"/>
              <w:left w:val="single" w:color="FFFFFF" w:sz="4" w:space="0"/>
              <w:bottom w:val="single" w:color="FFFFFF" w:sz="4" w:space="0"/>
              <w:right w:val="nil"/>
            </w:tcBorders>
            <w:shd w:val="clear" w:color="auto" w:fill="DEEAF6"/>
          </w:tcPr>
          <w:p w:rsidRPr="00B02C05" w:rsidR="005266C4" w:rsidP="005266C4" w14:paraId="0541D5DE" w14:textId="77777777">
            <w:pPr>
              <w:pStyle w:val="NoSpacing"/>
              <w:rPr>
                <w:rFonts w:ascii="Verdana" w:hAnsi="Verdana"/>
                <w:color w:val="000000" w:themeColor="text1"/>
                <w:sz w:val="18"/>
                <w:szCs w:val="18"/>
              </w:rPr>
            </w:pPr>
            <w:bookmarkStart w:name="_Hlk225775811" w:id="7"/>
            <w:r w:rsidRPr="00B02C05">
              <w:rPr>
                <w:rFonts w:ascii="Verdana" w:hAnsi="Verdana"/>
                <w:color w:val="000000" w:themeColor="text1"/>
                <w:sz w:val="18"/>
                <w:szCs w:val="18"/>
              </w:rPr>
              <w:t xml:space="preserve">De middelen worden via het NPG met </w:t>
            </w:r>
            <w:r w:rsidRPr="00B02C05" w:rsidR="00C92B9A">
              <w:rPr>
                <w:rFonts w:ascii="Verdana" w:hAnsi="Verdana"/>
                <w:color w:val="000000" w:themeColor="text1"/>
                <w:sz w:val="18"/>
                <w:szCs w:val="18"/>
              </w:rPr>
              <w:t xml:space="preserve">een </w:t>
            </w:r>
            <w:r w:rsidRPr="00B02C05">
              <w:rPr>
                <w:rFonts w:ascii="Verdana" w:hAnsi="Verdana"/>
                <w:color w:val="000000" w:themeColor="text1"/>
                <w:sz w:val="18"/>
                <w:szCs w:val="18"/>
              </w:rPr>
              <w:t xml:space="preserve">specifieke uitkering (SPUK) per programma of project verstrekt aan de betrokken gemeente of provincie. </w:t>
            </w:r>
            <w:bookmarkEnd w:id="7"/>
            <w:r w:rsidRPr="00B02C05">
              <w:rPr>
                <w:rFonts w:ascii="Verdana" w:hAnsi="Verdana"/>
                <w:color w:val="000000" w:themeColor="text1"/>
                <w:sz w:val="18"/>
                <w:szCs w:val="18"/>
              </w:rPr>
              <w:t>De SPUK wordt tweemaal per jaar</w:t>
            </w:r>
            <w:r w:rsidRPr="00B02C05" w:rsidR="00C4082F">
              <w:rPr>
                <w:rFonts w:ascii="Verdana" w:hAnsi="Verdana"/>
                <w:color w:val="000000" w:themeColor="text1"/>
                <w:sz w:val="18"/>
                <w:szCs w:val="18"/>
              </w:rPr>
              <w:t>, namelijk in het voor- en najaar,</w:t>
            </w:r>
            <w:r w:rsidRPr="00B02C05">
              <w:rPr>
                <w:rFonts w:ascii="Verdana" w:hAnsi="Verdana"/>
                <w:color w:val="000000" w:themeColor="text1"/>
                <w:sz w:val="18"/>
                <w:szCs w:val="18"/>
              </w:rPr>
              <w:t xml:space="preserve"> verstrekt aan het NPG. </w:t>
            </w:r>
          </w:p>
          <w:p w:rsidRPr="00B02C05" w:rsidR="005266C4" w:rsidP="005266C4" w14:paraId="49B6645D" w14:textId="77777777">
            <w:pPr>
              <w:rPr>
                <w:bCs/>
              </w:rPr>
            </w:pPr>
          </w:p>
        </w:tc>
      </w:tr>
      <w:tr w:rsidTr="005266C4" w14:paraId="446C1EEF" w14:textId="77777777">
        <w:tblPrEx>
          <w:tblW w:w="5004" w:type="pct"/>
          <w:tblInd w:w="-5" w:type="dxa"/>
          <w:shd w:val="clear" w:color="auto" w:fill="DEEAF6"/>
          <w:tblLook w:val="01E0"/>
        </w:tblPrEx>
        <w:trPr>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B02C05" w:rsidR="005266C4" w:rsidP="005266C4" w14:paraId="11EF329A" w14:textId="77777777">
            <w:pPr>
              <w:rPr>
                <w:bCs/>
              </w:rPr>
            </w:pPr>
          </w:p>
          <w:p w:rsidRPr="00B02C05" w:rsidR="005266C4" w:rsidP="005266C4" w14:paraId="2074F7B8" w14:textId="77777777">
            <w:pPr>
              <w:numPr>
                <w:ilvl w:val="0"/>
                <w:numId w:val="25"/>
              </w:numPr>
              <w:rPr>
                <w:b/>
              </w:rPr>
            </w:pPr>
            <w:r w:rsidRPr="00B02C05">
              <w:rPr>
                <w:b/>
              </w:rPr>
              <w:t>Financiële gevolgen</w:t>
            </w:r>
          </w:p>
          <w:p w:rsidRPr="00B02C05" w:rsidR="005266C4" w:rsidP="005266C4" w14:paraId="4250030B" w14:textId="77777777">
            <w:pPr>
              <w:rPr>
                <w:b/>
              </w:rPr>
            </w:pPr>
          </w:p>
          <w:p w:rsidRPr="00B02C05" w:rsidR="005266C4" w:rsidP="005266C4" w14:paraId="1291957D" w14:textId="77777777">
            <w:pPr>
              <w:rPr>
                <w:b/>
              </w:rPr>
            </w:pPr>
            <w:r w:rsidRPr="00B02C05">
              <w:rPr>
                <w:b/>
              </w:rPr>
              <w:t>A. voor het Rijk</w:t>
            </w:r>
          </w:p>
        </w:tc>
        <w:tc>
          <w:tcPr>
            <w:tcW w:w="3006" w:type="pct"/>
            <w:tcBorders>
              <w:top w:val="single" w:color="FFFFFF" w:sz="4" w:space="0"/>
              <w:left w:val="single" w:color="FFFFFF" w:sz="4" w:space="0"/>
              <w:bottom w:val="single" w:color="FFFFFF" w:sz="4" w:space="0"/>
              <w:right w:val="nil"/>
            </w:tcBorders>
            <w:shd w:val="clear" w:color="auto" w:fill="DEEAF6"/>
          </w:tcPr>
          <w:p w:rsidRPr="00B02C05" w:rsidR="005266C4" w:rsidP="005266C4" w14:paraId="7620A3BD" w14:textId="77777777">
            <w:pPr>
              <w:pStyle w:val="NoSpacing"/>
              <w:rPr>
                <w:rFonts w:ascii="Verdana" w:hAnsi="Verdana"/>
                <w:color w:val="000000" w:themeColor="text1"/>
                <w:sz w:val="18"/>
                <w:szCs w:val="18"/>
              </w:rPr>
            </w:pPr>
          </w:p>
          <w:p w:rsidRPr="00B02C05" w:rsidR="005266C4" w:rsidP="005266C4" w14:paraId="5D3686DD" w14:textId="77777777">
            <w:pPr>
              <w:pStyle w:val="NoSpacing"/>
              <w:rPr>
                <w:rFonts w:ascii="Verdana" w:hAnsi="Verdana"/>
                <w:color w:val="000000" w:themeColor="text1"/>
                <w:sz w:val="18"/>
                <w:szCs w:val="18"/>
              </w:rPr>
            </w:pPr>
          </w:p>
          <w:tbl>
            <w:tblPr>
              <w:tblStyle w:val="TableGrid"/>
              <w:tblW w:w="0" w:type="auto"/>
              <w:tblInd w:w="0" w:type="dxa"/>
              <w:tblLook w:val="04A0"/>
            </w:tblPr>
            <w:tblGrid>
              <w:gridCol w:w="785"/>
              <w:gridCol w:w="751"/>
              <w:gridCol w:w="363"/>
              <w:gridCol w:w="363"/>
              <w:gridCol w:w="363"/>
              <w:gridCol w:w="478"/>
              <w:gridCol w:w="631"/>
              <w:gridCol w:w="610"/>
            </w:tblGrid>
            <w:tr w:rsidTr="00EB07CF" w14:paraId="36EC81B6" w14:textId="77777777">
              <w:tblPrEx>
                <w:tblW w:w="0" w:type="auto"/>
                <w:tblInd w:w="0" w:type="dxa"/>
                <w:tblLook w:val="04A0"/>
              </w:tblPrEx>
              <w:trPr>
                <w:trHeight w:val="725"/>
              </w:trPr>
              <w:tc>
                <w:tcPr>
                  <w:tcW w:w="882" w:type="dxa"/>
                </w:tcPr>
                <w:p w:rsidRPr="00B02C05" w:rsidR="005266C4" w:rsidP="005266C4" w14:paraId="0FE0BA35" w14:textId="77777777">
                  <w:pPr>
                    <w:rPr>
                      <w:rFonts w:eastAsia="Times New Roman" w:cs="Segoe UI"/>
                    </w:rPr>
                  </w:pPr>
                  <w:r w:rsidRPr="00B02C05">
                    <w:rPr>
                      <w:rFonts w:eastAsia="Times New Roman" w:cs="Segoe UI"/>
                    </w:rPr>
                    <w:t xml:space="preserve">Budget </w:t>
                  </w:r>
                </w:p>
                <w:p w:rsidRPr="00B02C05" w:rsidR="005266C4" w:rsidP="005266C4" w14:paraId="3B5448A3" w14:textId="77777777">
                  <w:pPr>
                    <w:rPr>
                      <w:rFonts w:eastAsia="Times New Roman" w:cs="Segoe UI"/>
                      <w:i/>
                      <w:iCs/>
                      <w:color w:val="000000" w:themeColor="text1"/>
                    </w:rPr>
                  </w:pPr>
                  <w:r w:rsidRPr="00B02C05">
                    <w:rPr>
                      <w:rFonts w:eastAsia="Times New Roman" w:cs="Segoe UI"/>
                    </w:rPr>
                    <w:t>(€ mln.)</w:t>
                  </w:r>
                </w:p>
              </w:tc>
              <w:tc>
                <w:tcPr>
                  <w:tcW w:w="915" w:type="dxa"/>
                </w:tcPr>
                <w:p w:rsidRPr="00B02C05" w:rsidR="005266C4" w:rsidP="005266C4" w14:paraId="2B7376B3" w14:textId="77777777">
                  <w:pPr>
                    <w:rPr>
                      <w:rFonts w:eastAsia="Times New Roman" w:cs="Segoe UI"/>
                      <w:i/>
                      <w:iCs/>
                      <w:color w:val="000000" w:themeColor="text1"/>
                    </w:rPr>
                  </w:pPr>
                  <w:r w:rsidRPr="00B02C05">
                    <w:rPr>
                      <w:rFonts w:eastAsia="Times New Roman" w:cs="Segoe UI"/>
                      <w:i/>
                      <w:iCs/>
                      <w:color w:val="000000" w:themeColor="text1"/>
                    </w:rPr>
                    <w:t>totaal</w:t>
                  </w:r>
                </w:p>
              </w:tc>
              <w:tc>
                <w:tcPr>
                  <w:tcW w:w="418" w:type="dxa"/>
                </w:tcPr>
                <w:p w:rsidRPr="00B02C05" w:rsidR="005266C4" w:rsidP="005266C4" w14:paraId="079D7092" w14:textId="77777777">
                  <w:pPr>
                    <w:rPr>
                      <w:rFonts w:eastAsia="Times New Roman" w:cs="Segoe UI"/>
                      <w:i/>
                      <w:iCs/>
                      <w:color w:val="000000" w:themeColor="text1"/>
                    </w:rPr>
                  </w:pPr>
                  <w:r w:rsidRPr="00B02C05">
                    <w:rPr>
                      <w:rFonts w:eastAsia="Times New Roman" w:cs="Segoe UI"/>
                      <w:i/>
                      <w:iCs/>
                      <w:color w:val="000000" w:themeColor="text1"/>
                    </w:rPr>
                    <w:t>‘26</w:t>
                  </w:r>
                </w:p>
              </w:tc>
              <w:tc>
                <w:tcPr>
                  <w:tcW w:w="418" w:type="dxa"/>
                </w:tcPr>
                <w:p w:rsidRPr="00B02C05" w:rsidR="005266C4" w:rsidP="005266C4" w14:paraId="3DF445B7" w14:textId="77777777">
                  <w:pPr>
                    <w:rPr>
                      <w:rFonts w:eastAsia="Times New Roman" w:cs="Segoe UI"/>
                      <w:i/>
                      <w:iCs/>
                      <w:color w:val="000000" w:themeColor="text1"/>
                    </w:rPr>
                  </w:pPr>
                  <w:r w:rsidRPr="00B02C05">
                    <w:rPr>
                      <w:rFonts w:eastAsia="Times New Roman" w:cs="Segoe UI"/>
                      <w:i/>
                      <w:iCs/>
                      <w:color w:val="000000" w:themeColor="text1"/>
                    </w:rPr>
                    <w:t>‘27</w:t>
                  </w:r>
                </w:p>
              </w:tc>
              <w:tc>
                <w:tcPr>
                  <w:tcW w:w="418" w:type="dxa"/>
                </w:tcPr>
                <w:p w:rsidRPr="00B02C05" w:rsidR="005266C4" w:rsidP="005266C4" w14:paraId="5F234B8E" w14:textId="77777777">
                  <w:pPr>
                    <w:rPr>
                      <w:rFonts w:eastAsia="Times New Roman" w:cs="Segoe UI"/>
                      <w:i/>
                      <w:iCs/>
                      <w:color w:val="000000" w:themeColor="text1"/>
                    </w:rPr>
                  </w:pPr>
                  <w:r w:rsidRPr="00B02C05">
                    <w:rPr>
                      <w:rFonts w:eastAsia="Times New Roman" w:cs="Segoe UI"/>
                      <w:i/>
                      <w:iCs/>
                      <w:color w:val="000000" w:themeColor="text1"/>
                    </w:rPr>
                    <w:t>‘28</w:t>
                  </w:r>
                </w:p>
              </w:tc>
              <w:tc>
                <w:tcPr>
                  <w:tcW w:w="617" w:type="dxa"/>
                </w:tcPr>
                <w:p w:rsidRPr="00B02C05" w:rsidR="005266C4" w:rsidP="005266C4" w14:paraId="68166AC3" w14:textId="77777777">
                  <w:pPr>
                    <w:rPr>
                      <w:rFonts w:eastAsia="Times New Roman" w:cs="Segoe UI"/>
                      <w:i/>
                      <w:iCs/>
                      <w:color w:val="000000" w:themeColor="text1"/>
                    </w:rPr>
                  </w:pPr>
                  <w:r w:rsidRPr="00B02C05">
                    <w:rPr>
                      <w:rFonts w:eastAsia="Times New Roman" w:cs="Segoe UI"/>
                      <w:i/>
                      <w:iCs/>
                      <w:color w:val="000000" w:themeColor="text1"/>
                    </w:rPr>
                    <w:t>‘29</w:t>
                  </w:r>
                </w:p>
              </w:tc>
              <w:tc>
                <w:tcPr>
                  <w:tcW w:w="881" w:type="dxa"/>
                </w:tcPr>
                <w:p w:rsidRPr="00B02C05" w:rsidR="005266C4" w:rsidP="005266C4" w14:paraId="3F0AB56C" w14:textId="77777777">
                  <w:pPr>
                    <w:rPr>
                      <w:rFonts w:eastAsia="Times New Roman" w:cs="Segoe UI"/>
                      <w:i/>
                      <w:iCs/>
                      <w:color w:val="000000" w:themeColor="text1"/>
                    </w:rPr>
                  </w:pPr>
                  <w:r w:rsidRPr="00B02C05">
                    <w:rPr>
                      <w:rFonts w:eastAsia="Times New Roman" w:cs="Segoe UI"/>
                      <w:i/>
                      <w:iCs/>
                      <w:color w:val="000000" w:themeColor="text1"/>
                    </w:rPr>
                    <w:t>‘30</w:t>
                  </w:r>
                </w:p>
              </w:tc>
              <w:tc>
                <w:tcPr>
                  <w:tcW w:w="881" w:type="dxa"/>
                </w:tcPr>
                <w:p w:rsidRPr="00B02C05" w:rsidR="005266C4" w:rsidP="005266C4" w14:paraId="18DED05F" w14:textId="77777777">
                  <w:pPr>
                    <w:ind w:left="-78"/>
                    <w:rPr>
                      <w:rFonts w:eastAsia="Times New Roman" w:cs="Segoe UI"/>
                      <w:i/>
                      <w:iCs/>
                      <w:color w:val="000000" w:themeColor="text1"/>
                    </w:rPr>
                  </w:pPr>
                  <w:r w:rsidRPr="00B02C05">
                    <w:rPr>
                      <w:rFonts w:eastAsia="Times New Roman" w:cs="Segoe UI"/>
                      <w:i/>
                      <w:iCs/>
                      <w:color w:val="000000" w:themeColor="text1"/>
                    </w:rPr>
                    <w:t>‘31</w:t>
                  </w:r>
                </w:p>
              </w:tc>
            </w:tr>
            <w:tr w:rsidTr="00EB07CF" w14:paraId="7A41BA58" w14:textId="77777777">
              <w:tblPrEx>
                <w:tblW w:w="0" w:type="auto"/>
                <w:tblInd w:w="0" w:type="dxa"/>
                <w:tblLook w:val="04A0"/>
              </w:tblPrEx>
              <w:trPr>
                <w:trHeight w:val="586"/>
              </w:trPr>
              <w:tc>
                <w:tcPr>
                  <w:tcW w:w="882" w:type="dxa"/>
                </w:tcPr>
                <w:p w:rsidRPr="00B02C05" w:rsidR="005266C4" w:rsidP="005266C4" w14:paraId="2A38FB9C" w14:textId="77777777">
                  <w:pPr>
                    <w:rPr>
                      <w:rFonts w:eastAsia="Times New Roman" w:cs="Segoe UI"/>
                      <w:color w:val="000000" w:themeColor="text1"/>
                    </w:rPr>
                  </w:pPr>
                  <w:r w:rsidRPr="00B02C05">
                    <w:rPr>
                      <w:rFonts w:eastAsia="Times New Roman" w:cs="Segoe UI"/>
                      <w:color w:val="000000" w:themeColor="text1"/>
                    </w:rPr>
                    <w:t>Reeks PEGA</w:t>
                  </w:r>
                </w:p>
              </w:tc>
              <w:tc>
                <w:tcPr>
                  <w:tcW w:w="915" w:type="dxa"/>
                </w:tcPr>
                <w:p w:rsidRPr="00B02C05" w:rsidR="005266C4" w:rsidP="005266C4" w14:paraId="67195700" w14:textId="77777777">
                  <w:pPr>
                    <w:rPr>
                      <w:rFonts w:eastAsia="Times New Roman" w:cs="Segoe UI"/>
                      <w:color w:val="000000" w:themeColor="text1"/>
                    </w:rPr>
                  </w:pPr>
                  <w:r w:rsidRPr="00B02C05">
                    <w:rPr>
                      <w:rFonts w:eastAsia="Times New Roman" w:cs="Segoe UI"/>
                      <w:color w:val="000000" w:themeColor="text1"/>
                    </w:rPr>
                    <w:t>83</w:t>
                  </w:r>
                </w:p>
              </w:tc>
              <w:tc>
                <w:tcPr>
                  <w:tcW w:w="418" w:type="dxa"/>
                </w:tcPr>
                <w:p w:rsidRPr="00B02C05" w:rsidR="005266C4" w:rsidP="005266C4" w14:paraId="522B9834" w14:textId="77777777">
                  <w:pPr>
                    <w:rPr>
                      <w:rFonts w:eastAsia="Times New Roman" w:cs="Segoe UI"/>
                      <w:color w:val="000000" w:themeColor="text1"/>
                    </w:rPr>
                  </w:pPr>
                  <w:r w:rsidRPr="00B02C05">
                    <w:rPr>
                      <w:rFonts w:eastAsia="Times New Roman" w:cs="Segoe UI"/>
                      <w:color w:val="000000" w:themeColor="text1"/>
                    </w:rPr>
                    <w:t>36</w:t>
                  </w:r>
                </w:p>
              </w:tc>
              <w:tc>
                <w:tcPr>
                  <w:tcW w:w="418" w:type="dxa"/>
                </w:tcPr>
                <w:p w:rsidRPr="00B02C05" w:rsidR="005266C4" w:rsidP="005266C4" w14:paraId="6D7AF0BC" w14:textId="77777777">
                  <w:pPr>
                    <w:rPr>
                      <w:rFonts w:eastAsia="Times New Roman" w:cs="Segoe UI"/>
                      <w:color w:val="000000" w:themeColor="text1"/>
                    </w:rPr>
                  </w:pPr>
                </w:p>
              </w:tc>
              <w:tc>
                <w:tcPr>
                  <w:tcW w:w="418" w:type="dxa"/>
                </w:tcPr>
                <w:p w:rsidRPr="00B02C05" w:rsidR="005266C4" w:rsidP="005266C4" w14:paraId="20724114" w14:textId="77777777">
                  <w:pPr>
                    <w:rPr>
                      <w:rFonts w:eastAsia="Times New Roman" w:cs="Segoe UI"/>
                      <w:color w:val="000000" w:themeColor="text1"/>
                    </w:rPr>
                  </w:pPr>
                </w:p>
              </w:tc>
              <w:tc>
                <w:tcPr>
                  <w:tcW w:w="617" w:type="dxa"/>
                </w:tcPr>
                <w:p w:rsidRPr="00B02C05" w:rsidR="005266C4" w:rsidP="005266C4" w14:paraId="5A375B94" w14:textId="77777777">
                  <w:pPr>
                    <w:rPr>
                      <w:rFonts w:eastAsia="Times New Roman" w:cs="Segoe UI"/>
                      <w:color w:val="000000" w:themeColor="text1"/>
                    </w:rPr>
                  </w:pPr>
                </w:p>
              </w:tc>
              <w:tc>
                <w:tcPr>
                  <w:tcW w:w="881" w:type="dxa"/>
                </w:tcPr>
                <w:p w:rsidRPr="00B02C05" w:rsidR="005266C4" w:rsidP="005266C4" w14:paraId="18C12944" w14:textId="77777777">
                  <w:pPr>
                    <w:rPr>
                      <w:rFonts w:eastAsia="Times New Roman" w:cs="Segoe UI"/>
                      <w:color w:val="000000" w:themeColor="text1"/>
                    </w:rPr>
                  </w:pPr>
                  <w:r w:rsidRPr="00B02C05">
                    <w:rPr>
                      <w:rFonts w:eastAsia="Times New Roman" w:cs="Segoe UI"/>
                      <w:color w:val="000000" w:themeColor="text1"/>
                    </w:rPr>
                    <w:t>12</w:t>
                  </w:r>
                </w:p>
              </w:tc>
              <w:tc>
                <w:tcPr>
                  <w:tcW w:w="881" w:type="dxa"/>
                </w:tcPr>
                <w:p w:rsidRPr="00B02C05" w:rsidR="005266C4" w:rsidP="005266C4" w14:paraId="4558C9C7" w14:textId="77777777">
                  <w:pPr>
                    <w:rPr>
                      <w:rFonts w:eastAsia="Times New Roman" w:cs="Segoe UI"/>
                      <w:color w:val="000000" w:themeColor="text1"/>
                    </w:rPr>
                  </w:pPr>
                  <w:r w:rsidRPr="00B02C05">
                    <w:rPr>
                      <w:rFonts w:eastAsia="Times New Roman" w:cs="Segoe UI"/>
                      <w:color w:val="000000" w:themeColor="text1"/>
                    </w:rPr>
                    <w:t>35</w:t>
                  </w:r>
                </w:p>
              </w:tc>
            </w:tr>
          </w:tbl>
          <w:p w:rsidRPr="00B02C05" w:rsidR="005266C4" w:rsidP="005266C4" w14:paraId="4696C71E" w14:textId="77777777">
            <w:pPr>
              <w:pStyle w:val="NoSpacing"/>
              <w:rPr>
                <w:rFonts w:ascii="Verdana" w:hAnsi="Verdana"/>
                <w:color w:val="000000" w:themeColor="text1"/>
                <w:sz w:val="18"/>
                <w:szCs w:val="18"/>
                <w:bdr w:val="none" w:color="auto" w:sz="0" w:space="0" w:frame="1"/>
              </w:rPr>
            </w:pPr>
          </w:p>
          <w:p w:rsidRPr="00B02C05" w:rsidR="005266C4" w:rsidP="005266C4" w14:paraId="21619B33" w14:textId="77777777">
            <w:pPr>
              <w:pStyle w:val="NoSpacing"/>
              <w:numPr>
                <w:ilvl w:val="0"/>
                <w:numId w:val="7"/>
              </w:numPr>
              <w:rPr>
                <w:rFonts w:ascii="Verdana" w:hAnsi="Verdana"/>
                <w:color w:val="000000" w:themeColor="text1"/>
                <w:sz w:val="18"/>
                <w:szCs w:val="18"/>
                <w:bdr w:val="none" w:color="auto" w:sz="0" w:space="0" w:frame="1"/>
              </w:rPr>
            </w:pPr>
            <w:r w:rsidRPr="00B02C05">
              <w:rPr>
                <w:rFonts w:ascii="Verdana" w:hAnsi="Verdana"/>
                <w:color w:val="000000" w:themeColor="text1"/>
                <w:sz w:val="18"/>
                <w:szCs w:val="18"/>
                <w:bdr w:val="none" w:color="auto" w:sz="0" w:space="0" w:frame="1"/>
              </w:rPr>
              <w:t xml:space="preserve">Door bestuurlijke afspraken is vastgelegd dat het NPG € 1,15 </w:t>
            </w:r>
            <w:r w:rsidRPr="00B02C05" w:rsidR="00C4082F">
              <w:rPr>
                <w:rFonts w:ascii="Verdana" w:hAnsi="Verdana"/>
                <w:color w:val="000000" w:themeColor="text1"/>
                <w:sz w:val="18"/>
                <w:szCs w:val="18"/>
                <w:bdr w:val="none" w:color="auto" w:sz="0" w:space="0" w:frame="1"/>
              </w:rPr>
              <w:t xml:space="preserve">miljard </w:t>
            </w:r>
            <w:r w:rsidRPr="00B02C05">
              <w:rPr>
                <w:rFonts w:ascii="Verdana" w:hAnsi="Verdana"/>
                <w:color w:val="000000" w:themeColor="text1"/>
                <w:sz w:val="18"/>
                <w:szCs w:val="18"/>
                <w:bdr w:val="none" w:color="auto" w:sz="0" w:space="0" w:frame="1"/>
              </w:rPr>
              <w:t xml:space="preserve">ontvangt van het Rijk </w:t>
            </w:r>
            <w:r w:rsidRPr="00B02C05">
              <w:rPr>
                <w:rFonts w:ascii="Verdana" w:hAnsi="Verdana"/>
                <w:color w:val="000000" w:themeColor="text1"/>
                <w:sz w:val="18"/>
                <w:szCs w:val="18"/>
                <w:bdr w:val="none" w:color="auto" w:sz="0" w:space="0" w:frame="1"/>
              </w:rPr>
              <w:t>i.h.k.v</w:t>
            </w:r>
            <w:r w:rsidRPr="00B02C05" w:rsidR="00C4082F">
              <w:rPr>
                <w:rFonts w:ascii="Verdana" w:hAnsi="Verdana"/>
                <w:color w:val="000000" w:themeColor="text1"/>
                <w:sz w:val="18"/>
                <w:szCs w:val="18"/>
                <w:bdr w:val="none" w:color="auto" w:sz="0" w:space="0" w:frame="1"/>
              </w:rPr>
              <w:t>.</w:t>
            </w:r>
            <w:r w:rsidRPr="00B02C05">
              <w:rPr>
                <w:rFonts w:ascii="Verdana" w:hAnsi="Verdana"/>
                <w:color w:val="000000" w:themeColor="text1"/>
                <w:sz w:val="18"/>
                <w:szCs w:val="18"/>
                <w:bdr w:val="none" w:color="auto" w:sz="0" w:space="0" w:frame="1"/>
              </w:rPr>
              <w:t xml:space="preserve"> Nij </w:t>
            </w:r>
            <w:r w:rsidRPr="00B02C05">
              <w:rPr>
                <w:rFonts w:ascii="Verdana" w:hAnsi="Verdana"/>
                <w:color w:val="000000" w:themeColor="text1"/>
                <w:sz w:val="18"/>
                <w:szCs w:val="18"/>
                <w:bdr w:val="none" w:color="auto" w:sz="0" w:space="0" w:frame="1"/>
              </w:rPr>
              <w:t>Begun</w:t>
            </w:r>
            <w:r w:rsidRPr="00B02C05">
              <w:rPr>
                <w:rFonts w:ascii="Verdana" w:hAnsi="Verdana"/>
                <w:color w:val="000000" w:themeColor="text1"/>
                <w:sz w:val="18"/>
                <w:szCs w:val="18"/>
                <w:bdr w:val="none" w:color="auto" w:sz="0" w:space="0" w:frame="1"/>
              </w:rPr>
              <w:t xml:space="preserve"> /</w:t>
            </w:r>
            <w:r w:rsidRPr="00B02C05">
              <w:rPr>
                <w:rFonts w:ascii="Verdana" w:hAnsi="Verdana"/>
                <w:color w:val="000000" w:themeColor="text1"/>
                <w:sz w:val="18"/>
                <w:szCs w:val="18"/>
                <w:bdr w:val="none" w:color="auto" w:sz="0" w:space="0" w:frame="1"/>
              </w:rPr>
              <w:t xml:space="preserve"> PEGA. </w:t>
            </w:r>
          </w:p>
          <w:p w:rsidRPr="00B02C05" w:rsidR="00AF60F4" w:rsidP="005266C4" w14:paraId="388BAA13" w14:textId="77777777">
            <w:pPr>
              <w:pStyle w:val="NoSpacing"/>
              <w:numPr>
                <w:ilvl w:val="0"/>
                <w:numId w:val="7"/>
              </w:numPr>
              <w:rPr>
                <w:rFonts w:ascii="Verdana" w:hAnsi="Verdana"/>
                <w:color w:val="000000" w:themeColor="text1"/>
                <w:sz w:val="18"/>
                <w:szCs w:val="18"/>
                <w:bdr w:val="none" w:color="auto" w:sz="0" w:space="0" w:frame="1"/>
              </w:rPr>
            </w:pPr>
            <w:bookmarkStart w:name="_Hlk225775934" w:id="8"/>
            <w:r w:rsidRPr="00B02C05">
              <w:rPr>
                <w:rFonts w:ascii="Verdana" w:hAnsi="Verdana"/>
                <w:color w:val="000000" w:themeColor="text1"/>
                <w:sz w:val="18"/>
                <w:szCs w:val="18"/>
                <w:bdr w:val="none" w:color="auto" w:sz="0" w:space="0" w:frame="1"/>
              </w:rPr>
              <w:t xml:space="preserve">Voor 2027 t/m 2029 stond er reeds voldoende budget </w:t>
            </w:r>
            <w:r w:rsidRPr="00B02C05" w:rsidR="00C92B9A">
              <w:rPr>
                <w:rFonts w:ascii="Verdana" w:hAnsi="Verdana"/>
                <w:color w:val="000000" w:themeColor="text1"/>
                <w:sz w:val="18"/>
                <w:szCs w:val="18"/>
                <w:bdr w:val="none" w:color="auto" w:sz="0" w:space="0" w:frame="1"/>
              </w:rPr>
              <w:t>ge</w:t>
            </w:r>
            <w:r w:rsidRPr="00B02C05">
              <w:rPr>
                <w:rFonts w:ascii="Verdana" w:hAnsi="Verdana"/>
                <w:color w:val="000000" w:themeColor="text1"/>
                <w:sz w:val="18"/>
                <w:szCs w:val="18"/>
                <w:bdr w:val="none" w:color="auto" w:sz="0" w:space="0" w:frame="1"/>
              </w:rPr>
              <w:t>reserveer</w:t>
            </w:r>
            <w:r w:rsidRPr="00B02C05" w:rsidR="00C92B9A">
              <w:rPr>
                <w:rFonts w:ascii="Verdana" w:hAnsi="Verdana"/>
                <w:color w:val="000000" w:themeColor="text1"/>
                <w:sz w:val="18"/>
                <w:szCs w:val="18"/>
                <w:bdr w:val="none" w:color="auto" w:sz="0" w:space="0" w:frame="1"/>
              </w:rPr>
              <w:t>d</w:t>
            </w:r>
            <w:r w:rsidRPr="00B02C05">
              <w:rPr>
                <w:rFonts w:ascii="Verdana" w:hAnsi="Verdana"/>
                <w:color w:val="000000" w:themeColor="text1"/>
                <w:sz w:val="18"/>
                <w:szCs w:val="18"/>
                <w:bdr w:val="none" w:color="auto" w:sz="0" w:space="0" w:frame="1"/>
              </w:rPr>
              <w:t xml:space="preserve"> op de </w:t>
            </w:r>
            <w:r w:rsidRPr="00B02C05">
              <w:rPr>
                <w:rFonts w:ascii="Verdana" w:hAnsi="Verdana"/>
                <w:color w:val="000000" w:themeColor="text1"/>
                <w:sz w:val="18"/>
                <w:szCs w:val="18"/>
                <w:bdr w:val="none" w:color="auto" w:sz="0" w:space="0" w:frame="1"/>
              </w:rPr>
              <w:t>BZK begroting</w:t>
            </w:r>
            <w:r w:rsidRPr="00B02C05">
              <w:rPr>
                <w:rFonts w:ascii="Verdana" w:hAnsi="Verdana"/>
                <w:color w:val="000000" w:themeColor="text1"/>
                <w:sz w:val="18"/>
                <w:szCs w:val="18"/>
                <w:bdr w:val="none" w:color="auto" w:sz="0" w:space="0" w:frame="1"/>
              </w:rPr>
              <w:t>.</w:t>
            </w:r>
          </w:p>
          <w:bookmarkEnd w:id="8"/>
          <w:p w:rsidRPr="00B02C05" w:rsidR="00C70AC3" w:rsidP="005266C4" w14:paraId="61087DBB" w14:textId="77777777">
            <w:pPr>
              <w:pStyle w:val="NoSpacing"/>
              <w:numPr>
                <w:ilvl w:val="0"/>
                <w:numId w:val="7"/>
              </w:numPr>
              <w:rPr>
                <w:rFonts w:ascii="Verdana" w:hAnsi="Verdana"/>
                <w:color w:val="000000" w:themeColor="text1"/>
                <w:sz w:val="18"/>
                <w:szCs w:val="18"/>
                <w:bdr w:val="none" w:color="auto" w:sz="0" w:space="0" w:frame="1"/>
              </w:rPr>
            </w:pPr>
            <w:r w:rsidRPr="00B02C05">
              <w:rPr>
                <w:rFonts w:ascii="Verdana" w:hAnsi="Verdana"/>
                <w:color w:val="000000" w:themeColor="text1"/>
                <w:sz w:val="18"/>
                <w:szCs w:val="18"/>
                <w:bdr w:val="none" w:color="auto" w:sz="0" w:space="0" w:frame="1"/>
              </w:rPr>
              <w:t xml:space="preserve">Voorts heeft het NPG aangegeven in het najaar van 2026 een grote aanvraag te willen doen. </w:t>
            </w:r>
          </w:p>
          <w:p w:rsidRPr="00B02C05" w:rsidR="005266C4" w:rsidP="005266C4" w14:paraId="1DCC5F2E" w14:textId="77777777">
            <w:pPr>
              <w:rPr>
                <w:b/>
              </w:rPr>
            </w:pPr>
          </w:p>
        </w:tc>
      </w:tr>
      <w:tr w:rsidTr="005266C4" w14:paraId="58E73417" w14:textId="77777777">
        <w:tblPrEx>
          <w:tblW w:w="5004" w:type="pct"/>
          <w:tblInd w:w="-5" w:type="dxa"/>
          <w:shd w:val="clear" w:color="auto" w:fill="DEEAF6"/>
          <w:tblLook w:val="01E0"/>
        </w:tblPrEx>
        <w:trPr>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B02C05" w:rsidR="005266C4" w:rsidP="005266C4" w14:paraId="02EB8BA6" w14:textId="77777777">
            <w:pPr>
              <w:rPr>
                <w:bCs/>
              </w:rPr>
            </w:pPr>
          </w:p>
          <w:p w:rsidRPr="00B02C05" w:rsidR="005266C4" w:rsidP="005266C4" w14:paraId="21590419" w14:textId="77777777">
            <w:pPr>
              <w:rPr>
                <w:b/>
              </w:rPr>
            </w:pPr>
            <w:r w:rsidRPr="00B02C05">
              <w:rPr>
                <w:b/>
              </w:rPr>
              <w:t>B. voor maatschappelijke   sectoren</w:t>
            </w:r>
          </w:p>
        </w:tc>
        <w:tc>
          <w:tcPr>
            <w:tcW w:w="3006" w:type="pct"/>
            <w:tcBorders>
              <w:top w:val="single" w:color="FFFFFF" w:sz="4" w:space="0"/>
              <w:left w:val="single" w:color="FFFFFF" w:sz="4" w:space="0"/>
              <w:bottom w:val="single" w:color="FFFFFF" w:sz="4" w:space="0"/>
              <w:right w:val="nil"/>
            </w:tcBorders>
            <w:shd w:val="clear" w:color="auto" w:fill="DEEAF6"/>
          </w:tcPr>
          <w:p w:rsidRPr="00B02C05" w:rsidR="005266C4" w:rsidP="005266C4" w14:paraId="6EFEEDAD" w14:textId="77777777">
            <w:pPr>
              <w:pStyle w:val="NoSpacing"/>
              <w:rPr>
                <w:rFonts w:ascii="Verdana" w:hAnsi="Verdana"/>
                <w:color w:val="000000" w:themeColor="text1"/>
                <w:sz w:val="18"/>
                <w:szCs w:val="18"/>
              </w:rPr>
            </w:pPr>
          </w:p>
          <w:p w:rsidRPr="00B02C05" w:rsidR="005266C4" w:rsidP="005266C4" w14:paraId="44F0F857" w14:textId="77777777">
            <w:pPr>
              <w:pStyle w:val="NoSpacing"/>
              <w:rPr>
                <w:rFonts w:ascii="Verdana" w:hAnsi="Verdana"/>
                <w:color w:val="000000" w:themeColor="text1"/>
                <w:sz w:val="18"/>
                <w:szCs w:val="18"/>
              </w:rPr>
            </w:pPr>
            <w:r w:rsidRPr="00B02C05">
              <w:rPr>
                <w:rFonts w:ascii="Verdana" w:hAnsi="Verdana"/>
                <w:color w:val="000000" w:themeColor="text1"/>
                <w:sz w:val="18"/>
                <w:szCs w:val="18"/>
              </w:rPr>
              <w:t>Niet van toepassing.</w:t>
            </w:r>
          </w:p>
          <w:p w:rsidRPr="00B02C05" w:rsidR="005266C4" w:rsidP="005266C4" w14:paraId="6B73EA0F" w14:textId="77777777">
            <w:pPr>
              <w:rPr>
                <w:bCs/>
              </w:rPr>
            </w:pPr>
          </w:p>
        </w:tc>
      </w:tr>
      <w:tr w:rsidTr="005266C4" w14:paraId="6320C148" w14:textId="77777777">
        <w:tblPrEx>
          <w:tblW w:w="5004" w:type="pct"/>
          <w:tblInd w:w="-5" w:type="dxa"/>
          <w:shd w:val="clear" w:color="auto" w:fill="DEEAF6"/>
          <w:tblLook w:val="01E0"/>
        </w:tblPrEx>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B02C05" w:rsidR="005266C4" w:rsidP="005266C4" w14:paraId="38C62CE6" w14:textId="77777777">
            <w:pPr>
              <w:rPr>
                <w:b/>
              </w:rPr>
            </w:pPr>
          </w:p>
          <w:p w:rsidRPr="00B02C05" w:rsidR="005266C4" w:rsidP="005266C4" w14:paraId="25B54587" w14:textId="77777777">
            <w:pPr>
              <w:numPr>
                <w:ilvl w:val="0"/>
                <w:numId w:val="25"/>
              </w:numPr>
              <w:rPr>
                <w:b/>
              </w:rPr>
            </w:pPr>
            <w:r w:rsidRPr="00B02C05">
              <w:rPr>
                <w:b/>
              </w:rPr>
              <w:t>Nagestreefde doeltreffendheid</w:t>
            </w:r>
          </w:p>
        </w:tc>
        <w:tc>
          <w:tcPr>
            <w:tcW w:w="3006" w:type="pct"/>
            <w:tcBorders>
              <w:top w:val="single" w:color="FFFFFF" w:sz="4" w:space="0"/>
              <w:left w:val="single" w:color="FFFFFF" w:sz="4" w:space="0"/>
              <w:bottom w:val="single" w:color="FFFFFF" w:sz="4" w:space="0"/>
              <w:right w:val="nil"/>
            </w:tcBorders>
            <w:shd w:val="clear" w:color="auto" w:fill="DEEAF6"/>
          </w:tcPr>
          <w:p w:rsidRPr="00B02C05" w:rsidR="005266C4" w:rsidP="005266C4" w14:paraId="36391AF2" w14:textId="77777777">
            <w:pPr>
              <w:pStyle w:val="NoSpacing"/>
              <w:rPr>
                <w:rFonts w:ascii="Verdana" w:hAnsi="Verdana"/>
                <w:color w:val="000000" w:themeColor="text1"/>
                <w:sz w:val="18"/>
                <w:szCs w:val="18"/>
              </w:rPr>
            </w:pPr>
            <w:r w:rsidRPr="00B02C05">
              <w:rPr>
                <w:rFonts w:ascii="Verdana" w:hAnsi="Verdana"/>
                <w:color w:val="000000" w:themeColor="text1"/>
                <w:sz w:val="18"/>
                <w:szCs w:val="18"/>
              </w:rPr>
              <w:t xml:space="preserve">Met de beschikbare middelen kan door het Nationaal Programma Groningen worden geïnvesteerd in programma’s en projecten die merkbare verbeteringen zullen opleveren voor de inwoners van Groningen en Noord-Drenthe. Dit dankzij nieuwe werkgelegenheid, een betere aansluiting van onderwijs-arbeidsmarkt, een verbeterd kwaliteit van de leefomgeving door verduurzaming van de industrie, perspectief voor landbouwbedrijven, het behoud van zorgvoorzieningen en een aantrekkelijke regio voor (private) partijen om te ondernemen en investeren. </w:t>
            </w:r>
          </w:p>
          <w:p w:rsidRPr="00B02C05" w:rsidR="005266C4" w:rsidP="005266C4" w14:paraId="47CB73A8" w14:textId="77777777">
            <w:pPr>
              <w:rPr>
                <w:bCs/>
              </w:rPr>
            </w:pPr>
          </w:p>
        </w:tc>
      </w:tr>
      <w:tr w:rsidTr="005266C4" w14:paraId="31A9B1EF" w14:textId="77777777">
        <w:tblPrEx>
          <w:tblW w:w="5004" w:type="pct"/>
          <w:tblInd w:w="-5" w:type="dxa"/>
          <w:shd w:val="clear" w:color="auto" w:fill="DEEAF6"/>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02C05" w:rsidR="005266C4" w:rsidP="005266C4" w14:paraId="7AA3CB68" w14:textId="77777777">
            <w:pPr>
              <w:rPr>
                <w:b/>
              </w:rPr>
            </w:pPr>
          </w:p>
          <w:p w:rsidRPr="00B02C05" w:rsidR="005266C4" w:rsidP="005266C4" w14:paraId="78BF5654" w14:textId="77777777">
            <w:pPr>
              <w:numPr>
                <w:ilvl w:val="0"/>
                <w:numId w:val="25"/>
              </w:numPr>
              <w:rPr>
                <w:b/>
              </w:rPr>
            </w:pPr>
            <w:r w:rsidRPr="00B02C05">
              <w:rPr>
                <w:b/>
              </w:rPr>
              <w:t>Nagestreefde doelmatigheid</w:t>
            </w:r>
          </w:p>
        </w:tc>
        <w:tc>
          <w:tcPr>
            <w:tcW w:w="3006" w:type="pct"/>
            <w:tcBorders>
              <w:top w:val="single" w:color="FFFFFF" w:sz="4" w:space="0"/>
              <w:left w:val="single" w:color="FFFFFF" w:sz="4" w:space="0"/>
              <w:bottom w:val="single" w:color="FFFFFF" w:sz="4" w:space="0"/>
              <w:right w:val="nil"/>
            </w:tcBorders>
            <w:shd w:val="clear" w:color="auto" w:fill="DEEAF6"/>
          </w:tcPr>
          <w:p w:rsidRPr="00B02C05" w:rsidR="005266C4" w:rsidP="005266C4" w14:paraId="5F5FD6F7" w14:textId="77777777">
            <w:pPr>
              <w:rPr>
                <w:color w:val="000000" w:themeColor="text1"/>
              </w:rPr>
            </w:pPr>
            <w:r w:rsidRPr="00B02C05">
              <w:rPr>
                <w:color w:val="000000" w:themeColor="text1"/>
              </w:rPr>
              <w:t xml:space="preserve">Met het instrument van een specifieke uitkering kunnen </w:t>
            </w:r>
            <w:r w:rsidRPr="00B02C05" w:rsidR="00C70AC3">
              <w:rPr>
                <w:color w:val="000000" w:themeColor="text1"/>
              </w:rPr>
              <w:t xml:space="preserve">doelmatige </w:t>
            </w:r>
            <w:r w:rsidRPr="00B02C05">
              <w:rPr>
                <w:color w:val="000000" w:themeColor="text1"/>
              </w:rPr>
              <w:t>voorstellen op programma</w:t>
            </w:r>
            <w:r w:rsidRPr="00B02C05" w:rsidR="0043260F">
              <w:rPr>
                <w:color w:val="000000" w:themeColor="text1"/>
              </w:rPr>
              <w:t>-</w:t>
            </w:r>
            <w:r w:rsidRPr="00B02C05">
              <w:rPr>
                <w:color w:val="000000" w:themeColor="text1"/>
              </w:rPr>
              <w:t xml:space="preserve"> en projectbasis worden ondersteund. Het biedt het Rijk de mogelijkheid van sturing op de kwaliteit van voorstellen. Projecten worden door een beoordelingscommissie getoetst aan een programmakader. </w:t>
            </w:r>
          </w:p>
          <w:p w:rsidRPr="00B02C05" w:rsidR="00543951" w:rsidP="005266C4" w14:paraId="7AC6A4B5" w14:textId="77777777">
            <w:pPr>
              <w:rPr>
                <w:bCs/>
              </w:rPr>
            </w:pPr>
          </w:p>
        </w:tc>
      </w:tr>
      <w:tr w:rsidTr="005266C4" w14:paraId="5A5C6C59" w14:textId="77777777">
        <w:tblPrEx>
          <w:tblW w:w="5004" w:type="pct"/>
          <w:tblInd w:w="-5" w:type="dxa"/>
          <w:shd w:val="clear" w:color="auto" w:fill="DEEAF6"/>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02C05" w:rsidR="005266C4" w:rsidP="005266C4" w14:paraId="561BF32B" w14:textId="77777777">
            <w:pPr>
              <w:rPr>
                <w:b/>
              </w:rPr>
            </w:pPr>
          </w:p>
          <w:p w:rsidRPr="00B02C05" w:rsidR="005266C4" w:rsidP="005266C4" w14:paraId="094C8E31" w14:textId="77777777">
            <w:pPr>
              <w:numPr>
                <w:ilvl w:val="0"/>
                <w:numId w:val="25"/>
              </w:numPr>
              <w:rPr>
                <w:b/>
              </w:rPr>
            </w:pPr>
            <w:r w:rsidRPr="00B02C05">
              <w:rPr>
                <w:b/>
              </w:rPr>
              <w:t>Evaluatieparagraaf</w:t>
            </w:r>
          </w:p>
        </w:tc>
        <w:tc>
          <w:tcPr>
            <w:tcW w:w="3006" w:type="pct"/>
            <w:tcBorders>
              <w:top w:val="single" w:color="FFFFFF" w:sz="4" w:space="0"/>
              <w:left w:val="single" w:color="FFFFFF" w:sz="4" w:space="0"/>
              <w:bottom w:val="single" w:color="FFFFFF" w:sz="4" w:space="0"/>
              <w:right w:val="nil"/>
            </w:tcBorders>
            <w:shd w:val="clear" w:color="auto" w:fill="DEEAF6"/>
          </w:tcPr>
          <w:p w:rsidRPr="00B02C05" w:rsidR="005266C4" w:rsidP="005266C4" w14:paraId="58F7B1E9" w14:textId="77777777">
            <w:pPr>
              <w:rPr>
                <w:color w:val="000000" w:themeColor="text1"/>
              </w:rPr>
            </w:pPr>
            <w:r w:rsidRPr="00B02C05">
              <w:rPr>
                <w:color w:val="000000" w:themeColor="text1"/>
              </w:rPr>
              <w:t>De doeltreffendheid en doelmatigheid van de investeringen worden gemonitord door middel van de bestaande monitor van het Nationaal Programma Groningen. Zie bijvoorbeeld de monitor van</w:t>
            </w:r>
            <w:r w:rsidRPr="00B02C05" w:rsidR="009A1525">
              <w:rPr>
                <w:color w:val="000000" w:themeColor="text1"/>
              </w:rPr>
              <w:t xml:space="preserve"> 2023 (kamerstuk 2023-2024, 33529, nr. 1235)</w:t>
            </w:r>
            <w:r w:rsidRPr="00B02C05" w:rsidR="00AC1CE3">
              <w:rPr>
                <w:color w:val="000000" w:themeColor="text1"/>
              </w:rPr>
              <w:t>.</w:t>
            </w:r>
            <w:r w:rsidRPr="00B02C05">
              <w:rPr>
                <w:color w:val="000000" w:themeColor="text1"/>
              </w:rPr>
              <w:t xml:space="preserve"> Hierin zit de Brede Welvaart Index NPG (BWI-NPG) die bestaat uit een gewogen score van 39 indicatoren uit de Brede Welvaartsmonitor van CBS (zoals rond onderwijs, arbeidsparticipatie, leefbaarheid, investeringen enz</w:t>
            </w:r>
            <w:r w:rsidRPr="00B02C05" w:rsidR="00C4082F">
              <w:rPr>
                <w:color w:val="000000" w:themeColor="text1"/>
              </w:rPr>
              <w:t>.</w:t>
            </w:r>
            <w:r w:rsidRPr="00B02C05">
              <w:rPr>
                <w:color w:val="000000" w:themeColor="text1"/>
              </w:rPr>
              <w:t xml:space="preserve">). Deze monitor zal </w:t>
            </w:r>
            <w:r w:rsidRPr="00B02C05">
              <w:rPr>
                <w:color w:val="000000" w:themeColor="text1"/>
              </w:rPr>
              <w:t>tevens</w:t>
            </w:r>
            <w:r w:rsidRPr="00B02C05">
              <w:rPr>
                <w:color w:val="000000" w:themeColor="text1"/>
              </w:rPr>
              <w:t xml:space="preserve"> gebruikt worden voor de monitoring van de voortgang en </w:t>
            </w:r>
            <w:r w:rsidRPr="00B02C05">
              <w:rPr>
                <w:color w:val="000000" w:themeColor="text1"/>
              </w:rPr>
              <w:t>outcome</w:t>
            </w:r>
            <w:r w:rsidRPr="00B02C05">
              <w:rPr>
                <w:color w:val="000000" w:themeColor="text1"/>
              </w:rPr>
              <w:t xml:space="preserve"> van investeringen in het kader van de jaarlijkse Staat van Groningen. </w:t>
            </w:r>
          </w:p>
          <w:p w:rsidRPr="00B02C05" w:rsidR="00543951" w:rsidP="005266C4" w14:paraId="317115C1" w14:textId="77777777">
            <w:pPr>
              <w:rPr>
                <w:bCs/>
              </w:rPr>
            </w:pPr>
          </w:p>
        </w:tc>
      </w:tr>
    </w:tbl>
    <w:p w:rsidRPr="00B02C05" w:rsidR="00E605C7" w:rsidP="00E605C7" w14:paraId="26B56701" w14:textId="77777777"/>
    <w:p w:rsidRPr="00B02C05" w:rsidR="00E605C7" w:rsidP="00E605C7" w14:paraId="183D4E95" w14:textId="77777777"/>
    <w:p w:rsidRPr="00B02C05" w:rsidR="00E605C7" w:rsidP="00E605C7" w14:paraId="02FC6CF8" w14:textId="77777777"/>
    <w:p w:rsidRPr="00B02C05" w:rsidR="00E605C7" w:rsidP="00E605C7" w14:paraId="28ED1A78" w14:textId="77777777">
      <w:r w:rsidRPr="00B02C05">
        <w:br w:type="page"/>
      </w:r>
    </w:p>
    <w:p w:rsidRPr="00B02C05" w:rsidR="00E605C7" w:rsidP="00E605C7" w14:paraId="2B1D462A" w14:textId="77777777">
      <w:pPr>
        <w:spacing w:line="240" w:lineRule="auto"/>
      </w:pPr>
    </w:p>
    <w:p w:rsidRPr="00B02C05" w:rsidR="006743C1" w:rsidP="00E605C7" w14:paraId="1D197833" w14:textId="77777777">
      <w:pPr>
        <w:spacing w:line="240" w:lineRule="auto"/>
      </w:pPr>
    </w:p>
    <w:p w:rsidRPr="00B02C05" w:rsidR="006743C1" w:rsidP="00E605C7" w14:paraId="7525062E" w14:textId="77777777">
      <w:pPr>
        <w:spacing w:line="240" w:lineRule="auto"/>
      </w:pPr>
    </w:p>
    <w:p w:rsidRPr="00B02C05" w:rsidR="00303383" w:rsidP="005266C4" w14:paraId="286B01C2" w14:textId="77777777">
      <w:pPr>
        <w:pStyle w:val="ListParagraph"/>
        <w:numPr>
          <w:ilvl w:val="0"/>
          <w:numId w:val="28"/>
        </w:numPr>
        <w:rPr>
          <w:b/>
          <w:bCs/>
        </w:rPr>
      </w:pPr>
      <w:r w:rsidRPr="00B02C05">
        <w:rPr>
          <w:b/>
          <w:bCs/>
        </w:rPr>
        <w:t>Knelpuntenpot</w:t>
      </w:r>
      <w:r w:rsidRPr="00B02C05">
        <w:rPr>
          <w:b/>
          <w:bCs/>
        </w:rPr>
        <w:t xml:space="preserve"> Nationaal Coördinator Groningen (NCG)</w:t>
      </w:r>
    </w:p>
    <w:p w:rsidRPr="00B02C05" w:rsidR="00E605C7" w:rsidP="00E605C7" w14:paraId="2C2F2A72" w14:textId="77777777">
      <w:pPr>
        <w:pStyle w:val="ListParagraph"/>
        <w:ind w:left="1080"/>
      </w:pPr>
    </w:p>
    <w:tbl>
      <w:tblPr>
        <w:tblW w:w="5079"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972"/>
        <w:gridCol w:w="4683"/>
      </w:tblGrid>
      <w:tr w:rsidTr="00992D33" w14:paraId="0F52DEA5" w14:textId="77777777">
        <w:tblPrEx>
          <w:tblW w:w="5079"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B02C05" w:rsidR="00E605C7" w:rsidP="00625D7D" w14:paraId="287C2F62" w14:textId="77777777">
            <w:pPr>
              <w:rPr>
                <w:b/>
              </w:rPr>
            </w:pPr>
            <w:r w:rsidRPr="00B02C05">
              <w:rPr>
                <w:b/>
              </w:rPr>
              <w:t xml:space="preserve">Beleidskeuzes uitgelegd </w:t>
            </w:r>
          </w:p>
          <w:p w:rsidRPr="00B02C05" w:rsidR="00E605C7" w:rsidP="00625D7D" w14:paraId="3F327F85" w14:textId="77777777">
            <w:pPr>
              <w:rPr>
                <w:b/>
              </w:rPr>
            </w:pPr>
          </w:p>
        </w:tc>
      </w:tr>
      <w:tr w:rsidTr="00992D33" w14:paraId="65BCA379" w14:textId="77777777">
        <w:tblPrEx>
          <w:tblW w:w="5079" w:type="pct"/>
          <w:tblInd w:w="-5" w:type="dxa"/>
          <w:shd w:val="clear" w:color="auto" w:fill="DEEAF6"/>
          <w:tblLook w:val="01E0"/>
        </w:tblPrEx>
        <w:trPr>
          <w:trHeight w:val="741"/>
        </w:trPr>
        <w:tc>
          <w:tcPr>
            <w:tcW w:w="1941" w:type="pct"/>
            <w:tcBorders>
              <w:top w:val="single" w:color="FFFFFF" w:sz="4" w:space="0"/>
              <w:left w:val="nil"/>
              <w:bottom w:val="single" w:color="FFFFFF" w:sz="4" w:space="0"/>
              <w:right w:val="single" w:color="FFFFFF" w:sz="4" w:space="0"/>
            </w:tcBorders>
            <w:shd w:val="clear" w:color="auto" w:fill="DEEAF6"/>
          </w:tcPr>
          <w:p w:rsidRPr="00B02C05" w:rsidR="005266C4" w:rsidP="005266C4" w14:paraId="793424CC" w14:textId="77777777">
            <w:pPr>
              <w:rPr>
                <w:b/>
              </w:rPr>
            </w:pPr>
          </w:p>
          <w:p w:rsidRPr="00B02C05" w:rsidR="005266C4" w:rsidP="005266C4" w14:paraId="6074A38A" w14:textId="77777777">
            <w:pPr>
              <w:numPr>
                <w:ilvl w:val="0"/>
                <w:numId w:val="27"/>
              </w:numPr>
              <w:rPr>
                <w:b/>
              </w:rPr>
            </w:pPr>
            <w:r w:rsidRPr="00B02C05">
              <w:rPr>
                <w:b/>
              </w:rPr>
              <w:t xml:space="preserve">Doel(en) </w:t>
            </w:r>
          </w:p>
        </w:tc>
        <w:tc>
          <w:tcPr>
            <w:tcW w:w="3059" w:type="pct"/>
            <w:tcBorders>
              <w:top w:val="single" w:color="FFFFFF" w:sz="4" w:space="0"/>
              <w:left w:val="single" w:color="FFFFFF" w:sz="4" w:space="0"/>
              <w:bottom w:val="single" w:color="FFFFFF" w:sz="4" w:space="0"/>
              <w:right w:val="nil"/>
            </w:tcBorders>
            <w:shd w:val="clear" w:color="auto" w:fill="DEEAF6"/>
          </w:tcPr>
          <w:p w:rsidRPr="00B02C05" w:rsidR="005266C4" w:rsidP="005266C4" w14:paraId="75B2C1AB" w14:textId="77777777">
            <w:pPr>
              <w:rPr>
                <w:b/>
              </w:rPr>
            </w:pPr>
            <w:bookmarkStart w:name="_Hlk225776172" w:id="9"/>
            <w:r w:rsidRPr="00B02C05">
              <w:rPr>
                <w:color w:val="000000" w:themeColor="text1"/>
              </w:rPr>
              <w:t xml:space="preserve">De </w:t>
            </w:r>
            <w:r w:rsidRPr="00B02C05">
              <w:rPr>
                <w:color w:val="000000" w:themeColor="text1"/>
              </w:rPr>
              <w:t>knelpuntenpot</w:t>
            </w:r>
            <w:r w:rsidRPr="00B02C05">
              <w:rPr>
                <w:color w:val="000000" w:themeColor="text1"/>
              </w:rPr>
              <w:t xml:space="preserve"> van NCG is bedoeld om individuele knelpunten die ontstaan tijdens de versterkingsoperatie op te lossen en daarmee versterkingsprojecten te versnellen. </w:t>
            </w:r>
            <w:r w:rsidRPr="00B02C05">
              <w:t xml:space="preserve">Er wordt </w:t>
            </w:r>
            <w:r w:rsidRPr="00B02C05">
              <w:rPr>
                <w:color w:val="000000" w:themeColor="text1"/>
              </w:rPr>
              <w:t>aanvullend budget beschikbaar gesteld om de huidige werkwijze voort te zetten</w:t>
            </w:r>
            <w:bookmarkEnd w:id="9"/>
            <w:r w:rsidRPr="00B02C05">
              <w:rPr>
                <w:color w:val="000000" w:themeColor="text1"/>
              </w:rPr>
              <w:t>, waarmee verdere vertraging in de versterkingsoperatie wordt voorkomen.</w:t>
            </w:r>
            <w:r w:rsidRPr="00B02C05" w:rsidR="00E53573">
              <w:rPr>
                <w:color w:val="000000" w:themeColor="text1"/>
              </w:rPr>
              <w:br/>
            </w:r>
          </w:p>
        </w:tc>
      </w:tr>
      <w:tr w:rsidTr="00992D33" w14:paraId="534DA690" w14:textId="77777777">
        <w:tblPrEx>
          <w:tblW w:w="5079" w:type="pct"/>
          <w:tblInd w:w="-5" w:type="dxa"/>
          <w:shd w:val="clear" w:color="auto" w:fill="DEEAF6"/>
          <w:tblLook w:val="01E0"/>
        </w:tblPrEx>
        <w:trPr>
          <w:trHeight w:val="565"/>
        </w:trPr>
        <w:tc>
          <w:tcPr>
            <w:tcW w:w="1941" w:type="pct"/>
            <w:tcBorders>
              <w:top w:val="single" w:color="FFFFFF" w:sz="4" w:space="0"/>
              <w:left w:val="nil"/>
              <w:bottom w:val="single" w:color="FFFFFF" w:sz="4" w:space="0"/>
              <w:right w:val="single" w:color="FFFFFF" w:sz="4" w:space="0"/>
            </w:tcBorders>
            <w:shd w:val="clear" w:color="auto" w:fill="DEEAF6"/>
          </w:tcPr>
          <w:p w:rsidRPr="00B02C05" w:rsidR="005266C4" w:rsidP="005266C4" w14:paraId="10D83798" w14:textId="77777777">
            <w:pPr>
              <w:rPr>
                <w:b/>
              </w:rPr>
            </w:pPr>
          </w:p>
          <w:p w:rsidRPr="00B02C05" w:rsidR="005266C4" w:rsidP="005266C4" w14:paraId="51D98581" w14:textId="77777777">
            <w:pPr>
              <w:numPr>
                <w:ilvl w:val="0"/>
                <w:numId w:val="27"/>
              </w:numPr>
              <w:rPr>
                <w:b/>
              </w:rPr>
            </w:pPr>
            <w:r w:rsidRPr="00B02C05">
              <w:rPr>
                <w:b/>
              </w:rPr>
              <w:t>Beleidsinstrument(en)</w:t>
            </w:r>
          </w:p>
        </w:tc>
        <w:tc>
          <w:tcPr>
            <w:tcW w:w="3059" w:type="pct"/>
            <w:tcBorders>
              <w:top w:val="single" w:color="FFFFFF" w:sz="4" w:space="0"/>
              <w:left w:val="single" w:color="FFFFFF" w:sz="4" w:space="0"/>
              <w:bottom w:val="single" w:color="FFFFFF" w:sz="4" w:space="0"/>
              <w:right w:val="nil"/>
            </w:tcBorders>
            <w:shd w:val="clear" w:color="auto" w:fill="DEEAF6"/>
          </w:tcPr>
          <w:p w:rsidRPr="00B02C05" w:rsidR="005266C4" w:rsidP="005266C4" w14:paraId="20E3840D" w14:textId="77777777">
            <w:pPr>
              <w:rPr>
                <w:bCs/>
              </w:rPr>
            </w:pPr>
            <w:r w:rsidRPr="00B02C05">
              <w:rPr>
                <w:color w:val="000000" w:themeColor="text1"/>
              </w:rPr>
              <w:t xml:space="preserve">Het budget wordt toegevoegd aan de </w:t>
            </w:r>
            <w:r w:rsidRPr="00B02C05">
              <w:rPr>
                <w:color w:val="000000" w:themeColor="text1"/>
              </w:rPr>
              <w:t>knelpuntenpot</w:t>
            </w:r>
            <w:r w:rsidRPr="00B02C05">
              <w:rPr>
                <w:color w:val="000000" w:themeColor="text1"/>
              </w:rPr>
              <w:t xml:space="preserve"> van NCG. In de planvormingsfase bekijkt NCG of er uitgaven nodig zijn uit de pot. Ook kunnen er uitgaven worden gedaan om onverwachtste knelpunten kortstondig op te lossen tijdens een versterking, bijvoorbeeld via het bewonersbegeleidersmandaat. </w:t>
            </w:r>
            <w:r w:rsidRPr="00B02C05" w:rsidR="00E53573">
              <w:rPr>
                <w:color w:val="000000" w:themeColor="text1"/>
              </w:rPr>
              <w:br/>
            </w:r>
          </w:p>
        </w:tc>
      </w:tr>
      <w:tr w:rsidTr="00992D33" w14:paraId="53F61A49" w14:textId="77777777">
        <w:tblPrEx>
          <w:tblW w:w="5079" w:type="pct"/>
          <w:tblInd w:w="-5" w:type="dxa"/>
          <w:shd w:val="clear" w:color="auto" w:fill="DEEAF6"/>
          <w:tblLook w:val="01E0"/>
        </w:tblPrEx>
        <w:trPr>
          <w:trHeight w:val="655"/>
        </w:trPr>
        <w:tc>
          <w:tcPr>
            <w:tcW w:w="1941" w:type="pct"/>
            <w:tcBorders>
              <w:top w:val="single" w:color="FFFFFF" w:sz="4" w:space="0"/>
              <w:left w:val="nil"/>
              <w:bottom w:val="single" w:color="FFFFFF" w:sz="4" w:space="0"/>
              <w:right w:val="single" w:color="FFFFFF" w:sz="4" w:space="0"/>
            </w:tcBorders>
            <w:shd w:val="clear" w:color="auto" w:fill="DEEAF6"/>
          </w:tcPr>
          <w:p w:rsidRPr="00B02C05" w:rsidR="005266C4" w:rsidP="005266C4" w14:paraId="64FBB2DC" w14:textId="77777777">
            <w:pPr>
              <w:rPr>
                <w:bCs/>
              </w:rPr>
            </w:pPr>
          </w:p>
          <w:p w:rsidRPr="00B02C05" w:rsidR="005266C4" w:rsidP="005266C4" w14:paraId="270985E1" w14:textId="77777777">
            <w:pPr>
              <w:numPr>
                <w:ilvl w:val="0"/>
                <w:numId w:val="27"/>
              </w:numPr>
              <w:rPr>
                <w:b/>
              </w:rPr>
            </w:pPr>
            <w:r w:rsidRPr="00B02C05">
              <w:rPr>
                <w:b/>
              </w:rPr>
              <w:t>Financiële gevolgen</w:t>
            </w:r>
          </w:p>
          <w:p w:rsidRPr="00B02C05" w:rsidR="005266C4" w:rsidP="005266C4" w14:paraId="3361C80E" w14:textId="77777777">
            <w:pPr>
              <w:rPr>
                <w:b/>
              </w:rPr>
            </w:pPr>
          </w:p>
          <w:p w:rsidRPr="00B02C05" w:rsidR="005266C4" w:rsidP="005266C4" w14:paraId="49448738" w14:textId="77777777">
            <w:pPr>
              <w:rPr>
                <w:b/>
              </w:rPr>
            </w:pPr>
            <w:r w:rsidRPr="00B02C05">
              <w:rPr>
                <w:b/>
              </w:rPr>
              <w:t>A. voor het Rijk</w:t>
            </w:r>
          </w:p>
        </w:tc>
        <w:tc>
          <w:tcPr>
            <w:tcW w:w="3059" w:type="pct"/>
            <w:tcBorders>
              <w:top w:val="single" w:color="FFFFFF" w:sz="4" w:space="0"/>
              <w:left w:val="single" w:color="FFFFFF" w:sz="4" w:space="0"/>
              <w:bottom w:val="single" w:color="FFFFFF" w:sz="4" w:space="0"/>
              <w:right w:val="nil"/>
            </w:tcBorders>
            <w:shd w:val="clear" w:color="auto" w:fill="DEEAF6"/>
          </w:tcPr>
          <w:p w:rsidRPr="00B02C05" w:rsidR="005266C4" w:rsidP="005266C4" w14:paraId="650449C8" w14:textId="77777777">
            <w:pPr>
              <w:pStyle w:val="NoSpacing"/>
              <w:rPr>
                <w:rFonts w:ascii="Verdana" w:hAnsi="Verdana"/>
                <w:color w:val="000000" w:themeColor="text1"/>
                <w:sz w:val="18"/>
                <w:szCs w:val="18"/>
              </w:rPr>
            </w:pPr>
          </w:p>
          <w:p w:rsidRPr="00B02C05" w:rsidR="005266C4" w:rsidP="005266C4" w14:paraId="708F60B5" w14:textId="77777777">
            <w:pPr>
              <w:pStyle w:val="NoSpacing"/>
              <w:rPr>
                <w:rFonts w:ascii="Verdana" w:hAnsi="Verdana"/>
                <w:color w:val="000000" w:themeColor="text1"/>
                <w:sz w:val="18"/>
                <w:szCs w:val="18"/>
              </w:rPr>
            </w:pPr>
          </w:p>
          <w:tbl>
            <w:tblPr>
              <w:tblStyle w:val="TableGrid"/>
              <w:tblW w:w="0" w:type="auto"/>
              <w:tblInd w:w="0" w:type="dxa"/>
              <w:tblLook w:val="04A0"/>
            </w:tblPr>
            <w:tblGrid>
              <w:gridCol w:w="1699"/>
              <w:gridCol w:w="614"/>
              <w:gridCol w:w="340"/>
              <w:gridCol w:w="340"/>
              <w:gridCol w:w="340"/>
              <w:gridCol w:w="363"/>
              <w:gridCol w:w="412"/>
              <w:gridCol w:w="349"/>
            </w:tblGrid>
            <w:tr w:rsidTr="00EB07CF" w14:paraId="41EC647B" w14:textId="77777777">
              <w:tblPrEx>
                <w:tblW w:w="0" w:type="auto"/>
                <w:tblInd w:w="0" w:type="dxa"/>
                <w:tblLook w:val="04A0"/>
              </w:tblPrEx>
              <w:trPr>
                <w:trHeight w:val="725"/>
              </w:trPr>
              <w:tc>
                <w:tcPr>
                  <w:tcW w:w="1852" w:type="dxa"/>
                </w:tcPr>
                <w:p w:rsidRPr="00B02C05" w:rsidR="005266C4" w:rsidP="005266C4" w14:paraId="477E04E7" w14:textId="77777777">
                  <w:pPr>
                    <w:rPr>
                      <w:rFonts w:eastAsia="Times New Roman" w:cs="Segoe UI"/>
                    </w:rPr>
                  </w:pPr>
                  <w:r w:rsidRPr="00B02C05">
                    <w:rPr>
                      <w:rFonts w:eastAsia="Times New Roman" w:cs="Segoe UI"/>
                    </w:rPr>
                    <w:t xml:space="preserve">Budget </w:t>
                  </w:r>
                </w:p>
                <w:p w:rsidRPr="00B02C05" w:rsidR="005266C4" w:rsidP="005266C4" w14:paraId="488EE337" w14:textId="77777777">
                  <w:pPr>
                    <w:rPr>
                      <w:rFonts w:eastAsia="Times New Roman" w:cs="Segoe UI"/>
                      <w:i/>
                      <w:iCs/>
                      <w:color w:val="000000" w:themeColor="text1"/>
                    </w:rPr>
                  </w:pPr>
                  <w:r w:rsidRPr="00B02C05">
                    <w:rPr>
                      <w:rFonts w:eastAsia="Times New Roman" w:cs="Segoe UI"/>
                    </w:rPr>
                    <w:t>(€ mln.)</w:t>
                  </w:r>
                </w:p>
              </w:tc>
              <w:tc>
                <w:tcPr>
                  <w:tcW w:w="865" w:type="dxa"/>
                </w:tcPr>
                <w:p w:rsidRPr="00B02C05" w:rsidR="005266C4" w:rsidP="005266C4" w14:paraId="2CAF91E5" w14:textId="77777777">
                  <w:pPr>
                    <w:rPr>
                      <w:rFonts w:eastAsia="Times New Roman" w:cs="Segoe UI"/>
                      <w:i/>
                      <w:iCs/>
                      <w:color w:val="000000" w:themeColor="text1"/>
                    </w:rPr>
                  </w:pPr>
                  <w:r w:rsidRPr="00B02C05">
                    <w:rPr>
                      <w:rFonts w:eastAsia="Times New Roman" w:cs="Segoe UI"/>
                      <w:i/>
                      <w:iCs/>
                      <w:color w:val="000000" w:themeColor="text1"/>
                    </w:rPr>
                    <w:t>totaal</w:t>
                  </w:r>
                </w:p>
              </w:tc>
              <w:tc>
                <w:tcPr>
                  <w:tcW w:w="494" w:type="dxa"/>
                </w:tcPr>
                <w:p w:rsidRPr="00B02C05" w:rsidR="005266C4" w:rsidP="005266C4" w14:paraId="667CBAA8" w14:textId="77777777">
                  <w:pPr>
                    <w:rPr>
                      <w:rFonts w:eastAsia="Times New Roman" w:cs="Segoe UI"/>
                      <w:i/>
                      <w:iCs/>
                      <w:color w:val="000000" w:themeColor="text1"/>
                    </w:rPr>
                  </w:pPr>
                  <w:r w:rsidRPr="00B02C05">
                    <w:rPr>
                      <w:rFonts w:eastAsia="Times New Roman" w:cs="Segoe UI"/>
                      <w:i/>
                      <w:iCs/>
                      <w:color w:val="000000" w:themeColor="text1"/>
                    </w:rPr>
                    <w:t>‘26</w:t>
                  </w:r>
                </w:p>
              </w:tc>
              <w:tc>
                <w:tcPr>
                  <w:tcW w:w="494" w:type="dxa"/>
                </w:tcPr>
                <w:p w:rsidRPr="00B02C05" w:rsidR="005266C4" w:rsidP="005266C4" w14:paraId="5A11AF46" w14:textId="77777777">
                  <w:pPr>
                    <w:rPr>
                      <w:rFonts w:eastAsia="Times New Roman" w:cs="Segoe UI"/>
                      <w:i/>
                      <w:iCs/>
                      <w:color w:val="000000" w:themeColor="text1"/>
                    </w:rPr>
                  </w:pPr>
                  <w:r w:rsidRPr="00B02C05">
                    <w:rPr>
                      <w:rFonts w:eastAsia="Times New Roman" w:cs="Segoe UI"/>
                      <w:i/>
                      <w:iCs/>
                      <w:color w:val="000000" w:themeColor="text1"/>
                    </w:rPr>
                    <w:t>‘27</w:t>
                  </w:r>
                </w:p>
              </w:tc>
              <w:tc>
                <w:tcPr>
                  <w:tcW w:w="494" w:type="dxa"/>
                </w:tcPr>
                <w:p w:rsidRPr="00B02C05" w:rsidR="005266C4" w:rsidP="005266C4" w14:paraId="737DEE03" w14:textId="77777777">
                  <w:pPr>
                    <w:rPr>
                      <w:rFonts w:eastAsia="Times New Roman" w:cs="Segoe UI"/>
                      <w:i/>
                      <w:iCs/>
                      <w:color w:val="000000" w:themeColor="text1"/>
                    </w:rPr>
                  </w:pPr>
                  <w:r w:rsidRPr="00B02C05">
                    <w:rPr>
                      <w:rFonts w:eastAsia="Times New Roman" w:cs="Segoe UI"/>
                      <w:i/>
                      <w:iCs/>
                      <w:color w:val="000000" w:themeColor="text1"/>
                    </w:rPr>
                    <w:t>‘28</w:t>
                  </w:r>
                </w:p>
              </w:tc>
              <w:tc>
                <w:tcPr>
                  <w:tcW w:w="583" w:type="dxa"/>
                </w:tcPr>
                <w:p w:rsidRPr="00B02C05" w:rsidR="005266C4" w:rsidP="005266C4" w14:paraId="4120E446" w14:textId="77777777">
                  <w:pPr>
                    <w:rPr>
                      <w:rFonts w:eastAsia="Times New Roman" w:cs="Segoe UI"/>
                      <w:i/>
                      <w:iCs/>
                      <w:color w:val="000000" w:themeColor="text1"/>
                    </w:rPr>
                  </w:pPr>
                  <w:r w:rsidRPr="00B02C05">
                    <w:rPr>
                      <w:rFonts w:eastAsia="Times New Roman" w:cs="Segoe UI"/>
                      <w:i/>
                      <w:iCs/>
                      <w:color w:val="000000" w:themeColor="text1"/>
                    </w:rPr>
                    <w:t>‘29</w:t>
                  </w:r>
                </w:p>
              </w:tc>
              <w:tc>
                <w:tcPr>
                  <w:tcW w:w="775" w:type="dxa"/>
                </w:tcPr>
                <w:p w:rsidRPr="00B02C05" w:rsidR="005266C4" w:rsidP="005266C4" w14:paraId="25E21C96" w14:textId="77777777">
                  <w:pPr>
                    <w:rPr>
                      <w:rFonts w:eastAsia="Times New Roman" w:cs="Segoe UI"/>
                      <w:i/>
                      <w:iCs/>
                      <w:color w:val="000000" w:themeColor="text1"/>
                    </w:rPr>
                  </w:pPr>
                  <w:r w:rsidRPr="00B02C05">
                    <w:rPr>
                      <w:rFonts w:eastAsia="Times New Roman" w:cs="Segoe UI"/>
                      <w:i/>
                      <w:iCs/>
                      <w:color w:val="000000" w:themeColor="text1"/>
                    </w:rPr>
                    <w:t>‘30</w:t>
                  </w:r>
                </w:p>
              </w:tc>
              <w:tc>
                <w:tcPr>
                  <w:tcW w:w="754" w:type="dxa"/>
                </w:tcPr>
                <w:p w:rsidRPr="00B02C05" w:rsidR="005266C4" w:rsidP="005266C4" w14:paraId="6E6F6115" w14:textId="77777777">
                  <w:pPr>
                    <w:ind w:left="-78"/>
                    <w:rPr>
                      <w:rFonts w:eastAsia="Times New Roman" w:cs="Segoe UI"/>
                      <w:i/>
                      <w:iCs/>
                      <w:color w:val="000000" w:themeColor="text1"/>
                    </w:rPr>
                  </w:pPr>
                  <w:r w:rsidRPr="00B02C05">
                    <w:rPr>
                      <w:rFonts w:eastAsia="Times New Roman" w:cs="Segoe UI"/>
                      <w:i/>
                      <w:iCs/>
                      <w:color w:val="000000" w:themeColor="text1"/>
                    </w:rPr>
                    <w:t>‘31</w:t>
                  </w:r>
                </w:p>
              </w:tc>
            </w:tr>
            <w:tr w:rsidTr="00EB07CF" w14:paraId="5DF474FE" w14:textId="77777777">
              <w:tblPrEx>
                <w:tblW w:w="0" w:type="auto"/>
                <w:tblInd w:w="0" w:type="dxa"/>
                <w:tblLook w:val="04A0"/>
              </w:tblPrEx>
              <w:trPr>
                <w:trHeight w:val="586"/>
              </w:trPr>
              <w:tc>
                <w:tcPr>
                  <w:tcW w:w="1852" w:type="dxa"/>
                </w:tcPr>
                <w:p w:rsidRPr="00B02C05" w:rsidR="005266C4" w:rsidP="005266C4" w14:paraId="24D79448" w14:textId="77777777">
                  <w:pPr>
                    <w:rPr>
                      <w:rFonts w:eastAsia="Times New Roman" w:cs="Segoe UI"/>
                      <w:color w:val="000000" w:themeColor="text1"/>
                    </w:rPr>
                  </w:pPr>
                  <w:r w:rsidRPr="00B02C05">
                    <w:rPr>
                      <w:rFonts w:eastAsia="Times New Roman" w:cs="Segoe UI"/>
                      <w:color w:val="000000" w:themeColor="text1"/>
                    </w:rPr>
                    <w:t>Knelpunten schadevergoeding</w:t>
                  </w:r>
                </w:p>
              </w:tc>
              <w:tc>
                <w:tcPr>
                  <w:tcW w:w="865" w:type="dxa"/>
                </w:tcPr>
                <w:p w:rsidRPr="00B02C05" w:rsidR="005266C4" w:rsidP="005266C4" w14:paraId="7D606093" w14:textId="77777777">
                  <w:pPr>
                    <w:rPr>
                      <w:rFonts w:eastAsia="Times New Roman" w:cs="Segoe UI"/>
                      <w:color w:val="000000" w:themeColor="text1"/>
                    </w:rPr>
                  </w:pPr>
                  <w:r w:rsidRPr="00B02C05">
                    <w:rPr>
                      <w:rFonts w:eastAsia="Times New Roman" w:cs="Segoe UI"/>
                      <w:color w:val="000000" w:themeColor="text1"/>
                    </w:rPr>
                    <w:t>57</w:t>
                  </w:r>
                </w:p>
              </w:tc>
              <w:tc>
                <w:tcPr>
                  <w:tcW w:w="494" w:type="dxa"/>
                </w:tcPr>
                <w:p w:rsidRPr="00B02C05" w:rsidR="005266C4" w:rsidP="005266C4" w14:paraId="7565E01C" w14:textId="77777777">
                  <w:pPr>
                    <w:rPr>
                      <w:rFonts w:eastAsia="Times New Roman" w:cs="Segoe UI"/>
                      <w:color w:val="000000" w:themeColor="text1"/>
                    </w:rPr>
                  </w:pPr>
                  <w:r w:rsidRPr="00B02C05">
                    <w:rPr>
                      <w:rFonts w:eastAsia="Times New Roman" w:cs="Segoe UI"/>
                      <w:color w:val="000000" w:themeColor="text1"/>
                    </w:rPr>
                    <w:t>25</w:t>
                  </w:r>
                </w:p>
              </w:tc>
              <w:tc>
                <w:tcPr>
                  <w:tcW w:w="494" w:type="dxa"/>
                </w:tcPr>
                <w:p w:rsidRPr="00B02C05" w:rsidR="005266C4" w:rsidP="005266C4" w14:paraId="605383FC" w14:textId="77777777">
                  <w:pPr>
                    <w:rPr>
                      <w:rFonts w:eastAsia="Times New Roman" w:cs="Segoe UI"/>
                      <w:color w:val="000000" w:themeColor="text1"/>
                    </w:rPr>
                  </w:pPr>
                  <w:r w:rsidRPr="00B02C05">
                    <w:rPr>
                      <w:rFonts w:eastAsia="Times New Roman" w:cs="Segoe UI"/>
                      <w:color w:val="000000" w:themeColor="text1"/>
                    </w:rPr>
                    <w:t>23</w:t>
                  </w:r>
                </w:p>
              </w:tc>
              <w:tc>
                <w:tcPr>
                  <w:tcW w:w="494" w:type="dxa"/>
                </w:tcPr>
                <w:p w:rsidRPr="00B02C05" w:rsidR="005266C4" w:rsidP="005266C4" w14:paraId="7EFB5773" w14:textId="77777777">
                  <w:pPr>
                    <w:rPr>
                      <w:rFonts w:eastAsia="Times New Roman" w:cs="Segoe UI"/>
                      <w:color w:val="000000" w:themeColor="text1"/>
                    </w:rPr>
                  </w:pPr>
                  <w:r w:rsidRPr="00B02C05">
                    <w:rPr>
                      <w:rFonts w:eastAsia="Times New Roman" w:cs="Segoe UI"/>
                      <w:color w:val="000000" w:themeColor="text1"/>
                    </w:rPr>
                    <w:t>7</w:t>
                  </w:r>
                </w:p>
              </w:tc>
              <w:tc>
                <w:tcPr>
                  <w:tcW w:w="583" w:type="dxa"/>
                </w:tcPr>
                <w:p w:rsidRPr="00B02C05" w:rsidR="005266C4" w:rsidP="005266C4" w14:paraId="0B56CF1E" w14:textId="77777777">
                  <w:pPr>
                    <w:rPr>
                      <w:rFonts w:eastAsia="Times New Roman" w:cs="Segoe UI"/>
                      <w:color w:val="000000" w:themeColor="text1"/>
                    </w:rPr>
                  </w:pPr>
                  <w:r w:rsidRPr="00B02C05">
                    <w:rPr>
                      <w:rFonts w:eastAsia="Times New Roman" w:cs="Segoe UI"/>
                      <w:color w:val="000000" w:themeColor="text1"/>
                    </w:rPr>
                    <w:t>2</w:t>
                  </w:r>
                </w:p>
              </w:tc>
              <w:tc>
                <w:tcPr>
                  <w:tcW w:w="775" w:type="dxa"/>
                </w:tcPr>
                <w:p w:rsidRPr="00B02C05" w:rsidR="005266C4" w:rsidP="005266C4" w14:paraId="1C545A96" w14:textId="77777777">
                  <w:pPr>
                    <w:rPr>
                      <w:rFonts w:eastAsia="Times New Roman" w:cs="Segoe UI"/>
                      <w:color w:val="000000" w:themeColor="text1"/>
                    </w:rPr>
                  </w:pPr>
                </w:p>
              </w:tc>
              <w:tc>
                <w:tcPr>
                  <w:tcW w:w="754" w:type="dxa"/>
                </w:tcPr>
                <w:p w:rsidRPr="00B02C05" w:rsidR="005266C4" w:rsidP="005266C4" w14:paraId="6B23F82B" w14:textId="77777777">
                  <w:pPr>
                    <w:rPr>
                      <w:rFonts w:eastAsia="Times New Roman" w:cs="Segoe UI"/>
                      <w:color w:val="000000" w:themeColor="text1"/>
                    </w:rPr>
                  </w:pPr>
                </w:p>
              </w:tc>
            </w:tr>
            <w:tr w:rsidTr="00EB07CF" w14:paraId="30A5128A" w14:textId="77777777">
              <w:tblPrEx>
                <w:tblW w:w="0" w:type="auto"/>
                <w:tblInd w:w="0" w:type="dxa"/>
                <w:tblLook w:val="04A0"/>
              </w:tblPrEx>
              <w:trPr>
                <w:trHeight w:val="586"/>
              </w:trPr>
              <w:tc>
                <w:tcPr>
                  <w:tcW w:w="1852" w:type="dxa"/>
                </w:tcPr>
                <w:p w:rsidRPr="00B02C05" w:rsidR="005266C4" w:rsidP="005266C4" w14:paraId="0639195B" w14:textId="77777777">
                  <w:pPr>
                    <w:rPr>
                      <w:rFonts w:eastAsia="Times New Roman" w:cs="Segoe UI"/>
                      <w:color w:val="000000" w:themeColor="text1"/>
                    </w:rPr>
                  </w:pPr>
                  <w:r w:rsidRPr="00B02C05">
                    <w:rPr>
                      <w:rFonts w:eastAsia="Times New Roman" w:cs="Segoe UI"/>
                      <w:color w:val="000000" w:themeColor="text1"/>
                    </w:rPr>
                    <w:t>Knelpunten opdrachten</w:t>
                  </w:r>
                </w:p>
              </w:tc>
              <w:tc>
                <w:tcPr>
                  <w:tcW w:w="865" w:type="dxa"/>
                </w:tcPr>
                <w:p w:rsidRPr="00B02C05" w:rsidR="005266C4" w:rsidP="005266C4" w14:paraId="578E6CCF" w14:textId="77777777">
                  <w:pPr>
                    <w:rPr>
                      <w:rFonts w:eastAsia="Times New Roman" w:cs="Segoe UI"/>
                      <w:color w:val="000000" w:themeColor="text1"/>
                    </w:rPr>
                  </w:pPr>
                  <w:r w:rsidRPr="00B02C05">
                    <w:rPr>
                      <w:rFonts w:eastAsia="Times New Roman" w:cs="Segoe UI"/>
                      <w:color w:val="000000" w:themeColor="text1"/>
                    </w:rPr>
                    <w:t>40</w:t>
                  </w:r>
                </w:p>
              </w:tc>
              <w:tc>
                <w:tcPr>
                  <w:tcW w:w="494" w:type="dxa"/>
                </w:tcPr>
                <w:p w:rsidRPr="00B02C05" w:rsidR="005266C4" w:rsidP="005266C4" w14:paraId="0DF1163F" w14:textId="77777777">
                  <w:pPr>
                    <w:rPr>
                      <w:rFonts w:eastAsia="Times New Roman" w:cs="Segoe UI"/>
                      <w:color w:val="000000" w:themeColor="text1"/>
                    </w:rPr>
                  </w:pPr>
                  <w:r w:rsidRPr="00B02C05">
                    <w:rPr>
                      <w:rFonts w:eastAsia="Times New Roman" w:cs="Segoe UI"/>
                      <w:color w:val="000000" w:themeColor="text1"/>
                    </w:rPr>
                    <w:t>7</w:t>
                  </w:r>
                </w:p>
              </w:tc>
              <w:tc>
                <w:tcPr>
                  <w:tcW w:w="494" w:type="dxa"/>
                </w:tcPr>
                <w:p w:rsidRPr="00B02C05" w:rsidR="005266C4" w:rsidP="005266C4" w14:paraId="74EF2894" w14:textId="77777777">
                  <w:pPr>
                    <w:rPr>
                      <w:rFonts w:eastAsia="Times New Roman" w:cs="Segoe UI"/>
                      <w:color w:val="000000" w:themeColor="text1"/>
                    </w:rPr>
                  </w:pPr>
                  <w:r w:rsidRPr="00B02C05">
                    <w:rPr>
                      <w:rFonts w:eastAsia="Times New Roman" w:cs="Segoe UI"/>
                      <w:color w:val="000000" w:themeColor="text1"/>
                    </w:rPr>
                    <w:t>9</w:t>
                  </w:r>
                </w:p>
              </w:tc>
              <w:tc>
                <w:tcPr>
                  <w:tcW w:w="494" w:type="dxa"/>
                </w:tcPr>
                <w:p w:rsidRPr="00B02C05" w:rsidR="005266C4" w:rsidP="005266C4" w14:paraId="15F4B0BA" w14:textId="77777777">
                  <w:pPr>
                    <w:rPr>
                      <w:rFonts w:eastAsia="Times New Roman" w:cs="Segoe UI"/>
                      <w:color w:val="000000" w:themeColor="text1"/>
                    </w:rPr>
                  </w:pPr>
                  <w:r w:rsidRPr="00B02C05">
                    <w:rPr>
                      <w:rFonts w:eastAsia="Times New Roman" w:cs="Segoe UI"/>
                      <w:color w:val="000000" w:themeColor="text1"/>
                    </w:rPr>
                    <w:t>9</w:t>
                  </w:r>
                </w:p>
              </w:tc>
              <w:tc>
                <w:tcPr>
                  <w:tcW w:w="583" w:type="dxa"/>
                </w:tcPr>
                <w:p w:rsidRPr="00B02C05" w:rsidR="005266C4" w:rsidP="005266C4" w14:paraId="672C85E4" w14:textId="77777777">
                  <w:pPr>
                    <w:rPr>
                      <w:rFonts w:eastAsia="Times New Roman" w:cs="Segoe UI"/>
                      <w:color w:val="000000" w:themeColor="text1"/>
                    </w:rPr>
                  </w:pPr>
                  <w:r w:rsidRPr="00B02C05">
                    <w:rPr>
                      <w:rFonts w:eastAsia="Times New Roman" w:cs="Segoe UI"/>
                      <w:color w:val="000000" w:themeColor="text1"/>
                    </w:rPr>
                    <w:t>7</w:t>
                  </w:r>
                </w:p>
              </w:tc>
              <w:tc>
                <w:tcPr>
                  <w:tcW w:w="775" w:type="dxa"/>
                </w:tcPr>
                <w:p w:rsidRPr="00B02C05" w:rsidR="005266C4" w:rsidP="005266C4" w14:paraId="3219701E" w14:textId="77777777">
                  <w:pPr>
                    <w:rPr>
                      <w:rFonts w:eastAsia="Times New Roman" w:cs="Segoe UI"/>
                      <w:color w:val="000000" w:themeColor="text1"/>
                    </w:rPr>
                  </w:pPr>
                  <w:r w:rsidRPr="00B02C05">
                    <w:rPr>
                      <w:rFonts w:eastAsia="Times New Roman" w:cs="Segoe UI"/>
                      <w:color w:val="000000" w:themeColor="text1"/>
                    </w:rPr>
                    <w:t>5</w:t>
                  </w:r>
                </w:p>
              </w:tc>
              <w:tc>
                <w:tcPr>
                  <w:tcW w:w="754" w:type="dxa"/>
                </w:tcPr>
                <w:p w:rsidRPr="00B02C05" w:rsidR="005266C4" w:rsidP="005266C4" w14:paraId="14EF0525" w14:textId="77777777">
                  <w:pPr>
                    <w:rPr>
                      <w:rFonts w:eastAsia="Times New Roman" w:cs="Segoe UI"/>
                      <w:color w:val="000000" w:themeColor="text1"/>
                    </w:rPr>
                  </w:pPr>
                  <w:r w:rsidRPr="00B02C05">
                    <w:rPr>
                      <w:rFonts w:eastAsia="Times New Roman" w:cs="Segoe UI"/>
                      <w:color w:val="000000" w:themeColor="text1"/>
                    </w:rPr>
                    <w:t>3</w:t>
                  </w:r>
                </w:p>
              </w:tc>
            </w:tr>
          </w:tbl>
          <w:p w:rsidRPr="00B02C05" w:rsidR="005266C4" w:rsidP="005266C4" w14:paraId="47C51784" w14:textId="77777777">
            <w:pPr>
              <w:pStyle w:val="NoSpacing"/>
              <w:rPr>
                <w:rFonts w:ascii="Verdana" w:hAnsi="Verdana"/>
                <w:color w:val="000000" w:themeColor="text1"/>
                <w:sz w:val="18"/>
                <w:szCs w:val="18"/>
                <w:bdr w:val="none" w:color="auto" w:sz="0" w:space="0" w:frame="1"/>
              </w:rPr>
            </w:pPr>
          </w:p>
          <w:p w:rsidRPr="00B02C05" w:rsidR="005266C4" w:rsidP="005266C4" w14:paraId="6F24058E" w14:textId="77777777">
            <w:pPr>
              <w:rPr>
                <w:b/>
              </w:rPr>
            </w:pPr>
          </w:p>
        </w:tc>
      </w:tr>
      <w:tr w:rsidTr="00992D33" w14:paraId="13AEA62F" w14:textId="77777777">
        <w:tblPrEx>
          <w:tblW w:w="5079" w:type="pct"/>
          <w:tblInd w:w="-5" w:type="dxa"/>
          <w:shd w:val="clear" w:color="auto" w:fill="DEEAF6"/>
          <w:tblLook w:val="01E0"/>
        </w:tblPrEx>
        <w:trPr>
          <w:trHeight w:val="725"/>
        </w:trPr>
        <w:tc>
          <w:tcPr>
            <w:tcW w:w="1941" w:type="pct"/>
            <w:tcBorders>
              <w:top w:val="single" w:color="FFFFFF" w:sz="4" w:space="0"/>
              <w:left w:val="nil"/>
              <w:bottom w:val="single" w:color="FFFFFF" w:sz="4" w:space="0"/>
              <w:right w:val="single" w:color="FFFFFF" w:sz="4" w:space="0"/>
            </w:tcBorders>
            <w:shd w:val="clear" w:color="auto" w:fill="DEEAF6"/>
          </w:tcPr>
          <w:p w:rsidRPr="00B02C05" w:rsidR="005266C4" w:rsidP="005266C4" w14:paraId="235B4C8C" w14:textId="77777777">
            <w:pPr>
              <w:rPr>
                <w:bCs/>
              </w:rPr>
            </w:pPr>
          </w:p>
          <w:p w:rsidRPr="00B02C05" w:rsidR="005266C4" w:rsidP="005266C4" w14:paraId="00944B2A" w14:textId="77777777">
            <w:pPr>
              <w:rPr>
                <w:b/>
              </w:rPr>
            </w:pPr>
            <w:r w:rsidRPr="00B02C05">
              <w:rPr>
                <w:b/>
              </w:rPr>
              <w:t>B. voor maatschappelijke   sectoren</w:t>
            </w:r>
          </w:p>
        </w:tc>
        <w:tc>
          <w:tcPr>
            <w:tcW w:w="3059" w:type="pct"/>
            <w:tcBorders>
              <w:top w:val="single" w:color="FFFFFF" w:sz="4" w:space="0"/>
              <w:left w:val="single" w:color="FFFFFF" w:sz="4" w:space="0"/>
              <w:bottom w:val="single" w:color="FFFFFF" w:sz="4" w:space="0"/>
              <w:right w:val="nil"/>
            </w:tcBorders>
            <w:shd w:val="clear" w:color="auto" w:fill="DEEAF6"/>
          </w:tcPr>
          <w:p w:rsidRPr="00B02C05" w:rsidR="00E53573" w:rsidP="005266C4" w14:paraId="5414357E" w14:textId="77777777">
            <w:pPr>
              <w:pStyle w:val="NoSpacing"/>
              <w:rPr>
                <w:rFonts w:ascii="Verdana" w:hAnsi="Verdana"/>
                <w:color w:val="000000" w:themeColor="text1"/>
                <w:sz w:val="18"/>
                <w:szCs w:val="18"/>
              </w:rPr>
            </w:pPr>
          </w:p>
          <w:p w:rsidRPr="00B02C05" w:rsidR="005266C4" w:rsidP="005266C4" w14:paraId="2654F533" w14:textId="77777777">
            <w:pPr>
              <w:pStyle w:val="NoSpacing"/>
              <w:rPr>
                <w:rFonts w:ascii="Verdana" w:hAnsi="Verdana"/>
                <w:color w:val="000000" w:themeColor="text1"/>
                <w:sz w:val="18"/>
                <w:szCs w:val="18"/>
              </w:rPr>
            </w:pPr>
            <w:r w:rsidRPr="00B02C05">
              <w:rPr>
                <w:rFonts w:ascii="Verdana" w:hAnsi="Verdana"/>
                <w:color w:val="000000" w:themeColor="text1"/>
                <w:sz w:val="18"/>
                <w:szCs w:val="18"/>
              </w:rPr>
              <w:t>Niet van toepassing.</w:t>
            </w:r>
          </w:p>
          <w:p w:rsidRPr="00B02C05" w:rsidR="005266C4" w:rsidP="005266C4" w14:paraId="244F5CFA" w14:textId="77777777">
            <w:pPr>
              <w:rPr>
                <w:bCs/>
              </w:rPr>
            </w:pPr>
          </w:p>
        </w:tc>
      </w:tr>
      <w:tr w:rsidTr="00992D33" w14:paraId="34B45188" w14:textId="77777777">
        <w:tblPrEx>
          <w:tblW w:w="5079" w:type="pct"/>
          <w:tblInd w:w="-5" w:type="dxa"/>
          <w:shd w:val="clear" w:color="auto" w:fill="DEEAF6"/>
          <w:tblLook w:val="01E0"/>
        </w:tblPrEx>
        <w:trPr>
          <w:trHeight w:val="778"/>
        </w:trPr>
        <w:tc>
          <w:tcPr>
            <w:tcW w:w="1941" w:type="pct"/>
            <w:tcBorders>
              <w:top w:val="single" w:color="FFFFFF" w:sz="4" w:space="0"/>
              <w:left w:val="nil"/>
              <w:bottom w:val="single" w:color="FFFFFF" w:sz="4" w:space="0"/>
              <w:right w:val="single" w:color="FFFFFF" w:sz="4" w:space="0"/>
            </w:tcBorders>
            <w:shd w:val="clear" w:color="auto" w:fill="DEEAF6"/>
          </w:tcPr>
          <w:p w:rsidRPr="00B02C05" w:rsidR="005266C4" w:rsidP="005266C4" w14:paraId="2E2A17DE" w14:textId="77777777">
            <w:pPr>
              <w:rPr>
                <w:b/>
              </w:rPr>
            </w:pPr>
          </w:p>
          <w:p w:rsidRPr="00B02C05" w:rsidR="005266C4" w:rsidP="005266C4" w14:paraId="1FE25B5E" w14:textId="77777777">
            <w:pPr>
              <w:numPr>
                <w:ilvl w:val="0"/>
                <w:numId w:val="27"/>
              </w:numPr>
              <w:rPr>
                <w:b/>
              </w:rPr>
            </w:pPr>
            <w:r w:rsidRPr="00B02C05">
              <w:rPr>
                <w:b/>
              </w:rPr>
              <w:t>Nagestreefde doeltreffendheid</w:t>
            </w:r>
          </w:p>
        </w:tc>
        <w:tc>
          <w:tcPr>
            <w:tcW w:w="3059" w:type="pct"/>
            <w:tcBorders>
              <w:top w:val="single" w:color="FFFFFF" w:sz="4" w:space="0"/>
              <w:left w:val="single" w:color="FFFFFF" w:sz="4" w:space="0"/>
              <w:bottom w:val="single" w:color="FFFFFF" w:sz="4" w:space="0"/>
              <w:right w:val="nil"/>
            </w:tcBorders>
            <w:shd w:val="clear" w:color="auto" w:fill="DEEAF6"/>
          </w:tcPr>
          <w:p w:rsidRPr="00B02C05" w:rsidR="005266C4" w:rsidP="005266C4" w14:paraId="49D7F612" w14:textId="77777777">
            <w:pPr>
              <w:pStyle w:val="NoSpacing"/>
              <w:rPr>
                <w:rFonts w:ascii="Verdana" w:hAnsi="Verdana"/>
                <w:color w:val="000000" w:themeColor="text1"/>
                <w:sz w:val="18"/>
                <w:szCs w:val="18"/>
              </w:rPr>
            </w:pPr>
            <w:r w:rsidRPr="00B02C05">
              <w:rPr>
                <w:rFonts w:ascii="Verdana" w:hAnsi="Verdana"/>
                <w:color w:val="000000" w:themeColor="text1"/>
                <w:sz w:val="18"/>
                <w:szCs w:val="18"/>
              </w:rPr>
              <w:t xml:space="preserve">Doordat de </w:t>
            </w:r>
            <w:r w:rsidRPr="00B02C05">
              <w:rPr>
                <w:rFonts w:ascii="Verdana" w:hAnsi="Verdana"/>
                <w:color w:val="000000" w:themeColor="text1"/>
                <w:sz w:val="18"/>
                <w:szCs w:val="18"/>
              </w:rPr>
              <w:t>knelpuntenpot</w:t>
            </w:r>
            <w:r w:rsidRPr="00B02C05">
              <w:rPr>
                <w:rFonts w:ascii="Verdana" w:hAnsi="Verdana"/>
                <w:color w:val="000000" w:themeColor="text1"/>
                <w:sz w:val="18"/>
                <w:szCs w:val="18"/>
              </w:rPr>
              <w:t xml:space="preserve"> ruimte biedt voor uitgaven in onverwachtste</w:t>
            </w:r>
            <w:r w:rsidRPr="00B02C05" w:rsidR="00607AEC">
              <w:rPr>
                <w:rFonts w:ascii="Verdana" w:hAnsi="Verdana"/>
                <w:color w:val="000000" w:themeColor="text1"/>
                <w:sz w:val="18"/>
                <w:szCs w:val="18"/>
              </w:rPr>
              <w:t>, complexe</w:t>
            </w:r>
            <w:r w:rsidRPr="00B02C05">
              <w:rPr>
                <w:rFonts w:ascii="Verdana" w:hAnsi="Verdana"/>
                <w:color w:val="000000" w:themeColor="text1"/>
                <w:sz w:val="18"/>
                <w:szCs w:val="18"/>
              </w:rPr>
              <w:t xml:space="preserve"> of irreguliere situaties zorgt deze ervoor dat een versterking kan versnellen. Hiermee wordt vertraging voorkomen, zeker ten opzichte van de situatie wanneer de pot afwezig zou zijn. </w:t>
            </w:r>
          </w:p>
          <w:p w:rsidRPr="00B02C05" w:rsidR="005266C4" w:rsidP="005266C4" w14:paraId="7D07F0F8" w14:textId="77777777">
            <w:pPr>
              <w:rPr>
                <w:bCs/>
              </w:rPr>
            </w:pPr>
          </w:p>
        </w:tc>
      </w:tr>
      <w:tr w:rsidTr="00992D33" w14:paraId="3CD0780D" w14:textId="77777777">
        <w:tblPrEx>
          <w:tblW w:w="5079" w:type="pct"/>
          <w:tblInd w:w="-5" w:type="dxa"/>
          <w:shd w:val="clear" w:color="auto" w:fill="DEEAF6"/>
          <w:tblLook w:val="01E0"/>
        </w:tblPrEx>
        <w:trPr>
          <w:trHeight w:val="801"/>
        </w:trPr>
        <w:tc>
          <w:tcPr>
            <w:tcW w:w="1941" w:type="pct"/>
            <w:tcBorders>
              <w:top w:val="single" w:color="FFFFFF" w:sz="4" w:space="0"/>
              <w:left w:val="nil"/>
              <w:bottom w:val="single" w:color="FFFFFF" w:sz="4" w:space="0"/>
              <w:right w:val="single" w:color="FFFFFF" w:sz="4" w:space="0"/>
            </w:tcBorders>
            <w:shd w:val="clear" w:color="auto" w:fill="DEEAF6"/>
          </w:tcPr>
          <w:p w:rsidRPr="00B02C05" w:rsidR="005266C4" w:rsidP="005266C4" w14:paraId="04A89691" w14:textId="77777777">
            <w:pPr>
              <w:rPr>
                <w:b/>
              </w:rPr>
            </w:pPr>
          </w:p>
          <w:p w:rsidRPr="00B02C05" w:rsidR="005266C4" w:rsidP="005266C4" w14:paraId="52A4E914" w14:textId="77777777">
            <w:pPr>
              <w:numPr>
                <w:ilvl w:val="0"/>
                <w:numId w:val="27"/>
              </w:numPr>
              <w:rPr>
                <w:b/>
              </w:rPr>
            </w:pPr>
            <w:r w:rsidRPr="00B02C05">
              <w:rPr>
                <w:b/>
              </w:rPr>
              <w:t>Nagestreefde doelmatigheid</w:t>
            </w:r>
          </w:p>
        </w:tc>
        <w:tc>
          <w:tcPr>
            <w:tcW w:w="3059" w:type="pct"/>
            <w:tcBorders>
              <w:top w:val="single" w:color="FFFFFF" w:sz="4" w:space="0"/>
              <w:left w:val="single" w:color="FFFFFF" w:sz="4" w:space="0"/>
              <w:bottom w:val="single" w:color="FFFFFF" w:sz="4" w:space="0"/>
              <w:right w:val="nil"/>
            </w:tcBorders>
            <w:shd w:val="clear" w:color="auto" w:fill="DEEAF6"/>
          </w:tcPr>
          <w:p w:rsidRPr="00B02C05" w:rsidR="005266C4" w:rsidP="005266C4" w14:paraId="1B8E8B25" w14:textId="77777777">
            <w:pPr>
              <w:rPr>
                <w:color w:val="000000" w:themeColor="text1"/>
              </w:rPr>
            </w:pPr>
            <w:r w:rsidRPr="00B02C05">
              <w:rPr>
                <w:color w:val="000000" w:themeColor="text1"/>
              </w:rPr>
              <w:t xml:space="preserve">De hierboven beschreven doeltreffendheid zorgt tegelijkertijd voor doelmatigheid. Doordat de </w:t>
            </w:r>
            <w:r w:rsidRPr="00B02C05">
              <w:rPr>
                <w:color w:val="000000" w:themeColor="text1"/>
              </w:rPr>
              <w:t>knelpuntenpot</w:t>
            </w:r>
            <w:r w:rsidRPr="00B02C05">
              <w:rPr>
                <w:color w:val="000000" w:themeColor="text1"/>
              </w:rPr>
              <w:t xml:space="preserve"> een oplossing biedt om de versterking doorgang te laten vinden, worden kosten beperkt. Vertraging in de versterking leidt immers doorgaans tot hogere kosten en daarmee tot een minder doelmatige uitkomst.</w:t>
            </w:r>
          </w:p>
          <w:p w:rsidRPr="00B02C05" w:rsidR="006743C1" w:rsidP="005266C4" w14:paraId="467CCCFA" w14:textId="77777777">
            <w:pPr>
              <w:rPr>
                <w:bCs/>
              </w:rPr>
            </w:pPr>
          </w:p>
        </w:tc>
      </w:tr>
      <w:tr w:rsidTr="00992D33" w14:paraId="7AB2633D" w14:textId="77777777">
        <w:tblPrEx>
          <w:tblW w:w="5079" w:type="pct"/>
          <w:tblInd w:w="-5" w:type="dxa"/>
          <w:shd w:val="clear" w:color="auto" w:fill="DEEAF6"/>
          <w:tblLook w:val="01E0"/>
        </w:tblPrEx>
        <w:trPr>
          <w:trHeight w:val="801"/>
        </w:trPr>
        <w:tc>
          <w:tcPr>
            <w:tcW w:w="1941" w:type="pct"/>
            <w:tcBorders>
              <w:top w:val="single" w:color="FFFFFF" w:sz="4" w:space="0"/>
              <w:left w:val="nil"/>
              <w:bottom w:val="single" w:color="FFFFFF" w:sz="4" w:space="0"/>
              <w:right w:val="single" w:color="FFFFFF" w:sz="4" w:space="0"/>
            </w:tcBorders>
            <w:shd w:val="clear" w:color="auto" w:fill="DEEAF6"/>
          </w:tcPr>
          <w:p w:rsidRPr="00B02C05" w:rsidR="005266C4" w:rsidP="005266C4" w14:paraId="249A4D69" w14:textId="77777777">
            <w:pPr>
              <w:rPr>
                <w:b/>
              </w:rPr>
            </w:pPr>
          </w:p>
          <w:p w:rsidRPr="00B02C05" w:rsidR="005266C4" w:rsidP="005266C4" w14:paraId="4E9881F2" w14:textId="77777777">
            <w:pPr>
              <w:numPr>
                <w:ilvl w:val="0"/>
                <w:numId w:val="27"/>
              </w:numPr>
              <w:rPr>
                <w:b/>
              </w:rPr>
            </w:pPr>
            <w:r w:rsidRPr="00B02C05">
              <w:rPr>
                <w:b/>
              </w:rPr>
              <w:t>Evaluatieparagraaf</w:t>
            </w:r>
          </w:p>
        </w:tc>
        <w:tc>
          <w:tcPr>
            <w:tcW w:w="3059" w:type="pct"/>
            <w:tcBorders>
              <w:top w:val="single" w:color="FFFFFF" w:sz="4" w:space="0"/>
              <w:left w:val="single" w:color="FFFFFF" w:sz="4" w:space="0"/>
              <w:bottom w:val="single" w:color="FFFFFF" w:sz="4" w:space="0"/>
              <w:right w:val="nil"/>
            </w:tcBorders>
            <w:shd w:val="clear" w:color="auto" w:fill="DEEAF6"/>
          </w:tcPr>
          <w:p w:rsidRPr="00B02C05" w:rsidR="005266C4" w:rsidP="005266C4" w14:paraId="4BBE01B9" w14:textId="77777777">
            <w:pPr>
              <w:rPr>
                <w:color w:val="000000" w:themeColor="text1"/>
              </w:rPr>
            </w:pPr>
            <w:r w:rsidRPr="00B02C05">
              <w:rPr>
                <w:color w:val="000000" w:themeColor="text1"/>
              </w:rPr>
              <w:t xml:space="preserve">In de Staat van Groningen &amp; Noord-Drenthe zal jaarlijks worden gerapporteerd over de voortgang van de versterking en de bewonerstevredenheid waar de </w:t>
            </w:r>
            <w:r w:rsidRPr="00B02C05">
              <w:rPr>
                <w:color w:val="000000" w:themeColor="text1"/>
              </w:rPr>
              <w:t>knelpuntenpot</w:t>
            </w:r>
            <w:r w:rsidRPr="00B02C05">
              <w:rPr>
                <w:color w:val="000000" w:themeColor="text1"/>
              </w:rPr>
              <w:t xml:space="preserve"> aan bijdraagt. </w:t>
            </w:r>
          </w:p>
          <w:p w:rsidRPr="00B02C05" w:rsidR="006743C1" w:rsidP="005266C4" w14:paraId="5354E3C2" w14:textId="77777777">
            <w:pPr>
              <w:rPr>
                <w:bCs/>
              </w:rPr>
            </w:pPr>
          </w:p>
        </w:tc>
      </w:tr>
    </w:tbl>
    <w:p w:rsidRPr="00B02C05" w:rsidR="009D073B" w:rsidP="009D073B" w14:paraId="28960C3B" w14:textId="77777777">
      <w:pPr>
        <w:spacing w:line="240" w:lineRule="auto"/>
      </w:pPr>
    </w:p>
    <w:p w:rsidR="005A13F0" w:rsidP="009C093C" w14:paraId="1F5FEAA8" w14:textId="77777777">
      <w:r>
        <w:br/>
      </w:r>
    </w:p>
    <w:p w:rsidR="00992D33" w:rsidP="00992D33" w14:paraId="304B6EC9" w14:textId="77777777"/>
    <w:p w:rsidRPr="00992D33" w:rsidR="00992D33" w:rsidP="00992D33" w14:paraId="06B04F1E" w14:textId="34D7E0BB">
      <w:pPr>
        <w:tabs>
          <w:tab w:val="left" w:pos="6804"/>
        </w:tabs>
      </w:pPr>
      <w:r>
        <w:tab/>
      </w:r>
    </w:p>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3F0" w14:paraId="322DDB48"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3F0" w14:paraId="53DF10D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A13F0" w:rsidP="00E70035" w14:textId="77777777">
                          <w:pPr>
                            <w:pStyle w:val="Referentiegegevensbold"/>
                          </w:pPr>
                          <w:r>
                            <w:t>Datum</w:t>
                          </w:r>
                        </w:p>
                        <w:p w:rsidR="00E70035" w:rsidRPr="00E70035" w:rsidP="00E70035" w14:textId="77777777"/>
                        <w:p w:rsidR="005A13F0" w14:textId="77777777">
                          <w:pPr>
                            <w:pStyle w:val="WitregelW1"/>
                          </w:pPr>
                        </w:p>
                        <w:p w:rsidR="005A13F0" w14:textId="77777777">
                          <w:pPr>
                            <w:pStyle w:val="Referentiegegevensbold"/>
                          </w:pPr>
                          <w:r>
                            <w:t>Onze referentie</w:t>
                          </w:r>
                        </w:p>
                        <w:p w:rsidR="008F7590" w14:textId="77777777">
                          <w:pPr>
                            <w:pStyle w:val="Referentiegegevens"/>
                          </w:pPr>
                          <w:r>
                            <w:fldChar w:fldCharType="begin"/>
                          </w:r>
                          <w:r>
                            <w:instrText xml:space="preserve"> DOCPROPERTY  "Kenmerk"  \* MERGEFORMAT </w:instrText>
                          </w:r>
                          <w:r>
                            <w:fldChar w:fldCharType="separate"/>
                          </w:r>
                          <w:r w:rsidR="00992D33">
                            <w:t>2026-0000154240</w:t>
                          </w:r>
                          <w:r w:rsidR="00992D33">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A13F0" w:rsidP="00E70035" w14:paraId="1B500CD3" w14:textId="77777777">
                    <w:pPr>
                      <w:pStyle w:val="Referentiegegevensbold"/>
                    </w:pPr>
                    <w:r>
                      <w:t>Datum</w:t>
                    </w:r>
                  </w:p>
                  <w:p w:rsidR="00E70035" w:rsidRPr="00E70035" w:rsidP="00E70035" w14:paraId="6908A968" w14:textId="77777777"/>
                  <w:p w:rsidR="005A13F0" w14:paraId="0C57E1D0" w14:textId="77777777">
                    <w:pPr>
                      <w:pStyle w:val="WitregelW1"/>
                    </w:pPr>
                  </w:p>
                  <w:p w:rsidR="005A13F0" w14:paraId="227E92AD" w14:textId="77777777">
                    <w:pPr>
                      <w:pStyle w:val="Referentiegegevensbold"/>
                    </w:pPr>
                    <w:r>
                      <w:t>Onze referentie</w:t>
                    </w:r>
                  </w:p>
                  <w:p w:rsidR="008F7590" w14:paraId="6CCDAD78" w14:textId="77777777">
                    <w:pPr>
                      <w:pStyle w:val="Referentiegegevens"/>
                    </w:pPr>
                    <w:r>
                      <w:fldChar w:fldCharType="begin"/>
                    </w:r>
                    <w:r>
                      <w:instrText xml:space="preserve"> DOCPROPERTY  "Kenmerk"  \* MERGEFORMAT </w:instrText>
                    </w:r>
                    <w:r>
                      <w:fldChar w:fldCharType="separate"/>
                    </w:r>
                    <w:r w:rsidR="00992D33">
                      <w:t>2026-0000154240</w:t>
                    </w:r>
                    <w:r w:rsidR="00992D33">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8351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83518" w14:paraId="6488EE7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85E5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85E57" w14:paraId="060716F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3F0" w14:paraId="189D29F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A13F0" w14:textId="77777777">
                          <w:r>
                            <w:t>Aan de Voorzitter van de Tweede Kamer der Staten-Generaal</w:t>
                          </w:r>
                        </w:p>
                        <w:p w:rsidR="005A13F0" w14:textId="77777777">
                          <w:r>
                            <w:t>Postbus 20018</w:t>
                          </w:r>
                        </w:p>
                        <w:p w:rsidR="005A13F0"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A13F0" w14:paraId="38D580B6" w14:textId="77777777">
                    <w:r>
                      <w:t>Aan de Voorzitter van de Tweede Kamer der Staten-Generaal</w:t>
                    </w:r>
                  </w:p>
                  <w:p w:rsidR="005A13F0" w14:paraId="71B78BDF" w14:textId="77777777">
                    <w:r>
                      <w:t>Postbus 20018</w:t>
                    </w:r>
                  </w:p>
                  <w:p w:rsidR="005A13F0" w14:paraId="297DEE56"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8001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00100"/>
                      </a:xfrm>
                      <a:prstGeom prst="rect">
                        <a:avLst/>
                      </a:prstGeom>
                      <a:noFill/>
                    </wps:spPr>
                    <wps:txbx>
                      <w:txbxContent>
                        <w:tbl>
                          <w:tblPr>
                            <w:tblW w:w="0" w:type="auto"/>
                            <w:tblInd w:w="-120" w:type="dxa"/>
                            <w:tblLayout w:type="fixed"/>
                            <w:tblLook w:val="07E0"/>
                          </w:tblPr>
                          <w:tblGrid>
                            <w:gridCol w:w="1140"/>
                            <w:gridCol w:w="5918"/>
                          </w:tblGrid>
                          <w:tr w14:paraId="26E38C4E" w14:textId="77777777">
                            <w:tblPrEx>
                              <w:tblW w:w="0" w:type="auto"/>
                              <w:tblInd w:w="-120" w:type="dxa"/>
                              <w:tblLayout w:type="fixed"/>
                              <w:tblLook w:val="07E0"/>
                            </w:tblPrEx>
                            <w:trPr>
                              <w:trHeight w:val="240"/>
                            </w:trPr>
                            <w:tc>
                              <w:tcPr>
                                <w:tcW w:w="1140" w:type="dxa"/>
                              </w:tcPr>
                              <w:p w:rsidR="005A13F0" w14:textId="77777777">
                                <w:r>
                                  <w:t>Datum</w:t>
                                </w:r>
                              </w:p>
                            </w:tc>
                            <w:tc>
                              <w:tcPr>
                                <w:tcW w:w="5918" w:type="dxa"/>
                              </w:tcPr>
                              <w:p w:rsidR="005A13F0" w14:textId="67EB56FA">
                                <w:r>
                                  <w:t>13 april 2026</w:t>
                                </w:r>
                              </w:p>
                            </w:tc>
                          </w:tr>
                          <w:tr w14:paraId="1D930401" w14:textId="77777777">
                            <w:tblPrEx>
                              <w:tblW w:w="0" w:type="auto"/>
                              <w:tblInd w:w="-120" w:type="dxa"/>
                              <w:tblLayout w:type="fixed"/>
                              <w:tblLook w:val="07E0"/>
                            </w:tblPrEx>
                            <w:trPr>
                              <w:trHeight w:val="240"/>
                            </w:trPr>
                            <w:tc>
                              <w:tcPr>
                                <w:tcW w:w="1140" w:type="dxa"/>
                              </w:tcPr>
                              <w:p w:rsidR="005A13F0" w14:textId="77777777">
                                <w:r>
                                  <w:t>Betreft</w:t>
                                </w:r>
                              </w:p>
                            </w:tc>
                            <w:tc>
                              <w:tcPr>
                                <w:tcW w:w="5918" w:type="dxa"/>
                              </w:tcPr>
                              <w:p w:rsidR="005A13F0" w14:textId="77777777">
                                <w:bookmarkStart w:id="10" w:name="_Hlk226974817"/>
                                <w:r w:rsidRPr="00AC003B">
                                  <w:t xml:space="preserve">Beleidsvoorstellen uit de 1e suppletoire begroting 2026 van Begrotingshoofdstuk VII </w:t>
                                </w:r>
                                <w:r>
                                  <w:t xml:space="preserve">(BZK) </w:t>
                                </w:r>
                                <w:r w:rsidRPr="00AC003B">
                                  <w:t xml:space="preserve">met CW 3.1. </w:t>
                                </w:r>
                                <w:r w:rsidRPr="00AC003B">
                                  <w:t>kaders</w:t>
                                </w:r>
                                <w:bookmarkEnd w:id="10"/>
                              </w:p>
                            </w:tc>
                          </w:tr>
                        </w:tbl>
                        <w:p w:rsidR="00A8351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3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6E38C4D" w14:textId="77777777">
                      <w:tblPrEx>
                        <w:tblW w:w="0" w:type="auto"/>
                        <w:tblInd w:w="-120" w:type="dxa"/>
                        <w:tblLayout w:type="fixed"/>
                        <w:tblLook w:val="07E0"/>
                      </w:tblPrEx>
                      <w:trPr>
                        <w:trHeight w:val="240"/>
                      </w:trPr>
                      <w:tc>
                        <w:tcPr>
                          <w:tcW w:w="1140" w:type="dxa"/>
                        </w:tcPr>
                        <w:p w:rsidR="005A13F0" w14:paraId="62CB8CC9" w14:textId="77777777">
                          <w:r>
                            <w:t>Datum</w:t>
                          </w:r>
                        </w:p>
                      </w:tc>
                      <w:tc>
                        <w:tcPr>
                          <w:tcW w:w="5918" w:type="dxa"/>
                        </w:tcPr>
                        <w:p w:rsidR="005A13F0" w14:paraId="35E4D59C" w14:textId="67EB56FA">
                          <w:r>
                            <w:t>13 april 2026</w:t>
                          </w:r>
                        </w:p>
                      </w:tc>
                    </w:tr>
                    <w:tr w14:paraId="1D930400" w14:textId="77777777">
                      <w:tblPrEx>
                        <w:tblW w:w="0" w:type="auto"/>
                        <w:tblInd w:w="-120" w:type="dxa"/>
                        <w:tblLayout w:type="fixed"/>
                        <w:tblLook w:val="07E0"/>
                      </w:tblPrEx>
                      <w:trPr>
                        <w:trHeight w:val="240"/>
                      </w:trPr>
                      <w:tc>
                        <w:tcPr>
                          <w:tcW w:w="1140" w:type="dxa"/>
                        </w:tcPr>
                        <w:p w:rsidR="005A13F0" w14:paraId="028A3C85" w14:textId="77777777">
                          <w:r>
                            <w:t>Betreft</w:t>
                          </w:r>
                        </w:p>
                      </w:tc>
                      <w:tc>
                        <w:tcPr>
                          <w:tcW w:w="5918" w:type="dxa"/>
                        </w:tcPr>
                        <w:p w:rsidR="005A13F0" w14:paraId="0C4065EE" w14:textId="77777777">
                          <w:bookmarkStart w:id="10" w:name="_Hlk226974817"/>
                          <w:r w:rsidRPr="00AC003B">
                            <w:t xml:space="preserve">Beleidsvoorstellen uit de 1e suppletoire begroting 2026 van Begrotingshoofdstuk VII </w:t>
                          </w:r>
                          <w:r>
                            <w:t xml:space="preserve">(BZK) </w:t>
                          </w:r>
                          <w:r w:rsidRPr="00AC003B">
                            <w:t xml:space="preserve">met CW 3.1. </w:t>
                          </w:r>
                          <w:r w:rsidRPr="00AC003B">
                            <w:t>kaders</w:t>
                          </w:r>
                          <w:bookmarkEnd w:id="10"/>
                        </w:p>
                      </w:tc>
                    </w:tr>
                  </w:tbl>
                  <w:p w:rsidR="00A83518" w14:paraId="2C0D48BC"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A13F0" w:rsidRPr="00B050FC" w14:textId="77777777">
                          <w:pPr>
                            <w:pStyle w:val="Referentiegegevens"/>
                            <w:rPr>
                              <w:lang w:val="de-DE"/>
                            </w:rPr>
                          </w:pPr>
                          <w:r w:rsidRPr="00B050FC">
                            <w:rPr>
                              <w:lang w:val="de-DE"/>
                            </w:rPr>
                            <w:t>Turfmarkt</w:t>
                          </w:r>
                          <w:r w:rsidRPr="00B050FC">
                            <w:rPr>
                              <w:lang w:val="de-DE"/>
                            </w:rPr>
                            <w:t xml:space="preserve"> 147</w:t>
                          </w:r>
                        </w:p>
                        <w:p w:rsidR="005A13F0" w:rsidRPr="00B050FC" w14:textId="77777777">
                          <w:pPr>
                            <w:pStyle w:val="Referentiegegevens"/>
                            <w:rPr>
                              <w:lang w:val="de-DE"/>
                            </w:rPr>
                          </w:pPr>
                          <w:r w:rsidRPr="00B050FC">
                            <w:rPr>
                              <w:lang w:val="de-DE"/>
                            </w:rPr>
                            <w:t>2511 DP Den Haag</w:t>
                          </w:r>
                        </w:p>
                        <w:p w:rsidR="005A13F0" w:rsidRPr="00B050FC" w14:textId="77777777">
                          <w:pPr>
                            <w:pStyle w:val="Referentiegegevens"/>
                            <w:rPr>
                              <w:lang w:val="de-DE"/>
                            </w:rPr>
                          </w:pPr>
                          <w:r w:rsidRPr="00B050FC">
                            <w:rPr>
                              <w:lang w:val="de-DE"/>
                            </w:rPr>
                            <w:t>Postbus 20011</w:t>
                          </w:r>
                        </w:p>
                        <w:p w:rsidR="005A13F0" w14:textId="77777777">
                          <w:pPr>
                            <w:pStyle w:val="Referentiegegevens"/>
                          </w:pPr>
                          <w:r>
                            <w:t>2500 EA  Den Haag</w:t>
                          </w:r>
                        </w:p>
                        <w:p w:rsidR="005A13F0" w14:textId="77777777">
                          <w:pPr>
                            <w:pStyle w:val="WitregelW2"/>
                          </w:pPr>
                        </w:p>
                        <w:p w:rsidR="005A13F0" w14:textId="77777777">
                          <w:pPr>
                            <w:pStyle w:val="Referentiegegevensbold"/>
                          </w:pPr>
                          <w:r>
                            <w:t>Onze referentie</w:t>
                          </w:r>
                        </w:p>
                        <w:bookmarkStart w:id="11" w:name="_Hlk226974825"/>
                        <w:p w:rsidR="008F7590" w14:textId="77777777">
                          <w:pPr>
                            <w:pStyle w:val="Referentiegegevens"/>
                          </w:pPr>
                          <w:r>
                            <w:fldChar w:fldCharType="begin"/>
                          </w:r>
                          <w:r>
                            <w:instrText xml:space="preserve"> DOCPROPERTY  "Kenmerk"  \* MERGEFORMAT </w:instrText>
                          </w:r>
                          <w:r>
                            <w:fldChar w:fldCharType="separate"/>
                          </w:r>
                          <w:r w:rsidR="00992D33">
                            <w:t>2026-0000154240</w:t>
                          </w:r>
                          <w:r>
                            <w:fldChar w:fldCharType="end"/>
                          </w:r>
                        </w:p>
                        <w:bookmarkEnd w:id="11"/>
                        <w:p w:rsidR="005A13F0" w14:textId="77777777">
                          <w:pPr>
                            <w:pStyle w:val="WitregelW1"/>
                          </w:pPr>
                        </w:p>
                        <w:p w:rsidR="005A13F0" w14:textId="77777777">
                          <w:pPr>
                            <w:pStyle w:val="WitregelW2"/>
                          </w:pPr>
                        </w:p>
                        <w:p w:rsidR="005A13F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A13F0" w:rsidRPr="00B050FC" w14:paraId="2CAAD3DE" w14:textId="77777777">
                    <w:pPr>
                      <w:pStyle w:val="Referentiegegevens"/>
                      <w:rPr>
                        <w:lang w:val="de-DE"/>
                      </w:rPr>
                    </w:pPr>
                    <w:r w:rsidRPr="00B050FC">
                      <w:rPr>
                        <w:lang w:val="de-DE"/>
                      </w:rPr>
                      <w:t>Turfmarkt</w:t>
                    </w:r>
                    <w:r w:rsidRPr="00B050FC">
                      <w:rPr>
                        <w:lang w:val="de-DE"/>
                      </w:rPr>
                      <w:t xml:space="preserve"> 147</w:t>
                    </w:r>
                  </w:p>
                  <w:p w:rsidR="005A13F0" w:rsidRPr="00B050FC" w14:paraId="308EAE39" w14:textId="77777777">
                    <w:pPr>
                      <w:pStyle w:val="Referentiegegevens"/>
                      <w:rPr>
                        <w:lang w:val="de-DE"/>
                      </w:rPr>
                    </w:pPr>
                    <w:r w:rsidRPr="00B050FC">
                      <w:rPr>
                        <w:lang w:val="de-DE"/>
                      </w:rPr>
                      <w:t>2511 DP Den Haag</w:t>
                    </w:r>
                  </w:p>
                  <w:p w:rsidR="005A13F0" w:rsidRPr="00B050FC" w14:paraId="6CBE963C" w14:textId="77777777">
                    <w:pPr>
                      <w:pStyle w:val="Referentiegegevens"/>
                      <w:rPr>
                        <w:lang w:val="de-DE"/>
                      </w:rPr>
                    </w:pPr>
                    <w:r w:rsidRPr="00B050FC">
                      <w:rPr>
                        <w:lang w:val="de-DE"/>
                      </w:rPr>
                      <w:t>Postbus 20011</w:t>
                    </w:r>
                  </w:p>
                  <w:p w:rsidR="005A13F0" w14:paraId="669675F7" w14:textId="77777777">
                    <w:pPr>
                      <w:pStyle w:val="Referentiegegevens"/>
                    </w:pPr>
                    <w:r>
                      <w:t>2500 EA  Den Haag</w:t>
                    </w:r>
                  </w:p>
                  <w:p w:rsidR="005A13F0" w14:paraId="35387832" w14:textId="77777777">
                    <w:pPr>
                      <w:pStyle w:val="WitregelW2"/>
                    </w:pPr>
                  </w:p>
                  <w:p w:rsidR="005A13F0" w14:paraId="5267EC7B" w14:textId="77777777">
                    <w:pPr>
                      <w:pStyle w:val="Referentiegegevensbold"/>
                    </w:pPr>
                    <w:r>
                      <w:t>Onze referentie</w:t>
                    </w:r>
                  </w:p>
                  <w:bookmarkStart w:id="11" w:name="_Hlk226974825"/>
                  <w:p w:rsidR="008F7590" w14:paraId="77E80E1C" w14:textId="77777777">
                    <w:pPr>
                      <w:pStyle w:val="Referentiegegevens"/>
                    </w:pPr>
                    <w:r>
                      <w:fldChar w:fldCharType="begin"/>
                    </w:r>
                    <w:r>
                      <w:instrText xml:space="preserve"> DOCPROPERTY  "Kenmerk"  \* MERGEFORMAT </w:instrText>
                    </w:r>
                    <w:r>
                      <w:fldChar w:fldCharType="separate"/>
                    </w:r>
                    <w:r w:rsidR="00992D33">
                      <w:t>2026-0000154240</w:t>
                    </w:r>
                    <w:r>
                      <w:fldChar w:fldCharType="end"/>
                    </w:r>
                  </w:p>
                  <w:bookmarkEnd w:id="11"/>
                  <w:p w:rsidR="005A13F0" w14:paraId="1C7249CD" w14:textId="77777777">
                    <w:pPr>
                      <w:pStyle w:val="WitregelW1"/>
                    </w:pPr>
                  </w:p>
                  <w:p w:rsidR="005A13F0" w14:paraId="6785FA3D" w14:textId="77777777">
                    <w:pPr>
                      <w:pStyle w:val="WitregelW2"/>
                    </w:pPr>
                  </w:p>
                  <w:p w:rsidR="005A13F0" w14:paraId="19DDDBE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8351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83518" w14:paraId="1548A17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85E5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85E57" w14:paraId="1B00E25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A13F0" w14:textId="77777777">
                          <w:pPr>
                            <w:spacing w:line="240" w:lineRule="auto"/>
                          </w:pPr>
                          <w:r>
                            <w:rPr>
                              <w:noProof/>
                            </w:rPr>
                            <w:drawing>
                              <wp:inline distT="0" distB="0" distL="0" distR="0">
                                <wp:extent cx="467995" cy="1583865"/>
                                <wp:effectExtent l="0" t="0" r="0" b="0"/>
                                <wp:docPr id="209768187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9768187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A13F0" w14:paraId="6D5FB0C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A13F0" w14:textId="77777777">
                          <w:pPr>
                            <w:spacing w:line="240" w:lineRule="auto"/>
                          </w:pPr>
                          <w:r>
                            <w:rPr>
                              <w:noProof/>
                            </w:rPr>
                            <w:drawing>
                              <wp:inline distT="0" distB="0" distL="0" distR="0">
                                <wp:extent cx="2339975" cy="1582834"/>
                                <wp:effectExtent l="0" t="0" r="0" b="0"/>
                                <wp:docPr id="71338966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1338966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A13F0" w14:paraId="4BBD4E5B"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A13F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A13F0" w14:paraId="4C384CB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680B67B"/>
    <w:multiLevelType w:val="multilevel"/>
    <w:tmpl w:val="8686D5C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DCA3692"/>
    <w:multiLevelType w:val="multilevel"/>
    <w:tmpl w:val="56F6E5C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0585D69"/>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3">
    <w:nsid w:val="00F13ABE"/>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4">
    <w:nsid w:val="01D16CB9"/>
    <w:multiLevelType w:val="hybridMultilevel"/>
    <w:tmpl w:val="882A3C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BD6763"/>
    <w:multiLevelType w:val="hybridMultilevel"/>
    <w:tmpl w:val="3B0C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222311"/>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7">
    <w:nsid w:val="06FE00C8"/>
    <w:multiLevelType w:val="hybridMultilevel"/>
    <w:tmpl w:val="CBC8474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80415F9"/>
    <w:multiLevelType w:val="multilevel"/>
    <w:tmpl w:val="5647F7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nsid w:val="085556C6"/>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0">
    <w:nsid w:val="15C9637D"/>
    <w:multiLevelType w:val="hybridMultilevel"/>
    <w:tmpl w:val="C7964D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9C844CF"/>
    <w:multiLevelType w:val="hybridMultilevel"/>
    <w:tmpl w:val="4DB485D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400AE5"/>
    <w:multiLevelType w:val="hybridMultilevel"/>
    <w:tmpl w:val="178E03F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A8638D"/>
    <w:multiLevelType w:val="hybridMultilevel"/>
    <w:tmpl w:val="A57C2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6110E8"/>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5">
    <w:nsid w:val="367F75BD"/>
    <w:multiLevelType w:val="hybridMultilevel"/>
    <w:tmpl w:val="48A6705E"/>
    <w:lvl w:ilvl="0">
      <w:start w:val="0"/>
      <w:numFmt w:val="bullet"/>
      <w:lvlText w:val="-"/>
      <w:lvlJc w:val="left"/>
      <w:pPr>
        <w:ind w:left="360" w:hanging="360"/>
      </w:pPr>
      <w:rPr>
        <w:rFonts w:ascii="Verdana" w:hAnsi="Verdana"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A657B97"/>
    <w:multiLevelType w:val="hybridMultilevel"/>
    <w:tmpl w:val="3070AA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9316B8"/>
    <w:multiLevelType w:val="hybridMultilevel"/>
    <w:tmpl w:val="43BABE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12D1A86"/>
    <w:multiLevelType w:val="hybridMultilevel"/>
    <w:tmpl w:val="9C4EF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31415D"/>
    <w:multiLevelType w:val="hybridMultilevel"/>
    <w:tmpl w:val="AD284B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587A73"/>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21">
    <w:nsid w:val="4F75147D"/>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22">
    <w:nsid w:val="5143E3C3"/>
    <w:multiLevelType w:val="multilevel"/>
    <w:tmpl w:val="F86528A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3">
    <w:nsid w:val="572E4388"/>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24">
    <w:nsid w:val="614D12E4"/>
    <w:multiLevelType w:val="hybridMultilevel"/>
    <w:tmpl w:val="BC48B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526BA4"/>
    <w:multiLevelType w:val="hybridMultilevel"/>
    <w:tmpl w:val="CB22547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7F7B91"/>
    <w:multiLevelType w:val="hybridMultilevel"/>
    <w:tmpl w:val="F18889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F1A08C6"/>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num w:numId="1" w16cid:durableId="151725415">
    <w:abstractNumId w:val="22"/>
  </w:num>
  <w:num w:numId="2" w16cid:durableId="1404377501">
    <w:abstractNumId w:val="8"/>
  </w:num>
  <w:num w:numId="3" w16cid:durableId="1424304449">
    <w:abstractNumId w:val="1"/>
  </w:num>
  <w:num w:numId="4" w16cid:durableId="1671905519">
    <w:abstractNumId w:val="0"/>
  </w:num>
  <w:num w:numId="5" w16cid:durableId="1893302020">
    <w:abstractNumId w:val="20"/>
  </w:num>
  <w:num w:numId="6" w16cid:durableId="1340162921">
    <w:abstractNumId w:val="2"/>
  </w:num>
  <w:num w:numId="7" w16cid:durableId="792596238">
    <w:abstractNumId w:val="15"/>
  </w:num>
  <w:num w:numId="8" w16cid:durableId="1493789180">
    <w:abstractNumId w:val="5"/>
  </w:num>
  <w:num w:numId="9" w16cid:durableId="414744318">
    <w:abstractNumId w:val="10"/>
  </w:num>
  <w:num w:numId="10" w16cid:durableId="1672440581">
    <w:abstractNumId w:val="7"/>
  </w:num>
  <w:num w:numId="11" w16cid:durableId="1931889607">
    <w:abstractNumId w:val="19"/>
  </w:num>
  <w:num w:numId="12" w16cid:durableId="1007096457">
    <w:abstractNumId w:val="16"/>
  </w:num>
  <w:num w:numId="13" w16cid:durableId="602802734">
    <w:abstractNumId w:val="18"/>
  </w:num>
  <w:num w:numId="14" w16cid:durableId="1573855629">
    <w:abstractNumId w:val="24"/>
  </w:num>
  <w:num w:numId="15" w16cid:durableId="2040005806">
    <w:abstractNumId w:val="23"/>
  </w:num>
  <w:num w:numId="16" w16cid:durableId="2006863002">
    <w:abstractNumId w:val="6"/>
  </w:num>
  <w:num w:numId="17" w16cid:durableId="993416647">
    <w:abstractNumId w:val="21"/>
  </w:num>
  <w:num w:numId="18" w16cid:durableId="1100761746">
    <w:abstractNumId w:val="27"/>
  </w:num>
  <w:num w:numId="19" w16cid:durableId="1495606651">
    <w:abstractNumId w:val="3"/>
  </w:num>
  <w:num w:numId="20" w16cid:durableId="645283326">
    <w:abstractNumId w:val="17"/>
  </w:num>
  <w:num w:numId="21" w16cid:durableId="411202891">
    <w:abstractNumId w:val="26"/>
  </w:num>
  <w:num w:numId="22" w16cid:durableId="1776559947">
    <w:abstractNumId w:val="11"/>
  </w:num>
  <w:num w:numId="23" w16cid:durableId="561210492">
    <w:abstractNumId w:val="4"/>
  </w:num>
  <w:num w:numId="24" w16cid:durableId="1322386028">
    <w:abstractNumId w:val="13"/>
  </w:num>
  <w:num w:numId="25" w16cid:durableId="520165973">
    <w:abstractNumId w:val="9"/>
  </w:num>
  <w:num w:numId="26" w16cid:durableId="196089679">
    <w:abstractNumId w:val="25"/>
  </w:num>
  <w:num w:numId="27" w16cid:durableId="1396776445">
    <w:abstractNumId w:val="14"/>
  </w:num>
  <w:num w:numId="28" w16cid:durableId="1002657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FC"/>
    <w:rsid w:val="00021725"/>
    <w:rsid w:val="000578AC"/>
    <w:rsid w:val="000606B7"/>
    <w:rsid w:val="000633C4"/>
    <w:rsid w:val="00082359"/>
    <w:rsid w:val="00091AC2"/>
    <w:rsid w:val="000A54EE"/>
    <w:rsid w:val="000B2DA8"/>
    <w:rsid w:val="000C1DD8"/>
    <w:rsid w:val="00106D96"/>
    <w:rsid w:val="00114540"/>
    <w:rsid w:val="00137627"/>
    <w:rsid w:val="00143338"/>
    <w:rsid w:val="001602C3"/>
    <w:rsid w:val="00191773"/>
    <w:rsid w:val="001D2021"/>
    <w:rsid w:val="001D6C6D"/>
    <w:rsid w:val="001D7054"/>
    <w:rsid w:val="002112F1"/>
    <w:rsid w:val="00212F2F"/>
    <w:rsid w:val="00225FE9"/>
    <w:rsid w:val="00230D6F"/>
    <w:rsid w:val="0024020A"/>
    <w:rsid w:val="00287E34"/>
    <w:rsid w:val="002A3923"/>
    <w:rsid w:val="002A5762"/>
    <w:rsid w:val="002B0BE1"/>
    <w:rsid w:val="002D51D9"/>
    <w:rsid w:val="002F0671"/>
    <w:rsid w:val="00303383"/>
    <w:rsid w:val="0030551E"/>
    <w:rsid w:val="00307C63"/>
    <w:rsid w:val="003172D1"/>
    <w:rsid w:val="00317ACC"/>
    <w:rsid w:val="00337F6A"/>
    <w:rsid w:val="003573E7"/>
    <w:rsid w:val="003660FC"/>
    <w:rsid w:val="0039492F"/>
    <w:rsid w:val="003B7918"/>
    <w:rsid w:val="003C15E6"/>
    <w:rsid w:val="003F040C"/>
    <w:rsid w:val="003F1888"/>
    <w:rsid w:val="003F6EF4"/>
    <w:rsid w:val="00414DEE"/>
    <w:rsid w:val="004259F2"/>
    <w:rsid w:val="0043260F"/>
    <w:rsid w:val="00432CD5"/>
    <w:rsid w:val="0047546F"/>
    <w:rsid w:val="004828ED"/>
    <w:rsid w:val="004B2DD2"/>
    <w:rsid w:val="004B5194"/>
    <w:rsid w:val="004C0848"/>
    <w:rsid w:val="004D134F"/>
    <w:rsid w:val="004D499D"/>
    <w:rsid w:val="005266C4"/>
    <w:rsid w:val="00536D8F"/>
    <w:rsid w:val="00543951"/>
    <w:rsid w:val="005704EA"/>
    <w:rsid w:val="005717F6"/>
    <w:rsid w:val="005A13F0"/>
    <w:rsid w:val="005B77CE"/>
    <w:rsid w:val="005C116A"/>
    <w:rsid w:val="005F4F3F"/>
    <w:rsid w:val="00603B72"/>
    <w:rsid w:val="00607AEC"/>
    <w:rsid w:val="00614ED0"/>
    <w:rsid w:val="006169E1"/>
    <w:rsid w:val="00616B77"/>
    <w:rsid w:val="00621023"/>
    <w:rsid w:val="00621958"/>
    <w:rsid w:val="0062359C"/>
    <w:rsid w:val="00624F8B"/>
    <w:rsid w:val="00625D7D"/>
    <w:rsid w:val="00632851"/>
    <w:rsid w:val="00656405"/>
    <w:rsid w:val="006743C1"/>
    <w:rsid w:val="00684460"/>
    <w:rsid w:val="0068688B"/>
    <w:rsid w:val="00696EAF"/>
    <w:rsid w:val="006C36C9"/>
    <w:rsid w:val="006C43FB"/>
    <w:rsid w:val="006D1F42"/>
    <w:rsid w:val="006E520F"/>
    <w:rsid w:val="006E6CD0"/>
    <w:rsid w:val="006F1E28"/>
    <w:rsid w:val="007110C4"/>
    <w:rsid w:val="00713DF8"/>
    <w:rsid w:val="007150F0"/>
    <w:rsid w:val="007160A5"/>
    <w:rsid w:val="0075045A"/>
    <w:rsid w:val="00767BFC"/>
    <w:rsid w:val="00776B60"/>
    <w:rsid w:val="007B43A8"/>
    <w:rsid w:val="007D02B0"/>
    <w:rsid w:val="007E21B1"/>
    <w:rsid w:val="007E4CC5"/>
    <w:rsid w:val="007F07BB"/>
    <w:rsid w:val="007F166B"/>
    <w:rsid w:val="008141D4"/>
    <w:rsid w:val="008164D9"/>
    <w:rsid w:val="00820485"/>
    <w:rsid w:val="00840E2F"/>
    <w:rsid w:val="0084186C"/>
    <w:rsid w:val="00843877"/>
    <w:rsid w:val="0085114B"/>
    <w:rsid w:val="00853FF2"/>
    <w:rsid w:val="008664DF"/>
    <w:rsid w:val="00866DF2"/>
    <w:rsid w:val="008A0DDC"/>
    <w:rsid w:val="008A0EEA"/>
    <w:rsid w:val="008B158D"/>
    <w:rsid w:val="008B66EB"/>
    <w:rsid w:val="008B738F"/>
    <w:rsid w:val="008D01A2"/>
    <w:rsid w:val="008D23C6"/>
    <w:rsid w:val="008E7670"/>
    <w:rsid w:val="008F7590"/>
    <w:rsid w:val="00913507"/>
    <w:rsid w:val="0095539C"/>
    <w:rsid w:val="009657F5"/>
    <w:rsid w:val="00967368"/>
    <w:rsid w:val="00992D33"/>
    <w:rsid w:val="009A1525"/>
    <w:rsid w:val="009C093C"/>
    <w:rsid w:val="009C66D0"/>
    <w:rsid w:val="009D073B"/>
    <w:rsid w:val="009F1A81"/>
    <w:rsid w:val="00A025BA"/>
    <w:rsid w:val="00A0641B"/>
    <w:rsid w:val="00A10615"/>
    <w:rsid w:val="00A26204"/>
    <w:rsid w:val="00A44465"/>
    <w:rsid w:val="00A47753"/>
    <w:rsid w:val="00A57541"/>
    <w:rsid w:val="00A57AFC"/>
    <w:rsid w:val="00A82C9E"/>
    <w:rsid w:val="00A83518"/>
    <w:rsid w:val="00A85E57"/>
    <w:rsid w:val="00AC003B"/>
    <w:rsid w:val="00AC1CE3"/>
    <w:rsid w:val="00AF0E90"/>
    <w:rsid w:val="00AF60F4"/>
    <w:rsid w:val="00B02C05"/>
    <w:rsid w:val="00B050FC"/>
    <w:rsid w:val="00B10FE7"/>
    <w:rsid w:val="00B1199D"/>
    <w:rsid w:val="00B20E8E"/>
    <w:rsid w:val="00B337FA"/>
    <w:rsid w:val="00B35842"/>
    <w:rsid w:val="00B413AD"/>
    <w:rsid w:val="00B41847"/>
    <w:rsid w:val="00B5172C"/>
    <w:rsid w:val="00B51D6D"/>
    <w:rsid w:val="00B52794"/>
    <w:rsid w:val="00B93127"/>
    <w:rsid w:val="00BB4EF5"/>
    <w:rsid w:val="00BC4B23"/>
    <w:rsid w:val="00BC5ADA"/>
    <w:rsid w:val="00C00266"/>
    <w:rsid w:val="00C030DB"/>
    <w:rsid w:val="00C22F70"/>
    <w:rsid w:val="00C23D24"/>
    <w:rsid w:val="00C4082F"/>
    <w:rsid w:val="00C517B1"/>
    <w:rsid w:val="00C56164"/>
    <w:rsid w:val="00C63A1E"/>
    <w:rsid w:val="00C70AC3"/>
    <w:rsid w:val="00C92B9A"/>
    <w:rsid w:val="00CA36B2"/>
    <w:rsid w:val="00CB2031"/>
    <w:rsid w:val="00CD036C"/>
    <w:rsid w:val="00CD0935"/>
    <w:rsid w:val="00CD4462"/>
    <w:rsid w:val="00CE76E3"/>
    <w:rsid w:val="00D13BEA"/>
    <w:rsid w:val="00D517F8"/>
    <w:rsid w:val="00D52E25"/>
    <w:rsid w:val="00D54CCE"/>
    <w:rsid w:val="00D74876"/>
    <w:rsid w:val="00D80194"/>
    <w:rsid w:val="00D84154"/>
    <w:rsid w:val="00D851BB"/>
    <w:rsid w:val="00D85DB8"/>
    <w:rsid w:val="00DF1787"/>
    <w:rsid w:val="00E01FA9"/>
    <w:rsid w:val="00E0489E"/>
    <w:rsid w:val="00E11B9E"/>
    <w:rsid w:val="00E214B7"/>
    <w:rsid w:val="00E53573"/>
    <w:rsid w:val="00E5477C"/>
    <w:rsid w:val="00E553F0"/>
    <w:rsid w:val="00E55830"/>
    <w:rsid w:val="00E605C7"/>
    <w:rsid w:val="00E638DA"/>
    <w:rsid w:val="00E70035"/>
    <w:rsid w:val="00E76555"/>
    <w:rsid w:val="00E9129B"/>
    <w:rsid w:val="00E9728F"/>
    <w:rsid w:val="00E973A4"/>
    <w:rsid w:val="00EB758C"/>
    <w:rsid w:val="00EF46D0"/>
    <w:rsid w:val="00F0069C"/>
    <w:rsid w:val="00F20FB9"/>
    <w:rsid w:val="00F42234"/>
    <w:rsid w:val="00F50408"/>
    <w:rsid w:val="00F50CFC"/>
    <w:rsid w:val="00F54F1E"/>
    <w:rsid w:val="00F76826"/>
    <w:rsid w:val="00F912BC"/>
    <w:rsid w:val="00F94C60"/>
    <w:rsid w:val="00FA189A"/>
    <w:rsid w:val="00FB69A0"/>
    <w:rsid w:val="00FC03F3"/>
    <w:rsid w:val="00FC0BD7"/>
    <w:rsid w:val="00FE277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C748EAA"/>
  <w15:docId w15:val="{61FCFFEC-9204-408B-ABD3-3B19B9AC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B72"/>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ind w:left="2880" w:hanging="36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050FC"/>
    <w:pPr>
      <w:tabs>
        <w:tab w:val="center" w:pos="4536"/>
        <w:tab w:val="right" w:pos="9072"/>
      </w:tabs>
      <w:spacing w:line="240" w:lineRule="auto"/>
    </w:pPr>
  </w:style>
  <w:style w:type="character" w:customStyle="1" w:styleId="KoptekstChar">
    <w:name w:val="Koptekst Char"/>
    <w:basedOn w:val="DefaultParagraphFont"/>
    <w:link w:val="Header"/>
    <w:uiPriority w:val="99"/>
    <w:rsid w:val="00B050FC"/>
    <w:rPr>
      <w:rFonts w:ascii="Verdana" w:hAnsi="Verdana"/>
      <w:color w:val="000000"/>
      <w:sz w:val="18"/>
      <w:szCs w:val="18"/>
    </w:rPr>
  </w:style>
  <w:style w:type="paragraph" w:styleId="Footer">
    <w:name w:val="footer"/>
    <w:basedOn w:val="Normal"/>
    <w:link w:val="VoettekstChar"/>
    <w:uiPriority w:val="99"/>
    <w:unhideWhenUsed/>
    <w:rsid w:val="00B050FC"/>
    <w:pPr>
      <w:tabs>
        <w:tab w:val="center" w:pos="4536"/>
        <w:tab w:val="right" w:pos="9072"/>
      </w:tabs>
      <w:spacing w:line="240" w:lineRule="auto"/>
    </w:pPr>
  </w:style>
  <w:style w:type="character" w:customStyle="1" w:styleId="VoettekstChar">
    <w:name w:val="Voettekst Char"/>
    <w:basedOn w:val="DefaultParagraphFont"/>
    <w:link w:val="Footer"/>
    <w:uiPriority w:val="99"/>
    <w:rsid w:val="00B050FC"/>
    <w:rPr>
      <w:rFonts w:ascii="Verdana" w:hAnsi="Verdana"/>
      <w:color w:val="000000"/>
      <w:sz w:val="18"/>
      <w:szCs w:val="18"/>
    </w:rPr>
  </w:style>
  <w:style w:type="paragraph" w:styleId="ListParagraph">
    <w:name w:val="List Paragraph"/>
    <w:basedOn w:val="Normal"/>
    <w:uiPriority w:val="34"/>
    <w:rsid w:val="00C517B1"/>
    <w:pPr>
      <w:ind w:left="720"/>
      <w:contextualSpacing/>
    </w:pPr>
  </w:style>
  <w:style w:type="paragraph" w:styleId="FootnoteText">
    <w:name w:val="footnote text"/>
    <w:basedOn w:val="Normal"/>
    <w:link w:val="VoetnoottekstChar"/>
    <w:uiPriority w:val="99"/>
    <w:semiHidden/>
    <w:unhideWhenUsed/>
    <w:rsid w:val="00F7682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F7682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76826"/>
    <w:rPr>
      <w:vertAlign w:val="superscript"/>
    </w:rPr>
  </w:style>
  <w:style w:type="paragraph" w:customStyle="1" w:styleId="paragraph">
    <w:name w:val="paragraph"/>
    <w:basedOn w:val="Normal"/>
    <w:rsid w:val="00F7682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eop">
    <w:name w:val="eop"/>
    <w:basedOn w:val="DefaultParagraphFont"/>
    <w:rsid w:val="00F76826"/>
  </w:style>
  <w:style w:type="paragraph" w:styleId="NoSpacing">
    <w:name w:val="No Spacing"/>
    <w:uiPriority w:val="1"/>
    <w:qFormat/>
    <w:rsid w:val="00F76826"/>
    <w:pPr>
      <w:autoSpaceDN/>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8D23C6"/>
    <w:rPr>
      <w:sz w:val="16"/>
      <w:szCs w:val="16"/>
    </w:rPr>
  </w:style>
  <w:style w:type="paragraph" w:styleId="CommentText">
    <w:name w:val="annotation text"/>
    <w:basedOn w:val="Normal"/>
    <w:link w:val="TekstopmerkingChar"/>
    <w:uiPriority w:val="99"/>
    <w:unhideWhenUsed/>
    <w:rsid w:val="008D23C6"/>
    <w:pPr>
      <w:spacing w:line="240" w:lineRule="auto"/>
    </w:pPr>
    <w:rPr>
      <w:sz w:val="20"/>
      <w:szCs w:val="20"/>
    </w:rPr>
  </w:style>
  <w:style w:type="character" w:customStyle="1" w:styleId="TekstopmerkingChar">
    <w:name w:val="Tekst opmerking Char"/>
    <w:basedOn w:val="DefaultParagraphFont"/>
    <w:link w:val="CommentText"/>
    <w:uiPriority w:val="99"/>
    <w:rsid w:val="008D23C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D23C6"/>
    <w:rPr>
      <w:b/>
      <w:bCs/>
    </w:rPr>
  </w:style>
  <w:style w:type="character" w:customStyle="1" w:styleId="OnderwerpvanopmerkingChar">
    <w:name w:val="Onderwerp van opmerking Char"/>
    <w:basedOn w:val="TekstopmerkingChar"/>
    <w:link w:val="CommentSubject"/>
    <w:uiPriority w:val="99"/>
    <w:semiHidden/>
    <w:rsid w:val="008D23C6"/>
    <w:rPr>
      <w:rFonts w:ascii="Verdana" w:hAnsi="Verdana"/>
      <w:b/>
      <w:bCs/>
      <w:color w:val="000000"/>
    </w:rPr>
  </w:style>
  <w:style w:type="paragraph" w:styleId="Revision">
    <w:name w:val="Revision"/>
    <w:hidden/>
    <w:uiPriority w:val="99"/>
    <w:semiHidden/>
    <w:rsid w:val="00866DF2"/>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2A3923"/>
    <w:rPr>
      <w:color w:val="605E5C"/>
      <w:shd w:val="clear" w:color="auto" w:fill="E1DFDD"/>
    </w:rPr>
  </w:style>
  <w:style w:type="character" w:styleId="FollowedHyperlink">
    <w:name w:val="FollowedHyperlink"/>
    <w:basedOn w:val="DefaultParagraphFont"/>
    <w:uiPriority w:val="99"/>
    <w:semiHidden/>
    <w:unhideWhenUsed/>
    <w:rsid w:val="003F6E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1639</ap:Words>
  <ap:Characters>9015</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Brief aan Parlement - Beleidsvoorstellen uit de begroting 2026 van Hoofdstuk VII met CW 3.1. kaders</vt:lpstr>
    </vt:vector>
  </ap:TitlesOfParts>
  <ap:LinksUpToDate>false</ap:LinksUpToDate>
  <ap:CharactersWithSpaces>10633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2026-04-13T10:14:00.0000000Z</dcterms:created>
  <dcterms:modified xsi:type="dcterms:W3CDTF">2026-04-13T10:14:00.0000000Z</dcterms:modified>
  <dc:creator/>
  <lastModifiedBy/>
  <dc:description>------------------------</dc:description>
  <dc:subject/>
  <keywords/>
  <version/>
  <category/>
</coreProperties>
</file>