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30" w:rsidRDefault="00374A38" w14:paraId="5B1A896A" w14:textId="127C9B93">
      <w:bookmarkStart w:name="_GoBack" w:id="0"/>
      <w:bookmarkEnd w:id="0"/>
      <w:r>
        <w:t>Geachte voorzitter,</w:t>
      </w:r>
    </w:p>
    <w:p w:rsidR="00374A38" w:rsidRDefault="00374A38" w14:paraId="45CC6CFD" w14:textId="77777777"/>
    <w:p w:rsidR="00BD6C68" w:rsidRDefault="00E326FE" w14:paraId="2ADC16EB" w14:textId="74564133">
      <w:pPr>
        <w:pStyle w:val="WitregelW1bodytekst"/>
      </w:pPr>
      <w:r>
        <w:t>Sinds 2024 is, op verzoek van de Tweede Kamer (motie Van Ginneken</w:t>
      </w:r>
      <w:r w:rsidR="00ED4A4E">
        <w:rPr>
          <w:rStyle w:val="FootnoteReference"/>
        </w:rPr>
        <w:footnoteReference w:id="1"/>
      </w:r>
      <w:r>
        <w:t>)</w:t>
      </w:r>
      <w:r w:rsidR="00A97394">
        <w:t>,</w:t>
      </w:r>
      <w:r>
        <w:t xml:space="preserve"> via voorfinanciering reeds gestart met het terugsluizen van </w:t>
      </w:r>
      <w:r w:rsidR="00A04991">
        <w:t>opbrengsten van de vrachtwagenheffing</w:t>
      </w:r>
      <w:r>
        <w:t xml:space="preserve"> ter verduurzaming en innovatie van de vervoerssector. </w:t>
      </w:r>
      <w:r w:rsidRPr="00936C91" w:rsidR="00B93D13">
        <w:t>Hiervoor is het Stimuleringspakket 2024-2025</w:t>
      </w:r>
      <w:r w:rsidR="00B93D13">
        <w:rPr>
          <w:rStyle w:val="FootnoteReference"/>
        </w:rPr>
        <w:footnoteReference w:id="2"/>
      </w:r>
      <w:r w:rsidR="00BA3A78">
        <w:t xml:space="preserve"> opgesteld</w:t>
      </w:r>
      <w:r w:rsidRPr="00936C91" w:rsidR="00B93D13">
        <w:t>.</w:t>
      </w:r>
      <w:r w:rsidR="00B93D13">
        <w:t xml:space="preserve"> </w:t>
      </w:r>
      <w:r w:rsidR="00BD6C68">
        <w:t xml:space="preserve">Met deze brief informeer ik de Kamer over de Monitoringsrapportage 2024-2025 Terugsluis Vrachtwagenheffing. Deze rapportage geeft een overzicht van de behaalde resultaten </w:t>
      </w:r>
      <w:r w:rsidR="003E2802">
        <w:t>van</w:t>
      </w:r>
      <w:r w:rsidR="00BD6C68">
        <w:t xml:space="preserve"> het stimuleringspakket.</w:t>
      </w:r>
    </w:p>
    <w:p w:rsidR="00374A38" w:rsidRDefault="00374A38" w14:paraId="4CD98F2D" w14:textId="77777777">
      <w:pPr>
        <w:pStyle w:val="WitregelW1bodytekst"/>
      </w:pPr>
    </w:p>
    <w:p w:rsidRPr="00374A38" w:rsidR="00374A38" w:rsidRDefault="00374A38" w14:paraId="4F7ACAE8" w14:textId="77777777">
      <w:pPr>
        <w:pStyle w:val="WitregelW1bodytekst"/>
        <w:rPr>
          <w:b/>
          <w:bCs/>
        </w:rPr>
      </w:pPr>
      <w:r w:rsidRPr="00374A38">
        <w:rPr>
          <w:b/>
          <w:bCs/>
        </w:rPr>
        <w:t>Totstandkoming</w:t>
      </w:r>
    </w:p>
    <w:p w:rsidR="00ED4A4E" w:rsidP="00ED4A4E" w:rsidRDefault="009B5B01" w14:paraId="31AFA761" w14:textId="708E3B60">
      <w:bookmarkStart w:name="_Hlk225413793" w:id="1"/>
      <w:r w:rsidRPr="003323D0">
        <w:t>De vrachtwagenheffing start op 1 juli 2026. Vanaf die datum betalen eigenaren van vrachtwagens per gereden kilometer. De netto</w:t>
      </w:r>
      <w:r>
        <w:t>-</w:t>
      </w:r>
      <w:r w:rsidRPr="003323D0">
        <w:t xml:space="preserve">opbrengsten van de heffing worden </w:t>
      </w:r>
      <w:r w:rsidR="00A97394">
        <w:t>ingezet</w:t>
      </w:r>
      <w:r w:rsidRPr="003323D0" w:rsidR="00A97394">
        <w:t xml:space="preserve"> </w:t>
      </w:r>
      <w:r w:rsidRPr="003323D0">
        <w:t xml:space="preserve">om de Nederlandse </w:t>
      </w:r>
      <w:r w:rsidR="00ED3F17">
        <w:t>wegtransport</w:t>
      </w:r>
      <w:r w:rsidRPr="003323D0" w:rsidR="00ED3F17">
        <w:t xml:space="preserve">sector </w:t>
      </w:r>
      <w:r w:rsidRPr="003323D0">
        <w:t xml:space="preserve">te verduurzamen en te innoveren. Dit terugspelen van de opbrengsten uit de vrachtwagenheffing via subsidies </w:t>
      </w:r>
      <w:r>
        <w:t xml:space="preserve">en andere maatregelen </w:t>
      </w:r>
      <w:r w:rsidRPr="003323D0">
        <w:t>voor (transport)ondernemers wordt de ‘terugsluis’ genoemd.</w:t>
      </w:r>
      <w:r w:rsidR="00ED4A4E">
        <w:t xml:space="preserve"> </w:t>
      </w:r>
    </w:p>
    <w:bookmarkEnd w:id="1"/>
    <w:p w:rsidR="00ED4A4E" w:rsidP="00ED4A4E" w:rsidRDefault="00ED4A4E" w14:paraId="4CEFFDB3" w14:textId="77777777"/>
    <w:p w:rsidR="00ED4A4E" w:rsidP="00ED4A4E" w:rsidRDefault="00ED4A4E" w14:paraId="52791EEE" w14:textId="2C6B76B7">
      <w:bookmarkStart w:name="_Hlk225413831" w:id="2"/>
      <w:r>
        <w:t xml:space="preserve">De terugsluis start </w:t>
      </w:r>
      <w:r w:rsidR="00520C4E">
        <w:t xml:space="preserve">echter </w:t>
      </w:r>
      <w:r>
        <w:t xml:space="preserve">niet pas op 1 juli 2026, maar is </w:t>
      </w:r>
      <w:r w:rsidR="003E2802">
        <w:t>al</w:t>
      </w:r>
      <w:r>
        <w:t xml:space="preserve"> eerder van start gegaan.</w:t>
      </w:r>
      <w:bookmarkEnd w:id="2"/>
      <w:r>
        <w:t xml:space="preserve"> </w:t>
      </w:r>
      <w:r w:rsidRPr="00936C91">
        <w:t xml:space="preserve">Met de motie Van Ginneken heeft de </w:t>
      </w:r>
      <w:r>
        <w:t xml:space="preserve">Tweede </w:t>
      </w:r>
      <w:r w:rsidRPr="00936C91">
        <w:t xml:space="preserve">Kamer gevraagd om </w:t>
      </w:r>
      <w:r w:rsidR="003E2802">
        <w:t>in 2024</w:t>
      </w:r>
      <w:r w:rsidRPr="00936C91">
        <w:t xml:space="preserve"> te starten met</w:t>
      </w:r>
      <w:r w:rsidR="003E2802">
        <w:t xml:space="preserve"> de</w:t>
      </w:r>
      <w:r w:rsidRPr="00936C91">
        <w:t xml:space="preserve"> </w:t>
      </w:r>
      <w:r w:rsidRPr="00936C91" w:rsidR="003E2802">
        <w:t>terugsluis</w:t>
      </w:r>
      <w:r w:rsidR="003E2802">
        <w:t xml:space="preserve"> met</w:t>
      </w:r>
      <w:r w:rsidRPr="00936C91" w:rsidR="003E2802">
        <w:t xml:space="preserve"> </w:t>
      </w:r>
      <w:r w:rsidRPr="00936C91">
        <w:t>behulp van voorfinanciering. Dit om te voorkomen dat het stimuleren van de verduurzaming</w:t>
      </w:r>
      <w:r w:rsidR="00520C4E">
        <w:t xml:space="preserve"> en innovatie</w:t>
      </w:r>
      <w:r w:rsidR="00087E4B">
        <w:t xml:space="preserve"> in de sector</w:t>
      </w:r>
      <w:r w:rsidRPr="00936C91">
        <w:t xml:space="preserve"> tijdelijk onderbroken zou worden, omdat de maatregelen vanuit het Klimaatakkoord eind 2023 afliepen en </w:t>
      </w:r>
      <w:r w:rsidR="00764A8A">
        <w:t>de vrachtwagenheffing</w:t>
      </w:r>
      <w:r w:rsidRPr="00936C91">
        <w:t xml:space="preserve"> pas in 2026 zou starten. </w:t>
      </w:r>
      <w:bookmarkStart w:name="_Hlk225413852" w:id="3"/>
      <w:r w:rsidRPr="00936C91">
        <w:t>Hiervoor is het Stimuleringspakket 2024-2025 opgesteld</w:t>
      </w:r>
      <w:r>
        <w:t xml:space="preserve"> en inmiddels uitgevoerd</w:t>
      </w:r>
      <w:r w:rsidRPr="00936C91">
        <w:t>.</w:t>
      </w:r>
      <w:bookmarkEnd w:id="3"/>
      <w:r w:rsidRPr="00936C91">
        <w:t xml:space="preserve"> De maatregelen uit dit pakket </w:t>
      </w:r>
      <w:r>
        <w:t>zijn</w:t>
      </w:r>
      <w:r w:rsidRPr="00936C91">
        <w:t xml:space="preserve"> </w:t>
      </w:r>
      <w:r w:rsidR="00133744">
        <w:t>gefinancierd</w:t>
      </w:r>
      <w:r w:rsidRPr="00936C91">
        <w:t xml:space="preserve"> met een lening uit het Mobiliteitsfonds, die na de start van de </w:t>
      </w:r>
      <w:r>
        <w:t>v</w:t>
      </w:r>
      <w:r w:rsidRPr="00936C91">
        <w:t>rachtwagenheffing</w:t>
      </w:r>
      <w:r w:rsidRPr="00B22E40">
        <w:t xml:space="preserve"> </w:t>
      </w:r>
      <w:r w:rsidRPr="00936C91">
        <w:t xml:space="preserve">terugbetaald </w:t>
      </w:r>
      <w:r>
        <w:t>zal</w:t>
      </w:r>
      <w:r w:rsidRPr="00936C91">
        <w:t xml:space="preserve"> worden</w:t>
      </w:r>
      <w:r>
        <w:t>.</w:t>
      </w:r>
    </w:p>
    <w:p w:rsidR="009B5B01" w:rsidP="009B5B01" w:rsidRDefault="009B5B01" w14:paraId="45CE9A44" w14:textId="0BA47DEF"/>
    <w:p w:rsidRPr="00764A8A" w:rsidR="00374A38" w:rsidP="00374A38" w:rsidRDefault="00374A38" w14:paraId="1AAEA983" w14:textId="4CCACC95">
      <w:pPr>
        <w:rPr>
          <w:b/>
          <w:bCs/>
        </w:rPr>
      </w:pPr>
      <w:r w:rsidRPr="00764A8A">
        <w:rPr>
          <w:b/>
          <w:bCs/>
        </w:rPr>
        <w:t>Inhoud stimuleringspakket</w:t>
      </w:r>
    </w:p>
    <w:p w:rsidR="00B0638F" w:rsidP="00374A38" w:rsidRDefault="00520C4E" w14:paraId="66418B33" w14:textId="4AF0C2A8">
      <w:bookmarkStart w:name="_Hlk225413865" w:id="4"/>
      <w:r>
        <w:t>In het stimuleringspakket staa</w:t>
      </w:r>
      <w:r w:rsidR="00B93D13">
        <w:t>t</w:t>
      </w:r>
      <w:r>
        <w:t xml:space="preserve"> een vijftal maatregelen beschreven. </w:t>
      </w:r>
      <w:bookmarkEnd w:id="4"/>
      <w:r>
        <w:t xml:space="preserve">Dat zijn de Aanschafsubsidieregeling Zero-Emissie Trucks (AanZET), de Subsidieregeling Private Laadinfrastructuur bij bedrijven (SPriLa), de maatregel Hernieuwbare biobrandstoffen, de Subsidieregeling Waterstof in Mobiliteit (SWiM) en de </w:t>
      </w:r>
      <w:r>
        <w:lastRenderedPageBreak/>
        <w:t>maatregel Logistieke efficiëntie. Die laatste bestaat vervolgens weer uit zes verschillende sub-maatregelen.</w:t>
      </w:r>
      <w:r w:rsidR="00BD6C68">
        <w:t xml:space="preserve"> </w:t>
      </w:r>
      <w:bookmarkStart w:name="_Hlk225413905" w:id="5"/>
      <w:r w:rsidR="00BD6C68">
        <w:t xml:space="preserve">In de periode 2024–2025 is vanuit de terugsluis </w:t>
      </w:r>
      <w:r w:rsidR="002E5CD7">
        <w:br/>
      </w:r>
      <w:r w:rsidR="00BD6C68">
        <w:t>€</w:t>
      </w:r>
      <w:r w:rsidR="00ED3F17">
        <w:t xml:space="preserve"> </w:t>
      </w:r>
      <w:r w:rsidR="00BD6C68">
        <w:t xml:space="preserve">177,3 miljoen beschikbaar gesteld voor deze maatregelen. Daarnaast was voor de SPriLa en SWiM ook budget </w:t>
      </w:r>
      <w:r w:rsidR="003E2802">
        <w:t xml:space="preserve">beschikbaar </w:t>
      </w:r>
      <w:r w:rsidR="00BD6C68">
        <w:t xml:space="preserve">vanuit het Klimaatfonds. </w:t>
      </w:r>
      <w:bookmarkEnd w:id="5"/>
    </w:p>
    <w:p w:rsidR="00520C4E" w:rsidP="00374A38" w:rsidRDefault="00520C4E" w14:paraId="739C5BA7" w14:textId="77777777"/>
    <w:p w:rsidR="00B0638F" w:rsidP="00374A38" w:rsidRDefault="00B0638F" w14:paraId="60DF7397" w14:textId="73139D58">
      <w:pPr>
        <w:rPr>
          <w:b/>
          <w:bCs/>
        </w:rPr>
      </w:pPr>
      <w:r w:rsidRPr="00B0638F">
        <w:rPr>
          <w:b/>
          <w:bCs/>
        </w:rPr>
        <w:t>Monitoringsrapportage</w:t>
      </w:r>
    </w:p>
    <w:p w:rsidR="00520C4E" w:rsidP="00374A38" w:rsidRDefault="00520C4E" w14:paraId="6EE07CA8" w14:textId="18DBAE03">
      <w:bookmarkStart w:name="_Hlk225413936" w:id="6"/>
      <w:r>
        <w:t xml:space="preserve">Het doel van deze monitoringsrapportage is om een overzicht te geven van de behaalde resultaten </w:t>
      </w:r>
      <w:r w:rsidR="003E2802">
        <w:t>van</w:t>
      </w:r>
      <w:r>
        <w:t xml:space="preserve"> het stimuleringspakket. </w:t>
      </w:r>
      <w:r w:rsidRPr="00B22E40">
        <w:t>Daar</w:t>
      </w:r>
      <w:r>
        <w:t>toe</w:t>
      </w:r>
      <w:r w:rsidRPr="00B22E40">
        <w:t xml:space="preserve"> wordt inzichtelijk gemaakt welke</w:t>
      </w:r>
      <w:r>
        <w:t xml:space="preserve"> maatregelen zijn uitgevoerd, welke</w:t>
      </w:r>
      <w:r w:rsidRPr="00B22E40">
        <w:t xml:space="preserve"> middelen</w:t>
      </w:r>
      <w:r>
        <w:t xml:space="preserve"> daarvoor</w:t>
      </w:r>
      <w:r w:rsidRPr="00B22E40">
        <w:t xml:space="preserve"> zijn ingezet, hoeveel aanvragen zijn ingediend en toegekend en tot welke resultaten dit heeft geleid.</w:t>
      </w:r>
      <w:bookmarkEnd w:id="6"/>
      <w:r w:rsidRPr="00C43141">
        <w:t xml:space="preserve"> </w:t>
      </w:r>
      <w:r w:rsidRPr="005837AC">
        <w:rPr>
          <w:color w:val="000000" w:themeColor="text1"/>
        </w:rPr>
        <w:t xml:space="preserve">De inzichten in deze monitor zijn gebaseerd op gegevens van de Rijksdienst voor Ondernemend Nederland (RVO), die verantwoordelijk is voor de uitvoering van </w:t>
      </w:r>
      <w:r>
        <w:rPr>
          <w:color w:val="000000" w:themeColor="text1"/>
        </w:rPr>
        <w:t xml:space="preserve">bijna alle </w:t>
      </w:r>
      <w:r w:rsidRPr="005837AC">
        <w:rPr>
          <w:color w:val="000000" w:themeColor="text1"/>
        </w:rPr>
        <w:t>maatregelen</w:t>
      </w:r>
      <w:r>
        <w:rPr>
          <w:color w:val="000000" w:themeColor="text1"/>
        </w:rPr>
        <w:t xml:space="preserve"> uit het stimuleringspakket</w:t>
      </w:r>
      <w:r w:rsidRPr="005837AC">
        <w:rPr>
          <w:color w:val="000000" w:themeColor="text1"/>
        </w:rPr>
        <w:t>.</w:t>
      </w:r>
    </w:p>
    <w:p w:rsidR="00520C4E" w:rsidP="00374A38" w:rsidRDefault="00520C4E" w14:paraId="1DC665ED" w14:textId="77777777"/>
    <w:p w:rsidR="009D19EE" w:rsidP="00374A38" w:rsidRDefault="00BD6C68" w14:paraId="61984273" w14:textId="71719009">
      <w:bookmarkStart w:name="_Hlk225414032" w:id="7"/>
      <w:r w:rsidRPr="00BD6C68">
        <w:t>De beschikbare middelen</w:t>
      </w:r>
      <w:r>
        <w:t xml:space="preserve"> </w:t>
      </w:r>
      <w:r w:rsidRPr="00BD6C68">
        <w:t xml:space="preserve">hebben </w:t>
      </w:r>
      <w:r w:rsidR="005E1470">
        <w:t xml:space="preserve">onder andere </w:t>
      </w:r>
      <w:r w:rsidRPr="00BD6C68">
        <w:t xml:space="preserve">bijgedragen aan de aanschaf van 1.706 elektrische vrachtwagens en 487 waterstofvrachtwagens. Daarnaast is subsidie verleend voor de realisatie van 818 laadstations en 14 waterstoftankstations voor het vrachtvervoer. </w:t>
      </w:r>
      <w:bookmarkEnd w:id="7"/>
      <w:r w:rsidRPr="00BD6C68">
        <w:t>Deze resultaten laten zien dat de maatregelen niet alleen individuele ondernemingen ondersteunen, maar ook bijdragen aan de structurele ontwikkeling van de sector. Door zowel voertuigen als laad- en tankinfrastructuur te stimuleren, wordt de transitie naar emissievrij transport in samenhang gefaciliteerd.</w:t>
      </w:r>
      <w:r w:rsidR="00A2403D">
        <w:t xml:space="preserve"> Daarnaast zijn de eerste initiatieven op het gebied van logistieke efficiëntie opgestart. Het stimuleringspakket vormt daarmee ook een belangrijke stap richting efficiënter wegtransport.</w:t>
      </w:r>
    </w:p>
    <w:p w:rsidR="00520C4E" w:rsidP="00374A38" w:rsidRDefault="00520C4E" w14:paraId="63C7CBE2" w14:textId="77777777">
      <w:pPr>
        <w:rPr>
          <w:b/>
          <w:bCs/>
        </w:rPr>
      </w:pPr>
    </w:p>
    <w:p w:rsidR="00520C4E" w:rsidP="00374A38" w:rsidRDefault="00520C4E" w14:paraId="3D8B8E1D" w14:textId="2937339C">
      <w:pPr>
        <w:rPr>
          <w:b/>
          <w:bCs/>
        </w:rPr>
      </w:pPr>
      <w:r>
        <w:rPr>
          <w:b/>
          <w:bCs/>
        </w:rPr>
        <w:t>Vervolg</w:t>
      </w:r>
    </w:p>
    <w:p w:rsidRPr="00BD6C68" w:rsidR="00520C4E" w:rsidP="007A0B57" w:rsidRDefault="00BD6C68" w14:paraId="006DEC94" w14:textId="0D3DC49E">
      <w:r w:rsidRPr="00BD6C68">
        <w:t>Met de invoering van de vrachtwagenheffing op 1 juli 2026</w:t>
      </w:r>
      <w:r w:rsidR="009D19EE">
        <w:t xml:space="preserve"> is dit jaar gestart met de uitvoering van het Meerjarenprogramma Terugsluis VWH 2026-2030</w:t>
      </w:r>
      <w:r w:rsidR="009D19EE">
        <w:rPr>
          <w:rStyle w:val="FootnoteReference"/>
        </w:rPr>
        <w:footnoteReference w:id="3"/>
      </w:r>
      <w:r w:rsidR="009D19EE">
        <w:t xml:space="preserve">. Daarmee komt in de jaren </w:t>
      </w:r>
      <w:r w:rsidRPr="007A0B57" w:rsidR="007A0B57">
        <w:t xml:space="preserve">2026-2030 </w:t>
      </w:r>
      <w:r w:rsidR="00D92F9F">
        <w:t>de netto-opbrengst van de vrachtwagenheffing</w:t>
      </w:r>
      <w:r w:rsidRPr="007A0B57" w:rsidR="007A0B57">
        <w:t xml:space="preserve"> beschikbaar voor </w:t>
      </w:r>
      <w:r w:rsidR="007A0B57">
        <w:t xml:space="preserve">de verdere </w:t>
      </w:r>
      <w:r w:rsidRPr="007A0B57" w:rsidR="007A0B57">
        <w:t>verduurzaming en innovatie van de vervoerssector</w:t>
      </w:r>
      <w:r w:rsidR="007A0B57">
        <w:t xml:space="preserve">. </w:t>
      </w:r>
    </w:p>
    <w:p w:rsidRPr="00374A38" w:rsidR="00B0638F" w:rsidP="00374A38" w:rsidRDefault="00B0638F" w14:paraId="4C2936B6" w14:textId="77777777"/>
    <w:p w:rsidR="00331530" w:rsidRDefault="00AD535D" w14:paraId="13272E90" w14:textId="77777777">
      <w:pPr>
        <w:pStyle w:val="Slotzin"/>
      </w:pPr>
      <w:r>
        <w:t>Hoogachtend,</w:t>
      </w:r>
    </w:p>
    <w:p w:rsidR="00331530" w:rsidRDefault="00AD535D" w14:paraId="6131F4B8" w14:textId="77777777">
      <w:pPr>
        <w:pStyle w:val="OndertekeningArea1"/>
      </w:pPr>
      <w:r>
        <w:t>DE MINISTER VAN INFRASTRUCTUUR EN WATERSTAAT,</w:t>
      </w:r>
    </w:p>
    <w:p w:rsidR="00331530" w:rsidRDefault="00331530" w14:paraId="54862FB4" w14:textId="77777777"/>
    <w:p w:rsidR="00331530" w:rsidRDefault="00331530" w14:paraId="3AE0E5B5" w14:textId="77777777"/>
    <w:p w:rsidR="00331530" w:rsidRDefault="00331530" w14:paraId="60D91802" w14:textId="77777777"/>
    <w:p w:rsidR="00331530" w:rsidRDefault="00331530" w14:paraId="037AFAF8" w14:textId="77777777"/>
    <w:p w:rsidR="00331530" w:rsidRDefault="00AD535D" w14:paraId="1FFAA156" w14:textId="77777777">
      <w:r>
        <w:t>Vincent Karremans</w:t>
      </w:r>
    </w:p>
    <w:sectPr w:rsidR="0033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F464" w14:textId="77777777" w:rsidR="001436B0" w:rsidRDefault="001436B0">
      <w:pPr>
        <w:spacing w:line="240" w:lineRule="auto"/>
      </w:pPr>
      <w:r>
        <w:separator/>
      </w:r>
    </w:p>
  </w:endnote>
  <w:endnote w:type="continuationSeparator" w:id="0">
    <w:p w14:paraId="3010CF58" w14:textId="77777777" w:rsidR="001436B0" w:rsidRDefault="00143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611B" w14:textId="77777777" w:rsidR="000A42DE" w:rsidRDefault="000A4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73AA" w14:textId="77777777" w:rsidR="000A42DE" w:rsidRDefault="000A4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3EB4" w14:textId="77777777" w:rsidR="000A42DE" w:rsidRDefault="000A4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B703" w14:textId="77777777" w:rsidR="001436B0" w:rsidRDefault="001436B0">
      <w:pPr>
        <w:spacing w:line="240" w:lineRule="auto"/>
      </w:pPr>
      <w:r>
        <w:separator/>
      </w:r>
    </w:p>
  </w:footnote>
  <w:footnote w:type="continuationSeparator" w:id="0">
    <w:p w14:paraId="63A1AF39" w14:textId="77777777" w:rsidR="001436B0" w:rsidRDefault="001436B0">
      <w:pPr>
        <w:spacing w:line="240" w:lineRule="auto"/>
      </w:pPr>
      <w:r>
        <w:continuationSeparator/>
      </w:r>
    </w:p>
  </w:footnote>
  <w:footnote w:id="1">
    <w:p w14:paraId="2D14DB0F" w14:textId="5D58BBA6" w:rsidR="00ED4A4E" w:rsidRPr="009D19EE" w:rsidRDefault="00ED4A4E" w:rsidP="009D19EE">
      <w:pPr>
        <w:pStyle w:val="FootnoteText"/>
      </w:pPr>
      <w:r w:rsidRPr="009D19EE">
        <w:rPr>
          <w:rStyle w:val="FootnoteReference"/>
          <w:sz w:val="14"/>
          <w:szCs w:val="16"/>
        </w:rPr>
        <w:footnoteRef/>
      </w:r>
      <w:r w:rsidRPr="009D19EE">
        <w:t xml:space="preserve"> </w:t>
      </w:r>
      <w:r w:rsidR="00520C4E" w:rsidRPr="000A42DE">
        <w:rPr>
          <w:sz w:val="14"/>
          <w:szCs w:val="16"/>
        </w:rPr>
        <w:t>Motie van het lid Van Ginneken c.s.</w:t>
      </w:r>
      <w:r w:rsidR="000A42DE">
        <w:rPr>
          <w:sz w:val="14"/>
          <w:szCs w:val="16"/>
        </w:rPr>
        <w:t xml:space="preserve"> Kamerstukken</w:t>
      </w:r>
      <w:r w:rsidR="00520C4E" w:rsidRPr="000A42DE">
        <w:rPr>
          <w:sz w:val="14"/>
          <w:szCs w:val="16"/>
        </w:rPr>
        <w:t xml:space="preserve"> 35 910</w:t>
      </w:r>
      <w:r w:rsidR="000A42DE">
        <w:rPr>
          <w:sz w:val="14"/>
          <w:szCs w:val="16"/>
        </w:rPr>
        <w:t>,</w:t>
      </w:r>
      <w:r w:rsidR="00520C4E" w:rsidRPr="000A42DE">
        <w:rPr>
          <w:sz w:val="14"/>
          <w:szCs w:val="16"/>
        </w:rPr>
        <w:t xml:space="preserve"> nr. 15</w:t>
      </w:r>
    </w:p>
  </w:footnote>
  <w:footnote w:id="2">
    <w:p w14:paraId="5F959FD7" w14:textId="3ABC1993" w:rsidR="00B93D13" w:rsidRDefault="00B93D13" w:rsidP="00B93D13">
      <w:pPr>
        <w:pStyle w:val="FootnoteText"/>
      </w:pPr>
      <w:r w:rsidRPr="009D19EE">
        <w:rPr>
          <w:rStyle w:val="FootnoteReference"/>
          <w:sz w:val="14"/>
          <w:szCs w:val="14"/>
        </w:rPr>
        <w:footnoteRef/>
      </w:r>
      <w:r w:rsidRPr="009D19EE">
        <w:rPr>
          <w:szCs w:val="14"/>
        </w:rPr>
        <w:t xml:space="preserve"> </w:t>
      </w:r>
      <w:hyperlink r:id="rId1" w:history="1">
        <w:r w:rsidR="000A42DE">
          <w:rPr>
            <w:rStyle w:val="Hyperlink"/>
            <w:sz w:val="14"/>
            <w:szCs w:val="14"/>
          </w:rPr>
          <w:t>https://www.vrachtwagenheffingsbeleid.nl/documenten/2025/09/09/stimuleringspakket-2024-2025</w:t>
        </w:r>
      </w:hyperlink>
    </w:p>
  </w:footnote>
  <w:footnote w:id="3">
    <w:p w14:paraId="4D68296D" w14:textId="7E4B2DB5" w:rsidR="009D19EE" w:rsidRPr="009D19EE" w:rsidRDefault="009D19EE" w:rsidP="009D19EE">
      <w:pPr>
        <w:pStyle w:val="FootnoteText"/>
        <w:rPr>
          <w:sz w:val="14"/>
          <w:szCs w:val="14"/>
        </w:rPr>
      </w:pPr>
      <w:r w:rsidRPr="009D19EE">
        <w:rPr>
          <w:rStyle w:val="FootnoteReference"/>
          <w:sz w:val="14"/>
          <w:szCs w:val="14"/>
        </w:rPr>
        <w:footnoteRef/>
      </w:r>
      <w:r w:rsidRPr="009D19EE">
        <w:rPr>
          <w:sz w:val="14"/>
          <w:szCs w:val="14"/>
        </w:rPr>
        <w:t xml:space="preserve"> </w:t>
      </w:r>
      <w:hyperlink r:id="rId2" w:history="1">
        <w:r w:rsidR="000A42DE">
          <w:rPr>
            <w:rStyle w:val="Hyperlink"/>
            <w:sz w:val="14"/>
            <w:szCs w:val="14"/>
          </w:rPr>
          <w:t>https://open.overheid.nl/documenten/dpc-a728d25411b804d80558ca9fdbed50d33275b8ad/pdf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3D4E" w14:textId="77777777" w:rsidR="000A42DE" w:rsidRDefault="000A4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818D" w14:textId="77777777" w:rsidR="00331530" w:rsidRDefault="00AD535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1E04D57" wp14:editId="1503A8F9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328816" w14:textId="77777777" w:rsidR="00331530" w:rsidRDefault="00AD535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C07D53" w14:textId="77777777" w:rsidR="00CB43AF" w:rsidRDefault="00CB43AF" w:rsidP="00CB43AF"/>
                        <w:p w14:paraId="4F7003B6" w14:textId="511C11AE" w:rsidR="00CB43AF" w:rsidRDefault="00AD535D" w:rsidP="00CB43AF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CB43AF">
                            <w:t>enmerk</w:t>
                          </w:r>
                        </w:p>
                        <w:p w14:paraId="174B3576" w14:textId="77777777" w:rsidR="00CB43AF" w:rsidRPr="00CB43AF" w:rsidRDefault="00CB43AF" w:rsidP="00CB43AF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CB43AF">
                            <w:rPr>
                              <w:b w:val="0"/>
                              <w:bCs/>
                            </w:rPr>
                            <w:t>IENW/BSK-2026/64274</w:t>
                          </w:r>
                        </w:p>
                        <w:p w14:paraId="6E766790" w14:textId="77777777" w:rsidR="00CB43AF" w:rsidRPr="00CB43AF" w:rsidRDefault="00CB43AF" w:rsidP="00CB43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E04D5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1328816" w14:textId="77777777" w:rsidR="00331530" w:rsidRDefault="00AD535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C07D53" w14:textId="77777777" w:rsidR="00CB43AF" w:rsidRDefault="00CB43AF" w:rsidP="00CB43AF"/>
                  <w:p w14:paraId="4F7003B6" w14:textId="511C11AE" w:rsidR="00CB43AF" w:rsidRDefault="00AD535D" w:rsidP="00CB43AF">
                    <w:pPr>
                      <w:pStyle w:val="Referentiegegevenskop"/>
                    </w:pPr>
                    <w:r>
                      <w:t>Ons k</w:t>
                    </w:r>
                    <w:r w:rsidR="00CB43AF">
                      <w:t>enmerk</w:t>
                    </w:r>
                  </w:p>
                  <w:p w14:paraId="174B3576" w14:textId="77777777" w:rsidR="00CB43AF" w:rsidRPr="00CB43AF" w:rsidRDefault="00CB43AF" w:rsidP="00CB43AF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CB43AF">
                      <w:rPr>
                        <w:b w:val="0"/>
                        <w:bCs/>
                      </w:rPr>
                      <w:t>IENW/BSK-2026/64274</w:t>
                    </w:r>
                  </w:p>
                  <w:p w14:paraId="6E766790" w14:textId="77777777" w:rsidR="00CB43AF" w:rsidRPr="00CB43AF" w:rsidRDefault="00CB43AF" w:rsidP="00CB43A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8760BEF" wp14:editId="73B4B87F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42086" w14:textId="65A0DDE7" w:rsidR="00331530" w:rsidRDefault="00AD535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4A4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4A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60BE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BB42086" w14:textId="65A0DDE7" w:rsidR="00331530" w:rsidRDefault="00AD535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4A4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4A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716D6D2" wp14:editId="423C2BB4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F0856" w14:textId="77777777" w:rsidR="00703E04" w:rsidRDefault="00703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16D6D2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96F0856" w14:textId="77777777" w:rsidR="00703E04" w:rsidRDefault="00703E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9656425" wp14:editId="61BFAB6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183C6" w14:textId="77777777" w:rsidR="00703E04" w:rsidRDefault="00703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5642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EF183C6" w14:textId="77777777" w:rsidR="00703E04" w:rsidRDefault="00703E0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D5B10" w14:textId="77777777" w:rsidR="00331530" w:rsidRDefault="00AD535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2008C2" wp14:editId="14FCA8A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4B3FA" w14:textId="77777777" w:rsidR="00703E04" w:rsidRDefault="00703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2008C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104B3FA" w14:textId="77777777" w:rsidR="00703E04" w:rsidRDefault="00703E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DE247F" wp14:editId="542AE73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0AB61" w14:textId="68556EEE" w:rsidR="00331530" w:rsidRDefault="00AD535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4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74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E247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7F0AB61" w14:textId="68556EEE" w:rsidR="00331530" w:rsidRDefault="00AD535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4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74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F502F9" wp14:editId="2E7FC3B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51A59" w14:textId="77777777" w:rsidR="00331530" w:rsidRDefault="00AD535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7D079B6" w14:textId="77777777" w:rsidR="00331530" w:rsidRDefault="00331530">
                          <w:pPr>
                            <w:pStyle w:val="WitregelW1"/>
                          </w:pPr>
                        </w:p>
                        <w:p w14:paraId="33DA097E" w14:textId="77777777" w:rsidR="00331530" w:rsidRDefault="00AD535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EAB0076" w14:textId="77777777" w:rsidR="00331530" w:rsidRPr="00374A38" w:rsidRDefault="00AD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4A3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13D98F8" w14:textId="77777777" w:rsidR="00331530" w:rsidRPr="00374A38" w:rsidRDefault="00AD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4A3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3221D5E" w14:textId="77777777" w:rsidR="00331530" w:rsidRPr="00374A38" w:rsidRDefault="00AD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4A3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ECD4643" w14:textId="77777777" w:rsidR="00331530" w:rsidRPr="00374A38" w:rsidRDefault="0033153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40D4B24" w14:textId="77777777" w:rsidR="00331530" w:rsidRPr="00374A38" w:rsidRDefault="00AD535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74A3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D08638A" w14:textId="77777777" w:rsidR="00331530" w:rsidRDefault="00AD535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5DF9F91" w14:textId="77777777" w:rsidR="00331530" w:rsidRPr="00AD535D" w:rsidRDefault="00331530" w:rsidP="00AD535D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B477D26" w14:textId="6FF59C90" w:rsidR="00CB43AF" w:rsidRPr="00AD535D" w:rsidRDefault="00AD535D" w:rsidP="00AD535D">
                          <w:pPr>
                            <w:pStyle w:val="Referentiegegevenskop"/>
                            <w:spacing w:line="276" w:lineRule="auto"/>
                          </w:pPr>
                          <w:r w:rsidRPr="00AD535D">
                            <w:t>Ons k</w:t>
                          </w:r>
                          <w:r w:rsidR="00CB43AF" w:rsidRPr="00AD535D">
                            <w:t>enmerk</w:t>
                          </w:r>
                        </w:p>
                        <w:p w14:paraId="5669F590" w14:textId="059DCCE3" w:rsidR="00CB43AF" w:rsidRPr="00AD535D" w:rsidRDefault="00CB43AF" w:rsidP="00AD535D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AD535D">
                            <w:rPr>
                              <w:b w:val="0"/>
                              <w:bCs/>
                            </w:rPr>
                            <w:t>IENW/BSK-2026/64274</w:t>
                          </w:r>
                        </w:p>
                        <w:p w14:paraId="7093817E" w14:textId="77777777" w:rsidR="00CB43AF" w:rsidRPr="00AD535D" w:rsidRDefault="00CB43AF" w:rsidP="00AD535D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2EF95006" w14:textId="39FE6C74" w:rsidR="00331530" w:rsidRPr="00AD535D" w:rsidRDefault="00AD535D" w:rsidP="00AD535D">
                          <w:pPr>
                            <w:pStyle w:val="Referentiegegevenskop"/>
                            <w:spacing w:line="276" w:lineRule="auto"/>
                          </w:pPr>
                          <w:r w:rsidRPr="00AD535D">
                            <w:t>Bijlage(n)</w:t>
                          </w:r>
                        </w:p>
                        <w:p w14:paraId="2D7FC18F" w14:textId="02FACED2" w:rsidR="00331530" w:rsidRPr="00AD535D" w:rsidRDefault="00A01C96" w:rsidP="00AD535D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502F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D051A59" w14:textId="77777777" w:rsidR="00331530" w:rsidRDefault="00AD535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7D079B6" w14:textId="77777777" w:rsidR="00331530" w:rsidRDefault="00331530">
                    <w:pPr>
                      <w:pStyle w:val="WitregelW1"/>
                    </w:pPr>
                  </w:p>
                  <w:p w14:paraId="33DA097E" w14:textId="77777777" w:rsidR="00331530" w:rsidRDefault="00AD535D">
                    <w:pPr>
                      <w:pStyle w:val="Afzendgegevens"/>
                    </w:pPr>
                    <w:r>
                      <w:t>Rijnstraat 8</w:t>
                    </w:r>
                  </w:p>
                  <w:p w14:paraId="4EAB0076" w14:textId="77777777" w:rsidR="00331530" w:rsidRPr="00374A38" w:rsidRDefault="00AD535D">
                    <w:pPr>
                      <w:pStyle w:val="Afzendgegevens"/>
                      <w:rPr>
                        <w:lang w:val="de-DE"/>
                      </w:rPr>
                    </w:pPr>
                    <w:r w:rsidRPr="00374A38">
                      <w:rPr>
                        <w:lang w:val="de-DE"/>
                      </w:rPr>
                      <w:t>2515 XP  Den Haag</w:t>
                    </w:r>
                  </w:p>
                  <w:p w14:paraId="113D98F8" w14:textId="77777777" w:rsidR="00331530" w:rsidRPr="00374A38" w:rsidRDefault="00AD535D">
                    <w:pPr>
                      <w:pStyle w:val="Afzendgegevens"/>
                      <w:rPr>
                        <w:lang w:val="de-DE"/>
                      </w:rPr>
                    </w:pPr>
                    <w:r w:rsidRPr="00374A38">
                      <w:rPr>
                        <w:lang w:val="de-DE"/>
                      </w:rPr>
                      <w:t>Postbus 20901</w:t>
                    </w:r>
                  </w:p>
                  <w:p w14:paraId="03221D5E" w14:textId="77777777" w:rsidR="00331530" w:rsidRPr="00374A38" w:rsidRDefault="00AD535D">
                    <w:pPr>
                      <w:pStyle w:val="Afzendgegevens"/>
                      <w:rPr>
                        <w:lang w:val="de-DE"/>
                      </w:rPr>
                    </w:pPr>
                    <w:r w:rsidRPr="00374A38">
                      <w:rPr>
                        <w:lang w:val="de-DE"/>
                      </w:rPr>
                      <w:t>2500 EX Den Haag</w:t>
                    </w:r>
                  </w:p>
                  <w:p w14:paraId="4ECD4643" w14:textId="77777777" w:rsidR="00331530" w:rsidRPr="00374A38" w:rsidRDefault="0033153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40D4B24" w14:textId="77777777" w:rsidR="00331530" w:rsidRPr="00374A38" w:rsidRDefault="00AD535D">
                    <w:pPr>
                      <w:pStyle w:val="Afzendgegevens"/>
                      <w:rPr>
                        <w:lang w:val="de-DE"/>
                      </w:rPr>
                    </w:pPr>
                    <w:r w:rsidRPr="00374A38">
                      <w:rPr>
                        <w:lang w:val="de-DE"/>
                      </w:rPr>
                      <w:t>T   070-456 0000</w:t>
                    </w:r>
                  </w:p>
                  <w:p w14:paraId="7D08638A" w14:textId="77777777" w:rsidR="00331530" w:rsidRDefault="00AD535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5DF9F91" w14:textId="77777777" w:rsidR="00331530" w:rsidRPr="00AD535D" w:rsidRDefault="00331530" w:rsidP="00AD535D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B477D26" w14:textId="6FF59C90" w:rsidR="00CB43AF" w:rsidRPr="00AD535D" w:rsidRDefault="00AD535D" w:rsidP="00AD535D">
                    <w:pPr>
                      <w:pStyle w:val="Referentiegegevenskop"/>
                      <w:spacing w:line="276" w:lineRule="auto"/>
                    </w:pPr>
                    <w:r w:rsidRPr="00AD535D">
                      <w:t>Ons k</w:t>
                    </w:r>
                    <w:r w:rsidR="00CB43AF" w:rsidRPr="00AD535D">
                      <w:t>enmerk</w:t>
                    </w:r>
                  </w:p>
                  <w:p w14:paraId="5669F590" w14:textId="059DCCE3" w:rsidR="00CB43AF" w:rsidRPr="00AD535D" w:rsidRDefault="00CB43AF" w:rsidP="00AD535D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AD535D">
                      <w:rPr>
                        <w:b w:val="0"/>
                        <w:bCs/>
                      </w:rPr>
                      <w:t>IENW/BSK-2026/64274</w:t>
                    </w:r>
                  </w:p>
                  <w:p w14:paraId="7093817E" w14:textId="77777777" w:rsidR="00CB43AF" w:rsidRPr="00AD535D" w:rsidRDefault="00CB43AF" w:rsidP="00AD535D">
                    <w:pPr>
                      <w:pStyle w:val="Referentiegegevenskop"/>
                      <w:spacing w:line="276" w:lineRule="auto"/>
                    </w:pPr>
                  </w:p>
                  <w:p w14:paraId="2EF95006" w14:textId="39FE6C74" w:rsidR="00331530" w:rsidRPr="00AD535D" w:rsidRDefault="00AD535D" w:rsidP="00AD535D">
                    <w:pPr>
                      <w:pStyle w:val="Referentiegegevenskop"/>
                      <w:spacing w:line="276" w:lineRule="auto"/>
                    </w:pPr>
                    <w:r w:rsidRPr="00AD535D">
                      <w:t>Bijlage(n)</w:t>
                    </w:r>
                  </w:p>
                  <w:p w14:paraId="2D7FC18F" w14:textId="02FACED2" w:rsidR="00331530" w:rsidRPr="00AD535D" w:rsidRDefault="00A01C96" w:rsidP="00AD535D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83A189" wp14:editId="32D8FA1C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7BCE8" w14:textId="77777777" w:rsidR="00331530" w:rsidRDefault="00AD5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4D2237" wp14:editId="11265367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3A18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567BCE8" w14:textId="77777777" w:rsidR="00331530" w:rsidRDefault="00AD535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4D2237" wp14:editId="11265367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8FFC908" wp14:editId="17D00EF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CC791" w14:textId="77777777" w:rsidR="00331530" w:rsidRDefault="00AD53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5A4B79" wp14:editId="510E052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FC90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E3CC791" w14:textId="77777777" w:rsidR="00331530" w:rsidRDefault="00AD535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65A4B79" wp14:editId="510E0526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3DB42D8" wp14:editId="2DA030E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68AED" w14:textId="77777777" w:rsidR="00331530" w:rsidRDefault="00AD535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B42D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A468AED" w14:textId="77777777" w:rsidR="00331530" w:rsidRDefault="00AD535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8034D3" wp14:editId="527783F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49096" w14:textId="77777777" w:rsidR="00331530" w:rsidRDefault="00AD535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034D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1A49096" w14:textId="77777777" w:rsidR="00331530" w:rsidRDefault="00AD535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0EFB71" wp14:editId="2FD0EDE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31530" w14:paraId="2716D6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C641C6" w14:textId="77777777" w:rsidR="00331530" w:rsidRDefault="00331530"/>
                            </w:tc>
                            <w:tc>
                              <w:tcPr>
                                <w:tcW w:w="5400" w:type="dxa"/>
                              </w:tcPr>
                              <w:p w14:paraId="30D644B6" w14:textId="77777777" w:rsidR="00331530" w:rsidRDefault="00331530"/>
                            </w:tc>
                          </w:tr>
                          <w:tr w:rsidR="00331530" w14:paraId="14E10E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35AB05" w14:textId="77777777" w:rsidR="00331530" w:rsidRDefault="00AD53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EEBD4D" w14:textId="10EF16BF" w:rsidR="00331530" w:rsidRDefault="00AD535D">
                                <w:r>
                                  <w:t>13 april 2026</w:t>
                                </w:r>
                              </w:p>
                            </w:tc>
                          </w:tr>
                          <w:tr w:rsidR="00331530" w14:paraId="3278D0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FD3601" w14:textId="77777777" w:rsidR="00331530" w:rsidRDefault="00AD535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0D8374" w14:textId="2DBF1B43" w:rsidR="00331530" w:rsidRDefault="00AD535D">
                                <w:r>
                                  <w:t xml:space="preserve">Monitoringsrapportage </w:t>
                                </w:r>
                                <w:r w:rsidR="00E326FE">
                                  <w:t xml:space="preserve">2024-2025 </w:t>
                                </w:r>
                                <w:r>
                                  <w:t xml:space="preserve">Terugsluis Vrachtwagenheffing </w:t>
                                </w:r>
                              </w:p>
                            </w:tc>
                          </w:tr>
                          <w:tr w:rsidR="00331530" w14:paraId="7D4D0C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EC7CBC" w14:textId="77777777" w:rsidR="00331530" w:rsidRDefault="00331530"/>
                            </w:tc>
                            <w:tc>
                              <w:tcPr>
                                <w:tcW w:w="5400" w:type="dxa"/>
                              </w:tcPr>
                              <w:p w14:paraId="0E7A1A3B" w14:textId="77777777" w:rsidR="00331530" w:rsidRDefault="00331530"/>
                            </w:tc>
                          </w:tr>
                        </w:tbl>
                        <w:p w14:paraId="0FE24D8D" w14:textId="77777777" w:rsidR="00703E04" w:rsidRDefault="00703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EFB7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31530" w14:paraId="2716D6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C641C6" w14:textId="77777777" w:rsidR="00331530" w:rsidRDefault="00331530"/>
                      </w:tc>
                      <w:tc>
                        <w:tcPr>
                          <w:tcW w:w="5400" w:type="dxa"/>
                        </w:tcPr>
                        <w:p w14:paraId="30D644B6" w14:textId="77777777" w:rsidR="00331530" w:rsidRDefault="00331530"/>
                      </w:tc>
                    </w:tr>
                    <w:tr w:rsidR="00331530" w14:paraId="14E10E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35AB05" w14:textId="77777777" w:rsidR="00331530" w:rsidRDefault="00AD535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EEBD4D" w14:textId="10EF16BF" w:rsidR="00331530" w:rsidRDefault="00AD535D">
                          <w:r>
                            <w:t>13 april 2026</w:t>
                          </w:r>
                        </w:p>
                      </w:tc>
                    </w:tr>
                    <w:tr w:rsidR="00331530" w14:paraId="3278D0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FD3601" w14:textId="77777777" w:rsidR="00331530" w:rsidRDefault="00AD535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0D8374" w14:textId="2DBF1B43" w:rsidR="00331530" w:rsidRDefault="00AD535D">
                          <w:r>
                            <w:t xml:space="preserve">Monitoringsrapportage </w:t>
                          </w:r>
                          <w:r w:rsidR="00E326FE">
                            <w:t xml:space="preserve">2024-2025 </w:t>
                          </w:r>
                          <w:r>
                            <w:t xml:space="preserve">Terugsluis Vrachtwagenheffing </w:t>
                          </w:r>
                        </w:p>
                      </w:tc>
                    </w:tr>
                    <w:tr w:rsidR="00331530" w14:paraId="7D4D0C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EC7CBC" w14:textId="77777777" w:rsidR="00331530" w:rsidRDefault="00331530"/>
                      </w:tc>
                      <w:tc>
                        <w:tcPr>
                          <w:tcW w:w="5400" w:type="dxa"/>
                        </w:tcPr>
                        <w:p w14:paraId="0E7A1A3B" w14:textId="77777777" w:rsidR="00331530" w:rsidRDefault="00331530"/>
                      </w:tc>
                    </w:tr>
                  </w:tbl>
                  <w:p w14:paraId="0FE24D8D" w14:textId="77777777" w:rsidR="00703E04" w:rsidRDefault="00703E0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D4468B2" wp14:editId="44717F6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6EDFE" w14:textId="77777777" w:rsidR="00703E04" w:rsidRDefault="00703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4468B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906EDFE" w14:textId="77777777" w:rsidR="00703E04" w:rsidRDefault="00703E0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D9AA7"/>
    <w:multiLevelType w:val="multilevel"/>
    <w:tmpl w:val="B797BA0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BCFFA8"/>
    <w:multiLevelType w:val="multilevel"/>
    <w:tmpl w:val="132AA1F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23A861"/>
    <w:multiLevelType w:val="multilevel"/>
    <w:tmpl w:val="A69F77C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555BE47"/>
    <w:multiLevelType w:val="multilevel"/>
    <w:tmpl w:val="4F6DC13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38398A"/>
    <w:multiLevelType w:val="multilevel"/>
    <w:tmpl w:val="71AC6F6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05618C"/>
    <w:multiLevelType w:val="multilevel"/>
    <w:tmpl w:val="BB870B9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E5F8C5"/>
    <w:multiLevelType w:val="multilevel"/>
    <w:tmpl w:val="3DAA167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003F09"/>
    <w:multiLevelType w:val="multilevel"/>
    <w:tmpl w:val="99255BD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C6CB881"/>
    <w:multiLevelType w:val="multilevel"/>
    <w:tmpl w:val="99A6D8B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41FC94"/>
    <w:multiLevelType w:val="multilevel"/>
    <w:tmpl w:val="488BB15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5CF80E"/>
    <w:multiLevelType w:val="multilevel"/>
    <w:tmpl w:val="759606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2FFE2C6E"/>
    <w:multiLevelType w:val="multilevel"/>
    <w:tmpl w:val="478FFCC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BA030"/>
    <w:multiLevelType w:val="multilevel"/>
    <w:tmpl w:val="0EB17F6A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847BF"/>
    <w:multiLevelType w:val="multilevel"/>
    <w:tmpl w:val="6B06CD2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933F9F"/>
    <w:multiLevelType w:val="multilevel"/>
    <w:tmpl w:val="09D1493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02EC2D"/>
    <w:multiLevelType w:val="multilevel"/>
    <w:tmpl w:val="BAEDA01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70BA52"/>
    <w:multiLevelType w:val="multilevel"/>
    <w:tmpl w:val="8F9430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EF61526"/>
    <w:multiLevelType w:val="multilevel"/>
    <w:tmpl w:val="765B2E1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43BA85"/>
    <w:multiLevelType w:val="multilevel"/>
    <w:tmpl w:val="2269452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5AC85"/>
    <w:multiLevelType w:val="multilevel"/>
    <w:tmpl w:val="0358701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CAACBC"/>
    <w:multiLevelType w:val="multilevel"/>
    <w:tmpl w:val="3AF38CD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4427FC"/>
    <w:multiLevelType w:val="multilevel"/>
    <w:tmpl w:val="6A4A7CC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670C79"/>
    <w:multiLevelType w:val="multilevel"/>
    <w:tmpl w:val="1D5982F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9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21"/>
  </w:num>
  <w:num w:numId="15">
    <w:abstractNumId w:val="7"/>
  </w:num>
  <w:num w:numId="16">
    <w:abstractNumId w:val="6"/>
  </w:num>
  <w:num w:numId="17">
    <w:abstractNumId w:val="22"/>
  </w:num>
  <w:num w:numId="18">
    <w:abstractNumId w:val="4"/>
  </w:num>
  <w:num w:numId="19">
    <w:abstractNumId w:val="15"/>
  </w:num>
  <w:num w:numId="20">
    <w:abstractNumId w:val="18"/>
  </w:num>
  <w:num w:numId="21">
    <w:abstractNumId w:val="5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38"/>
    <w:rsid w:val="00007568"/>
    <w:rsid w:val="000843BD"/>
    <w:rsid w:val="00087E4B"/>
    <w:rsid w:val="000A42DE"/>
    <w:rsid w:val="000A54C9"/>
    <w:rsid w:val="000F554B"/>
    <w:rsid w:val="0010372B"/>
    <w:rsid w:val="00105AED"/>
    <w:rsid w:val="00133744"/>
    <w:rsid w:val="001436B0"/>
    <w:rsid w:val="00147092"/>
    <w:rsid w:val="0018561C"/>
    <w:rsid w:val="001A723C"/>
    <w:rsid w:val="00225E2C"/>
    <w:rsid w:val="00261AA3"/>
    <w:rsid w:val="002E5CD7"/>
    <w:rsid w:val="00310798"/>
    <w:rsid w:val="00331530"/>
    <w:rsid w:val="00374A38"/>
    <w:rsid w:val="003E2802"/>
    <w:rsid w:val="003F690E"/>
    <w:rsid w:val="004448F3"/>
    <w:rsid w:val="0048133C"/>
    <w:rsid w:val="00493D86"/>
    <w:rsid w:val="004E5A26"/>
    <w:rsid w:val="0050054E"/>
    <w:rsid w:val="00520C4E"/>
    <w:rsid w:val="005E1470"/>
    <w:rsid w:val="00677ABD"/>
    <w:rsid w:val="006D00A3"/>
    <w:rsid w:val="006E1A69"/>
    <w:rsid w:val="006F4F26"/>
    <w:rsid w:val="00703E04"/>
    <w:rsid w:val="00717F02"/>
    <w:rsid w:val="00764A8A"/>
    <w:rsid w:val="007A0B57"/>
    <w:rsid w:val="007D0317"/>
    <w:rsid w:val="007D0A8D"/>
    <w:rsid w:val="0083510A"/>
    <w:rsid w:val="008C6F89"/>
    <w:rsid w:val="008D74D5"/>
    <w:rsid w:val="008E1F52"/>
    <w:rsid w:val="008F2BF0"/>
    <w:rsid w:val="009B5B01"/>
    <w:rsid w:val="009D19EE"/>
    <w:rsid w:val="00A01C96"/>
    <w:rsid w:val="00A04991"/>
    <w:rsid w:val="00A2403D"/>
    <w:rsid w:val="00A36B3B"/>
    <w:rsid w:val="00A662D9"/>
    <w:rsid w:val="00A90A68"/>
    <w:rsid w:val="00A97394"/>
    <w:rsid w:val="00AD535D"/>
    <w:rsid w:val="00B0638F"/>
    <w:rsid w:val="00B5296F"/>
    <w:rsid w:val="00B5657F"/>
    <w:rsid w:val="00B71EBE"/>
    <w:rsid w:val="00B93D13"/>
    <w:rsid w:val="00BA3A78"/>
    <w:rsid w:val="00BD6C68"/>
    <w:rsid w:val="00C7321E"/>
    <w:rsid w:val="00CA316B"/>
    <w:rsid w:val="00CB2C17"/>
    <w:rsid w:val="00CB43AF"/>
    <w:rsid w:val="00CF7D97"/>
    <w:rsid w:val="00D05818"/>
    <w:rsid w:val="00D92F9F"/>
    <w:rsid w:val="00D95C42"/>
    <w:rsid w:val="00DB000D"/>
    <w:rsid w:val="00DB0A4A"/>
    <w:rsid w:val="00DE1362"/>
    <w:rsid w:val="00E326FE"/>
    <w:rsid w:val="00E37050"/>
    <w:rsid w:val="00E94546"/>
    <w:rsid w:val="00ED3F17"/>
    <w:rsid w:val="00ED4A4E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D2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74A3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3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A3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38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D19EE"/>
    <w:pPr>
      <w:autoSpaceDN/>
      <w:spacing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19EE"/>
    <w:rPr>
      <w:rFonts w:ascii="Verdana" w:eastAsia="Times New Roman" w:hAnsi="Verdana" w:cs="Times New Roman"/>
      <w:sz w:val="18"/>
    </w:rPr>
  </w:style>
  <w:style w:type="character" w:styleId="FootnoteReference">
    <w:name w:val="footnote reference"/>
    <w:basedOn w:val="DefaultParagraphFont"/>
    <w:uiPriority w:val="99"/>
    <w:unhideWhenUsed/>
    <w:rsid w:val="00ED4A4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20C4E"/>
    <w:rPr>
      <w:color w:val="96607D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C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8F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8F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8F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.overheid.nl/documenten/dpc-a728d25411b804d80558ca9fdbed50d33275b8ad/pdf" TargetMode="External"/><Relationship Id="rId1" Type="http://schemas.openxmlformats.org/officeDocument/2006/relationships/hyperlink" Target="https://www.vrachtwagenheffingsbeleid.nl/documenten/2025/09/09/stimuleringspakket-2024-2025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588</ap:Words>
  <ap:Characters>3354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Monitoringsrapportage Terugsluis Vrachtwagenheffing 2024-2025</vt:lpstr>
    </vt:vector>
  </ap:TitlesOfParts>
  <ap:LinksUpToDate>false</ap:LinksUpToDate>
  <ap:CharactersWithSpaces>3935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2026-04-13T11:55:00.0000000Z</dcterms:created>
  <dcterms:modified xsi:type="dcterms:W3CDTF">2026-04-13T11:55:00.0000000Z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Monitoringsrapportage Terugsluis Vrachtwagenheffing 2024-2025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Vrachtwagenheffing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Roks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