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5471" w:rsidP="00815471" w:rsidRDefault="00815471" w14:paraId="5F736BFA" w14:textId="7584FE91">
      <w:pPr>
        <w:pStyle w:val="Geenafstand"/>
      </w:pPr>
      <w:r>
        <w:t>AH 1606</w:t>
      </w:r>
    </w:p>
    <w:p w:rsidR="00815471" w:rsidP="00815471" w:rsidRDefault="00815471" w14:paraId="12D88641" w14:textId="11F74407">
      <w:pPr>
        <w:pStyle w:val="Geenafstand"/>
      </w:pPr>
      <w:r>
        <w:t>2026Z03779</w:t>
      </w:r>
    </w:p>
    <w:p w:rsidR="00815471" w:rsidP="00815471" w:rsidRDefault="00815471" w14:paraId="508DAC56" w14:textId="77777777">
      <w:pPr>
        <w:pStyle w:val="Geenafstand"/>
      </w:pPr>
    </w:p>
    <w:p w:rsidRPr="00815471" w:rsidR="00815471" w:rsidP="00815471" w:rsidRDefault="00815471" w14:paraId="615FCD65" w14:textId="403163DC">
      <w:pPr>
        <w:rPr>
          <w:sz w:val="24"/>
          <w:szCs w:val="24"/>
        </w:rPr>
      </w:pPr>
      <w:r w:rsidRPr="00815471">
        <w:rPr>
          <w:sz w:val="24"/>
          <w:szCs w:val="24"/>
        </w:rPr>
        <w:t>Antwoord van minister Van Weel (Justitie en Veiligheid) (ontvangen  13 april 2026)</w:t>
      </w:r>
    </w:p>
    <w:p w:rsidRPr="00815471" w:rsidR="00815471" w:rsidP="00815471" w:rsidRDefault="00815471" w14:paraId="0342408A" w14:textId="695B345A">
      <w:r w:rsidRPr="00815471">
        <w:rPr>
          <w:color w:val="000000"/>
          <w:sz w:val="24"/>
          <w:szCs w:val="24"/>
        </w:rPr>
        <w:t xml:space="preserve">Zie ook Aanhangsel Handelingen, vergaderjaar 2025-2026, nr. </w:t>
      </w:r>
      <w:r w:rsidRPr="00815471">
        <w:t>1375</w:t>
      </w:r>
    </w:p>
    <w:p w:rsidRPr="002439F1" w:rsidR="00815471" w:rsidP="00815471" w:rsidRDefault="00815471" w14:paraId="3C27C9E0" w14:textId="77777777">
      <w:pPr>
        <w:rPr>
          <w:b/>
          <w:bCs/>
        </w:rPr>
      </w:pPr>
    </w:p>
    <w:p w:rsidRPr="002439F1" w:rsidR="00815471" w:rsidP="00815471" w:rsidRDefault="00815471" w14:paraId="6A0242C4" w14:textId="77777777">
      <w:pPr>
        <w:rPr>
          <w:b/>
          <w:bCs/>
        </w:rPr>
      </w:pPr>
      <w:r w:rsidRPr="002439F1">
        <w:rPr>
          <w:b/>
          <w:bCs/>
        </w:rPr>
        <w:t>Vraag 1</w:t>
      </w:r>
    </w:p>
    <w:p w:rsidRPr="002439F1" w:rsidR="00815471" w:rsidP="00815471" w:rsidRDefault="00815471" w14:paraId="73C83716" w14:textId="77777777">
      <w:pPr>
        <w:rPr>
          <w:b/>
          <w:bCs/>
        </w:rPr>
      </w:pPr>
      <w:r w:rsidRPr="002439F1">
        <w:rPr>
          <w:b/>
          <w:bCs/>
        </w:rPr>
        <w:t>Kunt u deze aanvullende schriftelijke vragen betrekken bij de beantwoording van de eerdere schriftelijke vragen over dit onderwerp?</w:t>
      </w:r>
      <w:r w:rsidRPr="002439F1">
        <w:rPr>
          <w:rStyle w:val="Voetnootmarkering"/>
          <w:b/>
          <w:bCs/>
        </w:rPr>
        <w:footnoteReference w:id="1"/>
      </w:r>
    </w:p>
    <w:p w:rsidRPr="002439F1" w:rsidR="00815471" w:rsidP="00815471" w:rsidRDefault="00815471" w14:paraId="62F637AF" w14:textId="77777777">
      <w:pPr>
        <w:rPr>
          <w:b/>
          <w:bCs/>
        </w:rPr>
      </w:pPr>
    </w:p>
    <w:p w:rsidRPr="002439F1" w:rsidR="00815471" w:rsidP="00815471" w:rsidRDefault="00815471" w14:paraId="1AC3159C" w14:textId="77777777">
      <w:pPr>
        <w:rPr>
          <w:b/>
          <w:bCs/>
        </w:rPr>
      </w:pPr>
      <w:r w:rsidRPr="002439F1">
        <w:rPr>
          <w:b/>
          <w:bCs/>
        </w:rPr>
        <w:t>Antwoord op vraag 1</w:t>
      </w:r>
    </w:p>
    <w:p w:rsidRPr="002439F1" w:rsidR="00815471" w:rsidP="00815471" w:rsidRDefault="00815471" w14:paraId="4920BDC4" w14:textId="77777777">
      <w:r w:rsidRPr="002439F1">
        <w:t>Ja.</w:t>
      </w:r>
    </w:p>
    <w:p w:rsidRPr="002439F1" w:rsidR="00815471" w:rsidP="00815471" w:rsidRDefault="00815471" w14:paraId="081CD59C" w14:textId="77777777"/>
    <w:p w:rsidRPr="002439F1" w:rsidR="00815471" w:rsidP="00815471" w:rsidRDefault="00815471" w14:paraId="553B6723" w14:textId="77777777">
      <w:pPr>
        <w:rPr>
          <w:b/>
          <w:bCs/>
        </w:rPr>
      </w:pPr>
      <w:r w:rsidRPr="002439F1">
        <w:rPr>
          <w:b/>
          <w:bCs/>
        </w:rPr>
        <w:t>Vraag 2</w:t>
      </w:r>
    </w:p>
    <w:p w:rsidRPr="002439F1" w:rsidR="00815471" w:rsidP="00815471" w:rsidRDefault="00815471" w14:paraId="62F07CA9" w14:textId="77777777">
      <w:pPr>
        <w:rPr>
          <w:b/>
          <w:bCs/>
        </w:rPr>
      </w:pPr>
      <w:r w:rsidRPr="002439F1">
        <w:rPr>
          <w:b/>
          <w:bCs/>
        </w:rPr>
        <w:t>Hoe wordt voorkomen dat verschillen ontstaan in toepassing en vergoedingspraktijk tussen regio’s?</w:t>
      </w:r>
    </w:p>
    <w:p w:rsidRPr="002439F1" w:rsidR="00815471" w:rsidP="00815471" w:rsidRDefault="00815471" w14:paraId="3EEB3C28" w14:textId="77777777">
      <w:pPr>
        <w:rPr>
          <w:b/>
          <w:bCs/>
        </w:rPr>
      </w:pPr>
    </w:p>
    <w:p w:rsidRPr="002439F1" w:rsidR="00815471" w:rsidP="00815471" w:rsidRDefault="00815471" w14:paraId="616F9F6C" w14:textId="77777777">
      <w:pPr>
        <w:rPr>
          <w:b/>
          <w:bCs/>
        </w:rPr>
      </w:pPr>
      <w:r w:rsidRPr="002439F1">
        <w:rPr>
          <w:b/>
          <w:bCs/>
        </w:rPr>
        <w:t xml:space="preserve">Antwoord </w:t>
      </w:r>
      <w:r>
        <w:rPr>
          <w:b/>
          <w:bCs/>
        </w:rPr>
        <w:t xml:space="preserve">op </w:t>
      </w:r>
      <w:r w:rsidRPr="002439F1">
        <w:rPr>
          <w:b/>
          <w:bCs/>
        </w:rPr>
        <w:t>vraag 2</w:t>
      </w:r>
    </w:p>
    <w:p w:rsidRPr="002439F1" w:rsidR="00815471" w:rsidP="00815471" w:rsidRDefault="00815471" w14:paraId="1243EAB9" w14:textId="77777777">
      <w:r w:rsidRPr="002439F1">
        <w:t xml:space="preserve">De veiligheidsregio’s hebben mij laten weten dat een uniforme werkwijze en uitvoering wordt beoogd door landelijke coördinatie en overleg tussen uitvoeringsprofessionals. Hiermee wordt voorzien dat de regeling binnen elke veiligheidsregio op dezelfde wijze wordt uitgevoerd, toegepast en uitgelegd. De uniforme uitvoering van de Regeling PTSS wordt daarbij jaarlijks geëvalueerd door de veiligheidsregio’s. </w:t>
      </w:r>
    </w:p>
    <w:p w:rsidRPr="002439F1" w:rsidR="00815471" w:rsidP="00815471" w:rsidRDefault="00815471" w14:paraId="529071AE" w14:textId="77777777"/>
    <w:p w:rsidRPr="002439F1" w:rsidR="00815471" w:rsidP="00815471" w:rsidRDefault="00815471" w14:paraId="0A65FC14" w14:textId="77777777">
      <w:pPr>
        <w:rPr>
          <w:b/>
          <w:bCs/>
        </w:rPr>
      </w:pPr>
      <w:r w:rsidRPr="002439F1">
        <w:rPr>
          <w:b/>
          <w:bCs/>
        </w:rPr>
        <w:t>Vraag 3</w:t>
      </w:r>
    </w:p>
    <w:p w:rsidRPr="002439F1" w:rsidR="00815471" w:rsidP="00815471" w:rsidRDefault="00815471" w14:paraId="058432E8" w14:textId="77777777">
      <w:pPr>
        <w:rPr>
          <w:b/>
          <w:bCs/>
        </w:rPr>
      </w:pPr>
      <w:r w:rsidRPr="002439F1">
        <w:rPr>
          <w:b/>
          <w:bCs/>
        </w:rPr>
        <w:t>Klopt het dat vergoedingen op grond van de PTSS-regeling in mindering worden gebracht op eventuele latere schadevergoedingen bij aansprakelijkheid? Hoe verhoudt dit zich tot het ontbreken van een volledige schadevergoeding binnen de regeling zelf?</w:t>
      </w:r>
    </w:p>
    <w:p w:rsidRPr="002439F1" w:rsidR="00815471" w:rsidP="00815471" w:rsidRDefault="00815471" w14:paraId="3BA1A521" w14:textId="77777777">
      <w:pPr>
        <w:rPr>
          <w:b/>
          <w:bCs/>
        </w:rPr>
      </w:pPr>
    </w:p>
    <w:p w:rsidRPr="002439F1" w:rsidR="00815471" w:rsidP="00815471" w:rsidRDefault="00815471" w14:paraId="4348BB54" w14:textId="77777777">
      <w:pPr>
        <w:rPr>
          <w:b/>
          <w:bCs/>
        </w:rPr>
      </w:pPr>
      <w:r w:rsidRPr="002439F1">
        <w:rPr>
          <w:b/>
          <w:bCs/>
        </w:rPr>
        <w:t>Antwoord</w:t>
      </w:r>
      <w:r>
        <w:rPr>
          <w:b/>
          <w:bCs/>
        </w:rPr>
        <w:t xml:space="preserve"> op</w:t>
      </w:r>
      <w:r w:rsidRPr="002439F1">
        <w:rPr>
          <w:b/>
          <w:bCs/>
        </w:rPr>
        <w:t xml:space="preserve"> vraag 3</w:t>
      </w:r>
    </w:p>
    <w:p w:rsidRPr="002439F1" w:rsidR="00815471" w:rsidP="00815471" w:rsidRDefault="00815471" w14:paraId="58476546" w14:textId="77777777">
      <w:r w:rsidRPr="002439F1">
        <w:t xml:space="preserve">Er zijn veel factoren die bij individuele situaties van invloed zijn op de relatie tussen de PTSS-regeling en eventuele latere schadevergoedingen. De veiligheidsregio’s geven aan dat regeling PTSS primair voorziet in loonderving. Mocht daarnaast sprake zijn van restschade, dan komt dat boven op de vergoeding verstrekt conform de regeling PTSS. </w:t>
      </w:r>
    </w:p>
    <w:p w:rsidRPr="002439F1" w:rsidR="00815471" w:rsidP="00815471" w:rsidRDefault="00815471" w14:paraId="46050D83" w14:textId="77777777"/>
    <w:p w:rsidRPr="002439F1" w:rsidR="00815471" w:rsidP="00815471" w:rsidRDefault="00815471" w14:paraId="4AE447AF" w14:textId="77777777">
      <w:r w:rsidRPr="002439F1">
        <w:t xml:space="preserve">Een eventuele aanspraak op smartengeld behoort juridisch tot het aansprakelijkheidsrecht en maakt daarom geen onderdeel uit van de regeling. </w:t>
      </w:r>
    </w:p>
    <w:p w:rsidRPr="002439F1" w:rsidR="00815471" w:rsidP="00815471" w:rsidRDefault="00815471" w14:paraId="329EF066" w14:textId="77777777">
      <w:pPr>
        <w:rPr>
          <w:b/>
          <w:bCs/>
        </w:rPr>
      </w:pPr>
    </w:p>
    <w:p w:rsidRPr="002439F1" w:rsidR="00815471" w:rsidP="00815471" w:rsidRDefault="00815471" w14:paraId="16793B25" w14:textId="77777777">
      <w:pPr>
        <w:rPr>
          <w:b/>
          <w:bCs/>
        </w:rPr>
      </w:pPr>
      <w:r w:rsidRPr="002439F1">
        <w:rPr>
          <w:b/>
          <w:bCs/>
        </w:rPr>
        <w:t>Vraag 4</w:t>
      </w:r>
    </w:p>
    <w:p w:rsidRPr="002439F1" w:rsidR="00815471" w:rsidP="00815471" w:rsidRDefault="00815471" w14:paraId="43DEB5DC" w14:textId="77777777">
      <w:pPr>
        <w:rPr>
          <w:b/>
          <w:bCs/>
        </w:rPr>
      </w:pPr>
      <w:r w:rsidRPr="002439F1">
        <w:rPr>
          <w:b/>
          <w:bCs/>
        </w:rPr>
        <w:t>Hoe wordt in de praktijk omgegaan met vrijwilligers met meerdere inkomensbronnen? Kan de samenloopbeperking ertoe leiden dat feitelijke schade niet volledig wordt gecompenseerd?</w:t>
      </w:r>
    </w:p>
    <w:p w:rsidRPr="002439F1" w:rsidR="00815471" w:rsidP="00815471" w:rsidRDefault="00815471" w14:paraId="51F39455" w14:textId="77777777">
      <w:pPr>
        <w:rPr>
          <w:b/>
          <w:bCs/>
        </w:rPr>
      </w:pPr>
    </w:p>
    <w:p w:rsidRPr="002439F1" w:rsidR="00815471" w:rsidP="00815471" w:rsidRDefault="00815471" w14:paraId="088E71CD" w14:textId="77777777">
      <w:pPr>
        <w:rPr>
          <w:b/>
          <w:bCs/>
        </w:rPr>
      </w:pPr>
      <w:r w:rsidRPr="002439F1">
        <w:rPr>
          <w:b/>
          <w:bCs/>
        </w:rPr>
        <w:t>Antwoord op vraag 4</w:t>
      </w:r>
    </w:p>
    <w:p w:rsidRPr="002439F1" w:rsidR="00815471" w:rsidP="00815471" w:rsidRDefault="00815471" w14:paraId="5BB06EAF" w14:textId="77777777">
      <w:r w:rsidRPr="002439F1">
        <w:t xml:space="preserve">De veiligheidsregio’s hebben mij laten weten dat in de regeling is opgenomen dat samenloop van meerdere inkomensbronnen is begrensd tot éénmaal een voltijdsdienstbetrekking en het maximumdagloon. </w:t>
      </w:r>
    </w:p>
    <w:p w:rsidRPr="002439F1" w:rsidR="00815471" w:rsidP="00815471" w:rsidRDefault="00815471" w14:paraId="1A9305AB" w14:textId="77777777"/>
    <w:p w:rsidRPr="002439F1" w:rsidR="00815471" w:rsidP="00815471" w:rsidRDefault="00815471" w14:paraId="154D3FA6" w14:textId="77777777">
      <w:r w:rsidRPr="002439F1">
        <w:t xml:space="preserve">Hierbij wordt aangegeven dat indien het inkomen méér is dan het maximumdagloon of een voltijdsdienstbetrekking de feitelijke schade méér kan zijn dan wordt gecompenseerd conform de regeling PTSS. De veiligheidsregio’s geven hierbij aan dat (individuele) aansprakelijkheidsstelling in een dergelijke situatie separaat mogelijk is. </w:t>
      </w:r>
    </w:p>
    <w:p w:rsidRPr="002439F1" w:rsidR="00815471" w:rsidP="00815471" w:rsidRDefault="00815471" w14:paraId="4F8F8491" w14:textId="77777777"/>
    <w:p w:rsidRPr="002439F1" w:rsidR="00815471" w:rsidP="00815471" w:rsidRDefault="00815471" w14:paraId="4FDD9088" w14:textId="77777777">
      <w:pPr>
        <w:rPr>
          <w:b/>
          <w:bCs/>
        </w:rPr>
      </w:pPr>
      <w:r w:rsidRPr="002439F1">
        <w:rPr>
          <w:b/>
          <w:bCs/>
        </w:rPr>
        <w:t>Vraag 5</w:t>
      </w:r>
    </w:p>
    <w:p w:rsidRPr="002439F1" w:rsidR="00815471" w:rsidP="00815471" w:rsidRDefault="00815471" w14:paraId="01FE93CB" w14:textId="77777777">
      <w:pPr>
        <w:rPr>
          <w:b/>
          <w:bCs/>
        </w:rPr>
      </w:pPr>
      <w:r w:rsidRPr="002439F1">
        <w:rPr>
          <w:b/>
          <w:bCs/>
        </w:rPr>
        <w:t xml:space="preserve">Is onderzocht of het proces van het aannemelijk maken van incidenten en gebeurtenissen die PTSS veroorzaakten, kan leiden tot </w:t>
      </w:r>
      <w:proofErr w:type="spellStart"/>
      <w:r w:rsidRPr="002439F1">
        <w:rPr>
          <w:b/>
          <w:bCs/>
        </w:rPr>
        <w:t>hertraumatisering</w:t>
      </w:r>
      <w:proofErr w:type="spellEnd"/>
      <w:r w:rsidRPr="002439F1">
        <w:rPr>
          <w:b/>
          <w:bCs/>
        </w:rPr>
        <w:t xml:space="preserve"> of verergering van klachten? Zo nee, bent u bereid dit onafhankelijk te laten onderzoeken?</w:t>
      </w:r>
    </w:p>
    <w:p w:rsidRPr="002439F1" w:rsidR="00815471" w:rsidP="00815471" w:rsidRDefault="00815471" w14:paraId="1E7872D1" w14:textId="77777777">
      <w:pPr>
        <w:rPr>
          <w:b/>
          <w:bCs/>
        </w:rPr>
      </w:pPr>
    </w:p>
    <w:p w:rsidRPr="002439F1" w:rsidR="00815471" w:rsidP="00815471" w:rsidRDefault="00815471" w14:paraId="0DD98BE1" w14:textId="77777777">
      <w:pPr>
        <w:rPr>
          <w:b/>
          <w:bCs/>
        </w:rPr>
      </w:pPr>
      <w:r w:rsidRPr="002439F1">
        <w:rPr>
          <w:b/>
          <w:bCs/>
        </w:rPr>
        <w:t>Antwoord op vraag 5</w:t>
      </w:r>
    </w:p>
    <w:p w:rsidRPr="002439F1" w:rsidR="00815471" w:rsidP="00815471" w:rsidRDefault="00815471" w14:paraId="6DD7F9F2" w14:textId="77777777">
      <w:r w:rsidRPr="002439F1">
        <w:lastRenderedPageBreak/>
        <w:t xml:space="preserve">De veiligheidsregio’s hebben mij laten weten dat zij als werkgever belangrijke stappen zetten om medewerkers en vrijwilligers beter te ondersteunen, zo ook bij het proces en begeleiding rondom de regeling. Uit de aangekondigde evaluatie en signalen uit de praktijk zal ook naar voren moeten komen of het proces doelmatig verloopt en hoe dit door betrokkenen wordt ervaren. </w:t>
      </w:r>
    </w:p>
    <w:p w:rsidRPr="002439F1" w:rsidR="00815471" w:rsidP="00815471" w:rsidRDefault="00815471" w14:paraId="119CB67F" w14:textId="77777777"/>
    <w:p w:rsidRPr="002439F1" w:rsidR="00815471" w:rsidP="00815471" w:rsidRDefault="00815471" w14:paraId="4411EA19" w14:textId="77777777">
      <w:pPr>
        <w:rPr>
          <w:b/>
          <w:bCs/>
        </w:rPr>
      </w:pPr>
      <w:r w:rsidRPr="002439F1">
        <w:rPr>
          <w:b/>
          <w:bCs/>
        </w:rPr>
        <w:t>Vraag 6</w:t>
      </w:r>
    </w:p>
    <w:p w:rsidRPr="002439F1" w:rsidR="00815471" w:rsidP="00815471" w:rsidRDefault="00815471" w14:paraId="7E4E9140" w14:textId="77777777">
      <w:pPr>
        <w:rPr>
          <w:b/>
          <w:bCs/>
        </w:rPr>
      </w:pPr>
      <w:r w:rsidRPr="002439F1">
        <w:rPr>
          <w:b/>
          <w:bCs/>
        </w:rPr>
        <w:t>Acht u het passend om bij een chronische, behandelingsresistente aandoening als C-PTSS toekomstige zorgkosten af te kopen? Hoe wordt voorkomen dat betrokkenen op latere leeftijd financieel tekortkomen?</w:t>
      </w:r>
    </w:p>
    <w:p w:rsidRPr="002439F1" w:rsidR="00815471" w:rsidP="00815471" w:rsidRDefault="00815471" w14:paraId="27275217" w14:textId="77777777"/>
    <w:p w:rsidRPr="002439F1" w:rsidR="00815471" w:rsidP="00815471" w:rsidRDefault="00815471" w14:paraId="2A85105A" w14:textId="77777777">
      <w:pPr>
        <w:rPr>
          <w:b/>
          <w:bCs/>
        </w:rPr>
      </w:pPr>
      <w:r w:rsidRPr="002439F1">
        <w:rPr>
          <w:b/>
          <w:bCs/>
        </w:rPr>
        <w:t xml:space="preserve">Antwoord </w:t>
      </w:r>
      <w:r>
        <w:rPr>
          <w:b/>
          <w:bCs/>
        </w:rPr>
        <w:t xml:space="preserve">op </w:t>
      </w:r>
      <w:r w:rsidRPr="002439F1">
        <w:rPr>
          <w:b/>
          <w:bCs/>
        </w:rPr>
        <w:t>vraag 6</w:t>
      </w:r>
    </w:p>
    <w:p w:rsidRPr="002439F1" w:rsidR="00815471" w:rsidP="00815471" w:rsidRDefault="00815471" w14:paraId="4DD117EC" w14:textId="77777777">
      <w:r w:rsidRPr="002439F1">
        <w:t>Dit is onderwerp van gesprek tussen betrokken overlegpartners. Ik breng deze vragen over aan de betrokken partijen.</w:t>
      </w:r>
    </w:p>
    <w:p w:rsidRPr="002439F1" w:rsidR="00815471" w:rsidP="00815471" w:rsidRDefault="00815471" w14:paraId="698FA0A8" w14:textId="77777777">
      <w:pPr>
        <w:rPr>
          <w:b/>
          <w:bCs/>
        </w:rPr>
      </w:pPr>
    </w:p>
    <w:p w:rsidRPr="002439F1" w:rsidR="00815471" w:rsidP="00815471" w:rsidRDefault="00815471" w14:paraId="46134AC3" w14:textId="77777777">
      <w:pPr>
        <w:rPr>
          <w:b/>
          <w:bCs/>
        </w:rPr>
      </w:pPr>
      <w:r w:rsidRPr="002439F1">
        <w:rPr>
          <w:b/>
          <w:bCs/>
        </w:rPr>
        <w:t>Vraag 7</w:t>
      </w:r>
    </w:p>
    <w:p w:rsidRPr="002439F1" w:rsidR="00815471" w:rsidP="00815471" w:rsidRDefault="00815471" w14:paraId="6D27ECBC" w14:textId="77777777">
      <w:pPr>
        <w:rPr>
          <w:b/>
          <w:bCs/>
        </w:rPr>
      </w:pPr>
      <w:r w:rsidRPr="002439F1">
        <w:rPr>
          <w:b/>
          <w:bCs/>
        </w:rPr>
        <w:t>Waarom is geen spoedregeling of noodvoorziening opgenomen voor acute of ernstige situaties?</w:t>
      </w:r>
    </w:p>
    <w:p w:rsidRPr="002439F1" w:rsidR="00815471" w:rsidP="00815471" w:rsidRDefault="00815471" w14:paraId="2FB1D698" w14:textId="77777777"/>
    <w:p w:rsidRPr="002439F1" w:rsidR="00815471" w:rsidP="00815471" w:rsidRDefault="00815471" w14:paraId="54824714" w14:textId="77777777">
      <w:pPr>
        <w:rPr>
          <w:b/>
          <w:bCs/>
        </w:rPr>
      </w:pPr>
      <w:r w:rsidRPr="002439F1">
        <w:rPr>
          <w:b/>
          <w:bCs/>
        </w:rPr>
        <w:t xml:space="preserve">Antwoord </w:t>
      </w:r>
      <w:r>
        <w:rPr>
          <w:b/>
          <w:bCs/>
        </w:rPr>
        <w:t xml:space="preserve">op </w:t>
      </w:r>
      <w:r w:rsidRPr="002439F1">
        <w:rPr>
          <w:b/>
          <w:bCs/>
        </w:rPr>
        <w:t>vraag 7</w:t>
      </w:r>
    </w:p>
    <w:p w:rsidRPr="002439F1" w:rsidR="00815471" w:rsidP="00815471" w:rsidRDefault="00815471" w14:paraId="24EDBD82" w14:textId="77777777">
      <w:r w:rsidRPr="002439F1">
        <w:t>Het akkoord op deze regeling en de inhoud is een aangelegenheid tussen de werkgevers en de betrokken bonden als vertegenwoordigers van de werknemers. Indien ik signalen ontvang over acute en ernstige situaties zal ik dit direct onder de aandacht brengen in mijn contact met betrokken partijen.</w:t>
      </w:r>
    </w:p>
    <w:p w:rsidRPr="002439F1" w:rsidR="00815471" w:rsidP="00815471" w:rsidRDefault="00815471" w14:paraId="4F8BE5A3" w14:textId="77777777"/>
    <w:p w:rsidRPr="002439F1" w:rsidR="00815471" w:rsidP="00815471" w:rsidRDefault="00815471" w14:paraId="44F58E02" w14:textId="77777777">
      <w:r w:rsidRPr="002439F1">
        <w:t>De veiligheidsregio’s hebben mij laten weten dat zij allen bezig zijn met het proces rondom medewerkers met PTSS-achtige klachten en deze begeleiding goed in te richten. Breder beschouwd wordt dit door de regio’s beoogd middels het goed inrichten van hulp na incidenten met behulp van Teams Collegiale Ondersteuning (hierna: TCO). Vanuit TCO worden medewerkers en vrijwilligers gevolgd en begeleid, al dan niet met professionele hulp. Daarbij beogen de veiligheidsregio’s bij de uitvoering van de regeling met de aanname van extra HR capaciteit de bereikbaarheid voor en begeleiding van medewerkers en vrijwilligers zo goed mogelijk te ondersteunen.</w:t>
      </w:r>
    </w:p>
    <w:p w:rsidRPr="002439F1" w:rsidR="00815471" w:rsidP="00815471" w:rsidRDefault="00815471" w14:paraId="1B55BCDE" w14:textId="77777777"/>
    <w:p w:rsidRPr="002439F1" w:rsidR="00815471" w:rsidP="00815471" w:rsidRDefault="00815471" w14:paraId="433B57D5" w14:textId="77777777">
      <w:pPr>
        <w:rPr>
          <w:b/>
          <w:bCs/>
        </w:rPr>
      </w:pPr>
      <w:r w:rsidRPr="002439F1">
        <w:rPr>
          <w:b/>
          <w:bCs/>
        </w:rPr>
        <w:lastRenderedPageBreak/>
        <w:t>Vraag 8</w:t>
      </w:r>
    </w:p>
    <w:p w:rsidRPr="002439F1" w:rsidR="00815471" w:rsidP="00815471" w:rsidRDefault="00815471" w14:paraId="56A54F48" w14:textId="77777777">
      <w:pPr>
        <w:rPr>
          <w:b/>
          <w:bCs/>
        </w:rPr>
      </w:pPr>
      <w:r w:rsidRPr="002439F1">
        <w:rPr>
          <w:b/>
          <w:bCs/>
        </w:rPr>
        <w:t>Hoe wordt de onafhankelijkheid van de landelijke Adviescommissie PTSS geborgd, gezien de betrokkenheid van veiligheidsregio’s bij de uitvoering? Worden commissieleden volledig extern benoemd?</w:t>
      </w:r>
    </w:p>
    <w:p w:rsidRPr="002439F1" w:rsidR="00815471" w:rsidP="00815471" w:rsidRDefault="00815471" w14:paraId="1EDF733F" w14:textId="77777777"/>
    <w:p w:rsidRPr="002439F1" w:rsidR="00815471" w:rsidP="00815471" w:rsidRDefault="00815471" w14:paraId="7D54F58D" w14:textId="77777777">
      <w:pPr>
        <w:rPr>
          <w:b/>
          <w:bCs/>
        </w:rPr>
      </w:pPr>
      <w:r w:rsidRPr="002439F1">
        <w:rPr>
          <w:b/>
          <w:bCs/>
        </w:rPr>
        <w:t>Antwoord vraag 8</w:t>
      </w:r>
    </w:p>
    <w:p w:rsidRPr="002439F1" w:rsidR="00815471" w:rsidP="00815471" w:rsidRDefault="00815471" w14:paraId="3F5D0EDE" w14:textId="77777777">
      <w:r w:rsidRPr="002439F1">
        <w:t xml:space="preserve">De veiligheidsregio’s geven mij aan dat commissieleden worden benoemd door de secretaris van het Landelijk Overleg Arbeidsvoorwaarden Veiligheidsregio’s (hierna: LOAV). Dat geschiedt op verzoek van en met instemming van de sociale partners. </w:t>
      </w:r>
    </w:p>
    <w:p w:rsidRPr="002439F1" w:rsidR="00815471" w:rsidP="00815471" w:rsidRDefault="00815471" w14:paraId="7010432C" w14:textId="77777777"/>
    <w:p w:rsidRPr="002439F1" w:rsidR="00815471" w:rsidP="00815471" w:rsidRDefault="00815471" w14:paraId="3AEDD7BC" w14:textId="77777777">
      <w:pPr>
        <w:rPr>
          <w:b/>
          <w:bCs/>
        </w:rPr>
      </w:pPr>
      <w:r w:rsidRPr="002439F1">
        <w:rPr>
          <w:b/>
          <w:bCs/>
        </w:rPr>
        <w:t>Vraag 9</w:t>
      </w:r>
    </w:p>
    <w:p w:rsidRPr="002439F1" w:rsidR="00815471" w:rsidP="00815471" w:rsidRDefault="00815471" w14:paraId="517A1EBD" w14:textId="77777777">
      <w:pPr>
        <w:rPr>
          <w:b/>
          <w:bCs/>
        </w:rPr>
      </w:pPr>
      <w:r w:rsidRPr="002439F1">
        <w:rPr>
          <w:b/>
          <w:bCs/>
        </w:rPr>
        <w:t>Bent u bereid een tussentijdse evaluatie vóór het verstrijken van drie jaar te overwegen? Wordt bij de evaluatie expliciet gekeken naar de rol van organisatiecultuur en nazorg in het verleden? Wordt onderzocht of structurele tekortkomingen hebben bijgedragen aan het ontstaan of verergeren van PTSS?</w:t>
      </w:r>
    </w:p>
    <w:p w:rsidRPr="002439F1" w:rsidR="00815471" w:rsidP="00815471" w:rsidRDefault="00815471" w14:paraId="54FA1186" w14:textId="77777777">
      <w:pPr>
        <w:rPr>
          <w:b/>
          <w:bCs/>
        </w:rPr>
      </w:pPr>
    </w:p>
    <w:p w:rsidRPr="002439F1" w:rsidR="00815471" w:rsidP="00815471" w:rsidRDefault="00815471" w14:paraId="187F2BDB" w14:textId="77777777">
      <w:r w:rsidRPr="002439F1">
        <w:rPr>
          <w:b/>
          <w:bCs/>
        </w:rPr>
        <w:t>Antwoord op vraag 9</w:t>
      </w:r>
    </w:p>
    <w:p w:rsidRPr="002439F1" w:rsidR="00815471" w:rsidP="00815471" w:rsidRDefault="00815471" w14:paraId="61C232CB" w14:textId="77777777">
      <w:r w:rsidRPr="002439F1">
        <w:t>De regeling zal als geheel na drie jaar worden geëvalueerd, of indien nodig eerder, zoals overeengekomen is tussen vakbonden en werkgevers. Dit is in dit geval niet aan mij, maar aan de sociale partners.</w:t>
      </w:r>
    </w:p>
    <w:p w:rsidRPr="002439F1" w:rsidR="00815471" w:rsidP="00815471" w:rsidRDefault="00815471" w14:paraId="72238576" w14:textId="77777777"/>
    <w:p w:rsidRPr="002439F1" w:rsidR="00815471" w:rsidP="00815471" w:rsidRDefault="00815471" w14:paraId="57C3F966" w14:textId="77777777">
      <w:r w:rsidRPr="002439F1">
        <w:t xml:space="preserve">Ik acht doorontwikkeling en lerend vermogen van groot belang als stelselverantwoordelijke. Onder meer het NIPV onderzoekt in Nederland diverse thema’s rondom de brandweer, zo is onderzoek gepubliceerd op het gebied van het welzijn van brandweermensen, de organisatiecultuur bij de brandweer en verwerking van ingrijpende incidenten. Onderzoek naar de uitvoering van nazorg en beleid hierop is ook een aangelegenheid van de werkgevers. In contact met betrokken partijen zal ik bezien of en hoe dit het beste vorm kan worden gegeven kijkend naar de toekomst. </w:t>
      </w:r>
    </w:p>
    <w:p w:rsidRPr="002439F1" w:rsidR="00815471" w:rsidP="00815471" w:rsidRDefault="00815471" w14:paraId="1443AFE0" w14:textId="77777777"/>
    <w:p w:rsidRPr="00DD519C" w:rsidR="00815471" w:rsidP="00815471" w:rsidRDefault="00815471" w14:paraId="03BED47C" w14:textId="77777777">
      <w:r w:rsidRPr="002439F1">
        <w:t>Ook moedig ik betrokken partijen aan te kijken naar andere beroepsgroepen daar waar dit kan. Dit in het kader van rolvastheid, doorontwikkeling, lerend vermogen van betrokken partijen en bovenal het welzijn van brandweerlieden in Nederland.</w:t>
      </w:r>
    </w:p>
    <w:p w:rsidRPr="000D32D6" w:rsidR="00815471" w:rsidP="00815471" w:rsidRDefault="00815471" w14:paraId="4AEA3DB0" w14:textId="77777777">
      <w:pPr>
        <w:rPr>
          <w:b/>
          <w:bCs/>
        </w:rPr>
      </w:pPr>
    </w:p>
    <w:p w:rsidR="002C3023" w:rsidRDefault="002C3023" w14:paraId="174D5BF6" w14:textId="77777777"/>
    <w:sectPr w:rsidR="002C3023" w:rsidSect="00815471">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36870" w14:textId="77777777" w:rsidR="00815471" w:rsidRDefault="00815471" w:rsidP="00815471">
      <w:pPr>
        <w:spacing w:after="0" w:line="240" w:lineRule="auto"/>
      </w:pPr>
      <w:r>
        <w:separator/>
      </w:r>
    </w:p>
  </w:endnote>
  <w:endnote w:type="continuationSeparator" w:id="0">
    <w:p w14:paraId="68018ED3" w14:textId="77777777" w:rsidR="00815471" w:rsidRDefault="00815471" w:rsidP="00815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Klee On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437E" w14:textId="77777777" w:rsidR="00815471" w:rsidRPr="00815471" w:rsidRDefault="00815471" w:rsidP="008154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BD330" w14:textId="77777777" w:rsidR="00815471" w:rsidRPr="00815471" w:rsidRDefault="00815471" w:rsidP="008154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9D91F" w14:textId="77777777" w:rsidR="00815471" w:rsidRPr="00815471" w:rsidRDefault="00815471" w:rsidP="008154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7A05A" w14:textId="77777777" w:rsidR="00815471" w:rsidRDefault="00815471" w:rsidP="00815471">
      <w:pPr>
        <w:spacing w:after="0" w:line="240" w:lineRule="auto"/>
      </w:pPr>
      <w:r>
        <w:separator/>
      </w:r>
    </w:p>
  </w:footnote>
  <w:footnote w:type="continuationSeparator" w:id="0">
    <w:p w14:paraId="5FA027CF" w14:textId="77777777" w:rsidR="00815471" w:rsidRDefault="00815471" w:rsidP="00815471">
      <w:pPr>
        <w:spacing w:after="0" w:line="240" w:lineRule="auto"/>
      </w:pPr>
      <w:r>
        <w:continuationSeparator/>
      </w:r>
    </w:p>
  </w:footnote>
  <w:footnote w:id="1">
    <w:p w14:paraId="1EB75C8E" w14:textId="77777777" w:rsidR="00815471" w:rsidRPr="00D10C38" w:rsidRDefault="00815471" w:rsidP="00815471">
      <w:pPr>
        <w:pStyle w:val="Voetnoottekst"/>
        <w:rPr>
          <w:sz w:val="16"/>
          <w:szCs w:val="16"/>
        </w:rPr>
      </w:pPr>
      <w:r w:rsidRPr="00D10C38">
        <w:rPr>
          <w:rStyle w:val="Voetnootmarkering"/>
          <w:sz w:val="16"/>
          <w:szCs w:val="16"/>
        </w:rPr>
        <w:footnoteRef/>
      </w:r>
      <w:r w:rsidRPr="00D10C38">
        <w:rPr>
          <w:sz w:val="16"/>
          <w:szCs w:val="16"/>
        </w:rPr>
        <w:t xml:space="preserve"> Vergaderjaar 2025-2026, 2026Z03432 (Het bericht 'Eindelijk PTSS-erkenning voor brandweer maar regeling voelt als mager compromis' | Tweede Kamer der Staten-Generaal).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28C67" w14:textId="77777777" w:rsidR="00815471" w:rsidRPr="00815471" w:rsidRDefault="00815471" w:rsidP="008154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2D3C5" w14:textId="77777777" w:rsidR="00815471" w:rsidRPr="00815471" w:rsidRDefault="00815471" w:rsidP="008154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D901" w14:textId="77777777" w:rsidR="00815471" w:rsidRPr="00815471" w:rsidRDefault="00815471" w:rsidP="0081547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471"/>
    <w:rsid w:val="002C3023"/>
    <w:rsid w:val="007C0396"/>
    <w:rsid w:val="0081547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E2E6E"/>
  <w15:chartTrackingRefBased/>
  <w15:docId w15:val="{7ADDD253-868D-4950-94CE-A05B8474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5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5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54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54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54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54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54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54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54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54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54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54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54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54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54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54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54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5471"/>
    <w:rPr>
      <w:rFonts w:eastAsiaTheme="majorEastAsia" w:cstheme="majorBidi"/>
      <w:color w:val="272727" w:themeColor="text1" w:themeTint="D8"/>
    </w:rPr>
  </w:style>
  <w:style w:type="paragraph" w:styleId="Titel">
    <w:name w:val="Title"/>
    <w:basedOn w:val="Standaard"/>
    <w:next w:val="Standaard"/>
    <w:link w:val="TitelChar"/>
    <w:uiPriority w:val="10"/>
    <w:qFormat/>
    <w:rsid w:val="00815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54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54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54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54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5471"/>
    <w:rPr>
      <w:i/>
      <w:iCs/>
      <w:color w:val="404040" w:themeColor="text1" w:themeTint="BF"/>
    </w:rPr>
  </w:style>
  <w:style w:type="paragraph" w:styleId="Lijstalinea">
    <w:name w:val="List Paragraph"/>
    <w:basedOn w:val="Standaard"/>
    <w:uiPriority w:val="34"/>
    <w:qFormat/>
    <w:rsid w:val="00815471"/>
    <w:pPr>
      <w:ind w:left="720"/>
      <w:contextualSpacing/>
    </w:pPr>
  </w:style>
  <w:style w:type="character" w:styleId="Intensievebenadrukking">
    <w:name w:val="Intense Emphasis"/>
    <w:basedOn w:val="Standaardalinea-lettertype"/>
    <w:uiPriority w:val="21"/>
    <w:qFormat/>
    <w:rsid w:val="00815471"/>
    <w:rPr>
      <w:i/>
      <w:iCs/>
      <w:color w:val="0F4761" w:themeColor="accent1" w:themeShade="BF"/>
    </w:rPr>
  </w:style>
  <w:style w:type="paragraph" w:styleId="Duidelijkcitaat">
    <w:name w:val="Intense Quote"/>
    <w:basedOn w:val="Standaard"/>
    <w:next w:val="Standaard"/>
    <w:link w:val="DuidelijkcitaatChar"/>
    <w:uiPriority w:val="30"/>
    <w:qFormat/>
    <w:rsid w:val="00815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5471"/>
    <w:rPr>
      <w:i/>
      <w:iCs/>
      <w:color w:val="0F4761" w:themeColor="accent1" w:themeShade="BF"/>
    </w:rPr>
  </w:style>
  <w:style w:type="character" w:styleId="Intensieveverwijzing">
    <w:name w:val="Intense Reference"/>
    <w:basedOn w:val="Standaardalinea-lettertype"/>
    <w:uiPriority w:val="32"/>
    <w:qFormat/>
    <w:rsid w:val="00815471"/>
    <w:rPr>
      <w:b/>
      <w:bCs/>
      <w:smallCaps/>
      <w:color w:val="0F4761" w:themeColor="accent1" w:themeShade="BF"/>
      <w:spacing w:val="5"/>
    </w:rPr>
  </w:style>
  <w:style w:type="paragraph" w:customStyle="1" w:styleId="Referentiegegevens">
    <w:name w:val="Referentiegegevens"/>
    <w:basedOn w:val="Standaard"/>
    <w:next w:val="Standaard"/>
    <w:rsid w:val="0081547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1547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81547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1547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81547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1547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15471"/>
    <w:rPr>
      <w:vertAlign w:val="superscript"/>
    </w:rPr>
  </w:style>
  <w:style w:type="paragraph" w:styleId="Koptekst">
    <w:name w:val="header"/>
    <w:basedOn w:val="Standaard"/>
    <w:link w:val="KoptekstChar"/>
    <w:uiPriority w:val="99"/>
    <w:unhideWhenUsed/>
    <w:rsid w:val="008154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15471"/>
  </w:style>
  <w:style w:type="paragraph" w:styleId="Voettekst">
    <w:name w:val="footer"/>
    <w:basedOn w:val="Standaard"/>
    <w:link w:val="VoettekstChar"/>
    <w:uiPriority w:val="99"/>
    <w:unhideWhenUsed/>
    <w:rsid w:val="008154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5471"/>
  </w:style>
  <w:style w:type="paragraph" w:styleId="Geenafstand">
    <w:name w:val="No Spacing"/>
    <w:uiPriority w:val="1"/>
    <w:qFormat/>
    <w:rsid w:val="008154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958</ap:Words>
  <ap:Characters>5270</ap:Characters>
  <ap:DocSecurity>0</ap:DocSecurity>
  <ap:Lines>43</ap:Lines>
  <ap:Paragraphs>12</ap:Paragraphs>
  <ap:ScaleCrop>false</ap:ScaleCrop>
  <ap:LinksUpToDate>false</ap:LinksUpToDate>
  <ap:CharactersWithSpaces>6216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2026-04-13T13:34:00.0000000Z</dcterms:created>
  <dcterms:modified xsi:type="dcterms:W3CDTF">2026-04-13T13:35:00.0000000Z</dcterms:modified>
  <version/>
  <category/>
</coreProperties>
</file>