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B9D" w:rsidRDefault="00162485" w14:paraId="77AC4745" w14:textId="0CFA6526">
      <w:bookmarkStart w:name="_GoBack" w:id="0"/>
      <w:bookmarkEnd w:id="0"/>
      <w:r>
        <w:t>Geachte voorzitter,</w:t>
      </w:r>
    </w:p>
    <w:p w:rsidR="00162485" w:rsidRDefault="00162485" w14:paraId="130E63EB" w14:textId="77777777"/>
    <w:p w:rsidRPr="00162485" w:rsidR="00162485" w:rsidP="00162485" w:rsidRDefault="00162485" w14:paraId="26C62433" w14:textId="6B4D83B1">
      <w:pPr>
        <w:pStyle w:val="WitregelW1bodytekst"/>
      </w:pPr>
      <w:r w:rsidRPr="00162485">
        <w:t xml:space="preserve">Bij het commissiedebat Luchtvaart van 10 september </w:t>
      </w:r>
      <w:r w:rsidR="009B0E5C">
        <w:t>2025</w:t>
      </w:r>
      <w:r w:rsidRPr="00162485">
        <w:t xml:space="preserve"> is er een toezegging aan het lid De Hoop (GL-PvdA) gedaan om </w:t>
      </w:r>
      <w:r w:rsidR="00B54A9D">
        <w:t>voor het volgende commissiedebat</w:t>
      </w:r>
      <w:r w:rsidR="00751A38">
        <w:t xml:space="preserve"> Luchtvaart</w:t>
      </w:r>
      <w:r w:rsidRPr="00162485" w:rsidR="00B54A9D">
        <w:t xml:space="preserve"> </w:t>
      </w:r>
      <w:r w:rsidRPr="00162485">
        <w:t>een brief te sturen met een stand van zaken van de beperking van het aantal grondafhandelingsbedrijven op Schiphol en de uitkomsten van het gesprek hierover met de vakbonden.</w:t>
      </w:r>
      <w:r>
        <w:rPr>
          <w:rStyle w:val="FootnoteReference"/>
        </w:rPr>
        <w:footnoteReference w:id="1"/>
      </w:r>
      <w:r w:rsidRPr="00162485">
        <w:t xml:space="preserve"> Door middel van deze brief wordt de Kamer hierover geïnformeerd en wordt de toezegging afgedaan.</w:t>
      </w:r>
    </w:p>
    <w:p w:rsidRPr="00162485" w:rsidR="00162485" w:rsidP="00162485" w:rsidRDefault="00162485" w14:paraId="1A6787F4" w14:textId="77777777">
      <w:pPr>
        <w:pStyle w:val="WitregelW1bodytekst"/>
      </w:pPr>
    </w:p>
    <w:p w:rsidRPr="00162485" w:rsidR="00162485" w:rsidP="00162485" w:rsidRDefault="00162485" w14:paraId="10D763CD" w14:textId="0BF0303D">
      <w:pPr>
        <w:pStyle w:val="WitregelW1bodytekst"/>
      </w:pPr>
      <w:r w:rsidRPr="00162485">
        <w:t>Op 10 mei 2024 is het besluit om het aantal grondafhandelingsbedrijven op Schiphol tot drie te beperken gepubliceerd in de Staatscourant.</w:t>
      </w:r>
      <w:r>
        <w:rPr>
          <w:rStyle w:val="FootnoteReference"/>
        </w:rPr>
        <w:footnoteReference w:id="2"/>
      </w:r>
      <w:r w:rsidRPr="00162485">
        <w:t xml:space="preserve"> De verwachting is dat met de invoering van deze beperking een belangrijke bijdrage geleverd kan worden aan verbetering van de situatie in de grondafhandeling op Schiphol met betrekking tot efficiency, personeelstekort, veilige uitvoering van werkprocessen en arbeidsvoorwaarden en -omstandigheden van grondpersoneel. Tegen de op 16 december 2024 genomen beslissing op bezwaar heeft één partij beroep ingesteld bij de rechtbank Noord-Holland. De behandeling ter zitting van deze zaak zal in mei 2026 plaatsvinden.  </w:t>
      </w:r>
    </w:p>
    <w:p w:rsidRPr="00162485" w:rsidR="00162485" w:rsidP="00162485" w:rsidRDefault="00162485" w14:paraId="321C5FE1" w14:textId="77777777">
      <w:pPr>
        <w:pStyle w:val="WitregelW1bodytekst"/>
      </w:pPr>
    </w:p>
    <w:p w:rsidRPr="00162485" w:rsidR="00162485" w:rsidP="00162485" w:rsidRDefault="00162485" w14:paraId="0596FB41" w14:textId="7238AD3E">
      <w:pPr>
        <w:pStyle w:val="WitregelW1bodytekst"/>
      </w:pPr>
      <w:r w:rsidRPr="00162485">
        <w:t xml:space="preserve">Schiphol is verantwoordelijk voor het in gang zetten van de aanbestedingsprocedure om drie grondafhandelingsbedrijven te selecteren. Schiphol had het voornemen om in december 2024 hiermee te starten. Mede naar aanleiding van zorgen van sectorpartijen over de veiligheidsrisico’s die de aanbestedingsprocedure en de transitie naar minder grondafhandelingsbedrijven met zich zou meebrengen, heeft Schiphol de aanbesteding met een jaar uitgesteld. Deze tijd is gebruikt om deze risico’s te onderzoeken en te mitigeren. Op 4 december jl. </w:t>
      </w:r>
      <w:r w:rsidR="00B54A9D">
        <w:t xml:space="preserve">is </w:t>
      </w:r>
      <w:r w:rsidRPr="00162485">
        <w:t xml:space="preserve">Schiphol de aanbestedingsprocedure gestart. De deadline voor partijen om zich hiervoor op te geven, liep tot en met 24 maart. Een voorlopige gunning zal in juni plaatsvinden en zal gevolgd worden door een overgangsperiode. De nieuwe situatie, met een beperkt aantal grondafhandelingspartijen, zal volgens de huidige planning in het voorjaar van 2027 van start gaan. </w:t>
      </w:r>
    </w:p>
    <w:p w:rsidRPr="00162485" w:rsidR="00162485" w:rsidP="00162485" w:rsidRDefault="00162485" w14:paraId="0C31AF27" w14:textId="77777777">
      <w:pPr>
        <w:pStyle w:val="WitregelW1bodytekst"/>
      </w:pPr>
    </w:p>
    <w:p w:rsidRPr="00162485" w:rsidR="005B4B9D" w:rsidP="00162485" w:rsidRDefault="00162485" w14:paraId="27372485" w14:textId="5B646D9E">
      <w:pPr>
        <w:pStyle w:val="WitregelW1bodytekst"/>
      </w:pPr>
      <w:r w:rsidRPr="00162485">
        <w:lastRenderedPageBreak/>
        <w:t>Recent is ook gesproken met de FNV over de aanstaande beperking</w:t>
      </w:r>
      <w:r w:rsidR="00AC5AB4">
        <w:t xml:space="preserve"> van het aantal grondafhandelingsbedrijven op Schiphol</w:t>
      </w:r>
      <w:r w:rsidRPr="00162485">
        <w:t xml:space="preserve">. De FNV heeft aangegeven nog steeds voorstander van de beperking te zijn en druk bezig te zijn met het voorbereiden van de overgangsperiode. </w:t>
      </w:r>
      <w:r w:rsidR="00751A38">
        <w:t xml:space="preserve">Vanuit het ministerie is de intentie uitgesproken om een lijst van KPI’s </w:t>
      </w:r>
      <w:r w:rsidRPr="00CE00D6" w:rsidR="00CE00D6">
        <w:t>(Key Performance Indicator</w:t>
      </w:r>
      <w:r w:rsidR="00CE00D6">
        <w:t>s</w:t>
      </w:r>
      <w:r w:rsidRPr="00CE00D6" w:rsidR="00CE00D6">
        <w:t>)</w:t>
      </w:r>
      <w:r w:rsidR="00CE00D6">
        <w:t xml:space="preserve"> </w:t>
      </w:r>
      <w:r w:rsidR="00751A38">
        <w:t>vast te stellen waarmee de effectiviteit van de beperking inzichtelijk kan worden gemaakt. Met FNV is specifiek besproken welke KPI’s geschikt zijn om te meten of de beperking effect heeft op de arbeidsomstandigheden van het personeel in de grondafhandeling.</w:t>
      </w:r>
    </w:p>
    <w:p w:rsidR="005B4B9D" w:rsidRDefault="002E7E96" w14:paraId="0980BEF0" w14:textId="3072290A">
      <w:pPr>
        <w:pStyle w:val="Slotzin"/>
      </w:pPr>
      <w:r>
        <w:t>Hoogachtend,</w:t>
      </w:r>
    </w:p>
    <w:p w:rsidR="005B4B9D" w:rsidRDefault="002E7E96" w14:paraId="2B29AEA4" w14:textId="77777777">
      <w:pPr>
        <w:pStyle w:val="OndertekeningArea1"/>
      </w:pPr>
      <w:r>
        <w:t>DE MINISTER VAN INFRASTRUCTUUR EN WATERSTAAT,</w:t>
      </w:r>
    </w:p>
    <w:p w:rsidR="005B4B9D" w:rsidRDefault="005B4B9D" w14:paraId="791D9EEB" w14:textId="77777777"/>
    <w:p w:rsidR="005B4B9D" w:rsidRDefault="005B4B9D" w14:paraId="0066994F" w14:textId="77777777"/>
    <w:p w:rsidR="005B4B9D" w:rsidRDefault="005B4B9D" w14:paraId="7B140998" w14:textId="77777777"/>
    <w:p w:rsidR="005B4B9D" w:rsidRDefault="005B4B9D" w14:paraId="4AC0F844" w14:textId="77777777"/>
    <w:p w:rsidR="005B4B9D" w:rsidRDefault="002E7E96" w14:paraId="68012E14" w14:textId="77777777">
      <w:r>
        <w:t>Vincent Karremans</w:t>
      </w:r>
    </w:p>
    <w:sectPr w:rsidR="005B4B9D">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73B58D" w14:textId="77777777" w:rsidR="00EC7C7B" w:rsidRDefault="00EC7C7B">
      <w:pPr>
        <w:spacing w:line="240" w:lineRule="auto"/>
      </w:pPr>
      <w:r>
        <w:separator/>
      </w:r>
    </w:p>
  </w:endnote>
  <w:endnote w:type="continuationSeparator" w:id="0">
    <w:p w14:paraId="4A647004" w14:textId="77777777" w:rsidR="00EC7C7B" w:rsidRDefault="00EC7C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roman"/>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DA7D5" w14:textId="77777777" w:rsidR="009B0E5C" w:rsidRDefault="009B0E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5252E" w14:textId="77777777" w:rsidR="009B0E5C" w:rsidRDefault="009B0E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7ABD3" w14:textId="77777777" w:rsidR="009B0E5C" w:rsidRDefault="009B0E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408C00" w14:textId="77777777" w:rsidR="00EC7C7B" w:rsidRDefault="00EC7C7B">
      <w:pPr>
        <w:spacing w:line="240" w:lineRule="auto"/>
      </w:pPr>
      <w:r>
        <w:separator/>
      </w:r>
    </w:p>
  </w:footnote>
  <w:footnote w:type="continuationSeparator" w:id="0">
    <w:p w14:paraId="09C954B9" w14:textId="77777777" w:rsidR="00EC7C7B" w:rsidRDefault="00EC7C7B">
      <w:pPr>
        <w:spacing w:line="240" w:lineRule="auto"/>
      </w:pPr>
      <w:r>
        <w:continuationSeparator/>
      </w:r>
    </w:p>
  </w:footnote>
  <w:footnote w:id="1">
    <w:p w14:paraId="17CA967F" w14:textId="26D53894" w:rsidR="00162485" w:rsidRPr="00162485" w:rsidRDefault="00162485">
      <w:pPr>
        <w:pStyle w:val="FootnoteText"/>
        <w:rPr>
          <w:sz w:val="16"/>
          <w:szCs w:val="16"/>
        </w:rPr>
      </w:pPr>
      <w:r w:rsidRPr="00162485">
        <w:rPr>
          <w:rStyle w:val="FootnoteReference"/>
          <w:sz w:val="16"/>
          <w:szCs w:val="16"/>
        </w:rPr>
        <w:footnoteRef/>
      </w:r>
      <w:r w:rsidRPr="00162485">
        <w:rPr>
          <w:sz w:val="16"/>
          <w:szCs w:val="16"/>
        </w:rPr>
        <w:t xml:space="preserve"> TZ202509-063.</w:t>
      </w:r>
    </w:p>
  </w:footnote>
  <w:footnote w:id="2">
    <w:p w14:paraId="7D4AE3DD" w14:textId="177DC569" w:rsidR="00162485" w:rsidRDefault="00162485">
      <w:pPr>
        <w:pStyle w:val="FootnoteText"/>
      </w:pPr>
      <w:r w:rsidRPr="00162485">
        <w:rPr>
          <w:rStyle w:val="FootnoteReference"/>
          <w:sz w:val="16"/>
          <w:szCs w:val="16"/>
        </w:rPr>
        <w:footnoteRef/>
      </w:r>
      <w:r w:rsidRPr="00162485">
        <w:rPr>
          <w:sz w:val="16"/>
          <w:szCs w:val="16"/>
        </w:rPr>
        <w:t xml:space="preserve"> Stcrt. 2024, nr. 13983.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81415" w14:textId="77777777" w:rsidR="009B0E5C" w:rsidRDefault="009B0E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72F34" w14:textId="77777777" w:rsidR="005B4B9D" w:rsidRDefault="002E7E96">
    <w:r>
      <w:rPr>
        <w:noProof/>
        <w:lang w:val="en-GB" w:eastAsia="en-GB"/>
      </w:rPr>
      <mc:AlternateContent>
        <mc:Choice Requires="wps">
          <w:drawing>
            <wp:anchor distT="0" distB="0" distL="0" distR="0" simplePos="0" relativeHeight="251651584" behindDoc="0" locked="1" layoutInCell="1" allowOverlap="1" wp14:anchorId="19A80407" wp14:editId="5DAF3C56">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4A304562" w14:textId="77777777" w:rsidR="005B4B9D" w:rsidRDefault="002E7E96">
                          <w:pPr>
                            <w:pStyle w:val="AfzendgegevensKop0"/>
                          </w:pPr>
                          <w:r>
                            <w:t>Ministerie van Infrastructuur en Waterstaat</w:t>
                          </w:r>
                        </w:p>
                        <w:p w14:paraId="617B31B9" w14:textId="77777777" w:rsidR="009B0E5C" w:rsidRDefault="009B0E5C" w:rsidP="009B0E5C"/>
                        <w:p w14:paraId="11D1CEC9" w14:textId="77777777" w:rsidR="009B0E5C" w:rsidRDefault="009B0E5C" w:rsidP="009B0E5C">
                          <w:pPr>
                            <w:pStyle w:val="Referentiegegevenskop"/>
                          </w:pPr>
                          <w:r>
                            <w:t>Ons kenmerk</w:t>
                          </w:r>
                        </w:p>
                        <w:p w14:paraId="38F6BD7A" w14:textId="77777777" w:rsidR="009B0E5C" w:rsidRDefault="009B0E5C" w:rsidP="009B0E5C">
                          <w:pPr>
                            <w:pStyle w:val="Referentiegegevens"/>
                          </w:pPr>
                          <w:r w:rsidRPr="00DD04F0">
                            <w:t>IENW/BSK-2026/</w:t>
                          </w:r>
                          <w:r>
                            <w:t xml:space="preserve">66057 </w:t>
                          </w:r>
                        </w:p>
                        <w:p w14:paraId="0B7E92C9" w14:textId="77777777" w:rsidR="009B0E5C" w:rsidRPr="009B0E5C" w:rsidRDefault="009B0E5C" w:rsidP="009B0E5C"/>
                      </w:txbxContent>
                    </wps:txbx>
                    <wps:bodyPr vert="horz" wrap="square" lIns="0" tIns="0" rIns="0" bIns="0" anchor="t" anchorCtr="0"/>
                  </wps:wsp>
                </a:graphicData>
              </a:graphic>
            </wp:anchor>
          </w:drawing>
        </mc:Choice>
        <mc:Fallback>
          <w:pict>
            <v:shapetype w14:anchorId="19A80407"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4A304562" w14:textId="77777777" w:rsidR="005B4B9D" w:rsidRDefault="002E7E96">
                    <w:pPr>
                      <w:pStyle w:val="AfzendgegevensKop0"/>
                    </w:pPr>
                    <w:r>
                      <w:t>Ministerie van Infrastructuur en Waterstaat</w:t>
                    </w:r>
                  </w:p>
                  <w:p w14:paraId="617B31B9" w14:textId="77777777" w:rsidR="009B0E5C" w:rsidRDefault="009B0E5C" w:rsidP="009B0E5C"/>
                  <w:p w14:paraId="11D1CEC9" w14:textId="77777777" w:rsidR="009B0E5C" w:rsidRDefault="009B0E5C" w:rsidP="009B0E5C">
                    <w:pPr>
                      <w:pStyle w:val="Referentiegegevenskop"/>
                    </w:pPr>
                    <w:r>
                      <w:t>Ons kenmerk</w:t>
                    </w:r>
                  </w:p>
                  <w:p w14:paraId="38F6BD7A" w14:textId="77777777" w:rsidR="009B0E5C" w:rsidRDefault="009B0E5C" w:rsidP="009B0E5C">
                    <w:pPr>
                      <w:pStyle w:val="Referentiegegevens"/>
                    </w:pPr>
                    <w:r w:rsidRPr="00DD04F0">
                      <w:t>IENW/BSK-2026/</w:t>
                    </w:r>
                    <w:r>
                      <w:t xml:space="preserve">66057 </w:t>
                    </w:r>
                  </w:p>
                  <w:p w14:paraId="0B7E92C9" w14:textId="77777777" w:rsidR="009B0E5C" w:rsidRPr="009B0E5C" w:rsidRDefault="009B0E5C" w:rsidP="009B0E5C"/>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26AA8723" wp14:editId="770EFFA9">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8F82AF6" w14:textId="77777777" w:rsidR="005B4B9D" w:rsidRDefault="002E7E96">
                          <w:pPr>
                            <w:pStyle w:val="Referentiegegevens"/>
                          </w:pPr>
                          <w:r>
                            <w:t xml:space="preserve">Page </w:t>
                          </w:r>
                          <w:r>
                            <w:fldChar w:fldCharType="begin"/>
                          </w:r>
                          <w:r>
                            <w:instrText>PAGE</w:instrText>
                          </w:r>
                          <w:r>
                            <w:fldChar w:fldCharType="separate"/>
                          </w:r>
                          <w:r w:rsidR="00162485">
                            <w:rPr>
                              <w:noProof/>
                            </w:rPr>
                            <w:t>1</w:t>
                          </w:r>
                          <w:r>
                            <w:fldChar w:fldCharType="end"/>
                          </w:r>
                          <w:r>
                            <w:t xml:space="preserve"> of </w:t>
                          </w:r>
                          <w:r>
                            <w:fldChar w:fldCharType="begin"/>
                          </w:r>
                          <w:r>
                            <w:instrText>NUMPAGES</w:instrText>
                          </w:r>
                          <w:r>
                            <w:fldChar w:fldCharType="separate"/>
                          </w:r>
                          <w:r w:rsidR="00162485">
                            <w:rPr>
                              <w:noProof/>
                            </w:rPr>
                            <w:t>1</w:t>
                          </w:r>
                          <w:r>
                            <w:fldChar w:fldCharType="end"/>
                          </w:r>
                        </w:p>
                      </w:txbxContent>
                    </wps:txbx>
                    <wps:bodyPr vert="horz" wrap="square" lIns="0" tIns="0" rIns="0" bIns="0" anchor="t" anchorCtr="0"/>
                  </wps:wsp>
                </a:graphicData>
              </a:graphic>
            </wp:anchor>
          </w:drawing>
        </mc:Choice>
        <mc:Fallback>
          <w:pict>
            <v:shape w14:anchorId="26AA8723"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68F82AF6" w14:textId="77777777" w:rsidR="005B4B9D" w:rsidRDefault="002E7E96">
                    <w:pPr>
                      <w:pStyle w:val="Referentiegegevens"/>
                    </w:pPr>
                    <w:r>
                      <w:t xml:space="preserve">Page </w:t>
                    </w:r>
                    <w:r>
                      <w:fldChar w:fldCharType="begin"/>
                    </w:r>
                    <w:r>
                      <w:instrText>PAGE</w:instrText>
                    </w:r>
                    <w:r>
                      <w:fldChar w:fldCharType="separate"/>
                    </w:r>
                    <w:r w:rsidR="00162485">
                      <w:rPr>
                        <w:noProof/>
                      </w:rPr>
                      <w:t>1</w:t>
                    </w:r>
                    <w:r>
                      <w:fldChar w:fldCharType="end"/>
                    </w:r>
                    <w:r>
                      <w:t xml:space="preserve"> of </w:t>
                    </w:r>
                    <w:r>
                      <w:fldChar w:fldCharType="begin"/>
                    </w:r>
                    <w:r>
                      <w:instrText>NUMPAGES</w:instrText>
                    </w:r>
                    <w:r>
                      <w:fldChar w:fldCharType="separate"/>
                    </w:r>
                    <w:r w:rsidR="00162485">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1572EE35" wp14:editId="75292BCF">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84853F9" w14:textId="77777777" w:rsidR="00B9254D" w:rsidRDefault="00B9254D"/>
                      </w:txbxContent>
                    </wps:txbx>
                    <wps:bodyPr vert="horz" wrap="square" lIns="0" tIns="0" rIns="0" bIns="0" anchor="t" anchorCtr="0"/>
                  </wps:wsp>
                </a:graphicData>
              </a:graphic>
            </wp:anchor>
          </w:drawing>
        </mc:Choice>
        <mc:Fallback>
          <w:pict>
            <v:shape w14:anchorId="1572EE35"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584853F9" w14:textId="77777777" w:rsidR="00B9254D" w:rsidRDefault="00B9254D"/>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4782AC1E" wp14:editId="7B11E7EA">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2559A02" w14:textId="77777777" w:rsidR="00B9254D" w:rsidRDefault="00B9254D"/>
                      </w:txbxContent>
                    </wps:txbx>
                    <wps:bodyPr vert="horz" wrap="square" lIns="0" tIns="0" rIns="0" bIns="0" anchor="t" anchorCtr="0"/>
                  </wps:wsp>
                </a:graphicData>
              </a:graphic>
            </wp:anchor>
          </w:drawing>
        </mc:Choice>
        <mc:Fallback>
          <w:pict>
            <v:shape w14:anchorId="4782AC1E"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12559A02" w14:textId="77777777" w:rsidR="00B9254D" w:rsidRDefault="00B9254D"/>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BB48A" w14:textId="77777777" w:rsidR="005B4B9D" w:rsidRDefault="002E7E96">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78FB0739" wp14:editId="5151026D">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B5C3F0F" w14:textId="77777777" w:rsidR="00B9254D" w:rsidRDefault="00B9254D"/>
                      </w:txbxContent>
                    </wps:txbx>
                    <wps:bodyPr vert="horz" wrap="square" lIns="0" tIns="0" rIns="0" bIns="0" anchor="t" anchorCtr="0"/>
                  </wps:wsp>
                </a:graphicData>
              </a:graphic>
            </wp:anchor>
          </w:drawing>
        </mc:Choice>
        <mc:Fallback>
          <w:pict>
            <v:shapetype w14:anchorId="78FB0739"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5B5C3F0F" w14:textId="77777777" w:rsidR="00B9254D" w:rsidRDefault="00B9254D"/>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2BD6FF05" wp14:editId="72021A1C">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895C261" w14:textId="2C8B7FF2" w:rsidR="005B4B9D" w:rsidRDefault="002E7E96">
                          <w:pPr>
                            <w:pStyle w:val="Referentiegegevens"/>
                          </w:pPr>
                          <w:r>
                            <w:t xml:space="preserve">Page </w:t>
                          </w:r>
                          <w:r>
                            <w:fldChar w:fldCharType="begin"/>
                          </w:r>
                          <w:r>
                            <w:instrText>PAGE</w:instrText>
                          </w:r>
                          <w:r>
                            <w:fldChar w:fldCharType="separate"/>
                          </w:r>
                          <w:r w:rsidR="00C20576">
                            <w:rPr>
                              <w:noProof/>
                            </w:rPr>
                            <w:t>1</w:t>
                          </w:r>
                          <w:r>
                            <w:fldChar w:fldCharType="end"/>
                          </w:r>
                          <w:r>
                            <w:t xml:space="preserve"> of </w:t>
                          </w:r>
                          <w:r>
                            <w:fldChar w:fldCharType="begin"/>
                          </w:r>
                          <w:r>
                            <w:instrText>NUMPAGES</w:instrText>
                          </w:r>
                          <w:r>
                            <w:fldChar w:fldCharType="separate"/>
                          </w:r>
                          <w:r w:rsidR="00C20576">
                            <w:rPr>
                              <w:noProof/>
                            </w:rPr>
                            <w:t>2</w:t>
                          </w:r>
                          <w:r>
                            <w:fldChar w:fldCharType="end"/>
                          </w:r>
                        </w:p>
                      </w:txbxContent>
                    </wps:txbx>
                    <wps:bodyPr vert="horz" wrap="square" lIns="0" tIns="0" rIns="0" bIns="0" anchor="t" anchorCtr="0"/>
                  </wps:wsp>
                </a:graphicData>
              </a:graphic>
            </wp:anchor>
          </w:drawing>
        </mc:Choice>
        <mc:Fallback>
          <w:pict>
            <v:shape w14:anchorId="2BD6FF05"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0895C261" w14:textId="2C8B7FF2" w:rsidR="005B4B9D" w:rsidRDefault="002E7E96">
                    <w:pPr>
                      <w:pStyle w:val="Referentiegegevens"/>
                    </w:pPr>
                    <w:r>
                      <w:t xml:space="preserve">Page </w:t>
                    </w:r>
                    <w:r>
                      <w:fldChar w:fldCharType="begin"/>
                    </w:r>
                    <w:r>
                      <w:instrText>PAGE</w:instrText>
                    </w:r>
                    <w:r>
                      <w:fldChar w:fldCharType="separate"/>
                    </w:r>
                    <w:r w:rsidR="00C20576">
                      <w:rPr>
                        <w:noProof/>
                      </w:rPr>
                      <w:t>1</w:t>
                    </w:r>
                    <w:r>
                      <w:fldChar w:fldCharType="end"/>
                    </w:r>
                    <w:r>
                      <w:t xml:space="preserve"> of </w:t>
                    </w:r>
                    <w:r>
                      <w:fldChar w:fldCharType="begin"/>
                    </w:r>
                    <w:r>
                      <w:instrText>NUMPAGES</w:instrText>
                    </w:r>
                    <w:r>
                      <w:fldChar w:fldCharType="separate"/>
                    </w:r>
                    <w:r w:rsidR="00C20576">
                      <w:rPr>
                        <w:noProof/>
                      </w:rPr>
                      <w:t>2</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55B0A652" wp14:editId="74E98542">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C904777" w14:textId="77777777" w:rsidR="005B4B9D" w:rsidRDefault="002E7E96">
                          <w:pPr>
                            <w:pStyle w:val="AfzendgegevensKop0"/>
                          </w:pPr>
                          <w:r>
                            <w:t>Ministerie van Infrastructuur en Waterstaat</w:t>
                          </w:r>
                        </w:p>
                        <w:p w14:paraId="16124C37" w14:textId="77777777" w:rsidR="005B4B9D" w:rsidRDefault="005B4B9D">
                          <w:pPr>
                            <w:pStyle w:val="WitregelW1"/>
                          </w:pPr>
                        </w:p>
                        <w:p w14:paraId="5702A55B" w14:textId="77777777" w:rsidR="005B4B9D" w:rsidRDefault="002E7E96">
                          <w:pPr>
                            <w:pStyle w:val="Afzendgegevens"/>
                          </w:pPr>
                          <w:r>
                            <w:t>Rijnstraat 8</w:t>
                          </w:r>
                        </w:p>
                        <w:p w14:paraId="1B8E89EC" w14:textId="0870D5C8" w:rsidR="005B4B9D" w:rsidRPr="00162485" w:rsidRDefault="002E7E96">
                          <w:pPr>
                            <w:pStyle w:val="Afzendgegevens"/>
                            <w:rPr>
                              <w:lang w:val="de-DE"/>
                            </w:rPr>
                          </w:pPr>
                          <w:r w:rsidRPr="00162485">
                            <w:rPr>
                              <w:lang w:val="de-DE"/>
                            </w:rPr>
                            <w:t xml:space="preserve">2515 </w:t>
                          </w:r>
                          <w:r w:rsidR="009B0E5C" w:rsidRPr="00162485">
                            <w:rPr>
                              <w:lang w:val="de-DE"/>
                            </w:rPr>
                            <w:t>XP Den</w:t>
                          </w:r>
                          <w:r w:rsidRPr="00162485">
                            <w:rPr>
                              <w:lang w:val="de-DE"/>
                            </w:rPr>
                            <w:t xml:space="preserve"> Haag</w:t>
                          </w:r>
                        </w:p>
                        <w:p w14:paraId="464DF1DC" w14:textId="77777777" w:rsidR="005B4B9D" w:rsidRPr="00162485" w:rsidRDefault="002E7E96">
                          <w:pPr>
                            <w:pStyle w:val="Afzendgegevens"/>
                            <w:rPr>
                              <w:lang w:val="de-DE"/>
                            </w:rPr>
                          </w:pPr>
                          <w:r w:rsidRPr="00162485">
                            <w:rPr>
                              <w:lang w:val="de-DE"/>
                            </w:rPr>
                            <w:t>Postbus 20901</w:t>
                          </w:r>
                        </w:p>
                        <w:p w14:paraId="37445792" w14:textId="77777777" w:rsidR="005B4B9D" w:rsidRPr="00162485" w:rsidRDefault="002E7E96">
                          <w:pPr>
                            <w:pStyle w:val="Afzendgegevens"/>
                            <w:rPr>
                              <w:lang w:val="de-DE"/>
                            </w:rPr>
                          </w:pPr>
                          <w:r w:rsidRPr="00162485">
                            <w:rPr>
                              <w:lang w:val="de-DE"/>
                            </w:rPr>
                            <w:t>2500 EX Den Haag</w:t>
                          </w:r>
                        </w:p>
                        <w:p w14:paraId="53E03CED" w14:textId="77777777" w:rsidR="005B4B9D" w:rsidRPr="00162485" w:rsidRDefault="005B4B9D">
                          <w:pPr>
                            <w:pStyle w:val="WitregelW1"/>
                            <w:rPr>
                              <w:lang w:val="de-DE"/>
                            </w:rPr>
                          </w:pPr>
                        </w:p>
                        <w:p w14:paraId="5C8E3579" w14:textId="77777777" w:rsidR="005B4B9D" w:rsidRPr="00162485" w:rsidRDefault="002E7E96">
                          <w:pPr>
                            <w:pStyle w:val="Afzendgegevens"/>
                            <w:rPr>
                              <w:lang w:val="de-DE"/>
                            </w:rPr>
                          </w:pPr>
                          <w:r w:rsidRPr="00162485">
                            <w:rPr>
                              <w:lang w:val="de-DE"/>
                            </w:rPr>
                            <w:t>T   070-456 0000</w:t>
                          </w:r>
                        </w:p>
                        <w:p w14:paraId="56A659F1" w14:textId="77777777" w:rsidR="005B4B9D" w:rsidRDefault="002E7E96">
                          <w:pPr>
                            <w:pStyle w:val="Afzendgegevens"/>
                          </w:pPr>
                          <w:r>
                            <w:t>F   070-456 1111</w:t>
                          </w:r>
                        </w:p>
                        <w:p w14:paraId="46D55D79" w14:textId="77777777" w:rsidR="005B4B9D" w:rsidRDefault="005B4B9D" w:rsidP="00DD04F0">
                          <w:pPr>
                            <w:pStyle w:val="Referentiegegevenskop"/>
                          </w:pPr>
                        </w:p>
                        <w:p w14:paraId="6CEC15F9" w14:textId="3FF012A7" w:rsidR="00DD04F0" w:rsidRDefault="00DD04F0" w:rsidP="00DD04F0">
                          <w:pPr>
                            <w:pStyle w:val="Referentiegegevenskop"/>
                          </w:pPr>
                          <w:r>
                            <w:t>Ons kenmerk</w:t>
                          </w:r>
                        </w:p>
                        <w:p w14:paraId="75F08EA3" w14:textId="772AF3E1" w:rsidR="00DD04F0" w:rsidRDefault="00DD04F0" w:rsidP="00DD04F0">
                          <w:pPr>
                            <w:pStyle w:val="Referentiegegevens"/>
                          </w:pPr>
                          <w:r w:rsidRPr="00DD04F0">
                            <w:t>IENW/BSK-2026/</w:t>
                          </w:r>
                          <w:r>
                            <w:t>66057</w:t>
                          </w:r>
                          <w:r w:rsidR="002E7E96">
                            <w:t xml:space="preserve"> </w:t>
                          </w:r>
                        </w:p>
                        <w:p w14:paraId="6FC05700" w14:textId="77777777" w:rsidR="00DD04F0" w:rsidRPr="00DD04F0" w:rsidRDefault="00DD04F0" w:rsidP="00DD04F0"/>
                        <w:p w14:paraId="026FCC85" w14:textId="77777777" w:rsidR="005B4B9D" w:rsidRDefault="002E7E96">
                          <w:pPr>
                            <w:pStyle w:val="Referentiegegevenskop"/>
                          </w:pPr>
                          <w:r>
                            <w:t>Bijlage(n)</w:t>
                          </w:r>
                        </w:p>
                        <w:p w14:paraId="1605AA77" w14:textId="2A488820" w:rsidR="005B4B9D" w:rsidRDefault="009B0E5C">
                          <w:pPr>
                            <w:pStyle w:val="Referentiegegevens"/>
                          </w:pPr>
                          <w:r>
                            <w:t>1</w:t>
                          </w:r>
                        </w:p>
                      </w:txbxContent>
                    </wps:txbx>
                    <wps:bodyPr vert="horz" wrap="square" lIns="0" tIns="0" rIns="0" bIns="0" anchor="t" anchorCtr="0"/>
                  </wps:wsp>
                </a:graphicData>
              </a:graphic>
            </wp:anchor>
          </w:drawing>
        </mc:Choice>
        <mc:Fallback>
          <w:pict>
            <v:shape w14:anchorId="55B0A652"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0C904777" w14:textId="77777777" w:rsidR="005B4B9D" w:rsidRDefault="002E7E96">
                    <w:pPr>
                      <w:pStyle w:val="AfzendgegevensKop0"/>
                    </w:pPr>
                    <w:r>
                      <w:t>Ministerie van Infrastructuur en Waterstaat</w:t>
                    </w:r>
                  </w:p>
                  <w:p w14:paraId="16124C37" w14:textId="77777777" w:rsidR="005B4B9D" w:rsidRDefault="005B4B9D">
                    <w:pPr>
                      <w:pStyle w:val="WitregelW1"/>
                    </w:pPr>
                  </w:p>
                  <w:p w14:paraId="5702A55B" w14:textId="77777777" w:rsidR="005B4B9D" w:rsidRDefault="002E7E96">
                    <w:pPr>
                      <w:pStyle w:val="Afzendgegevens"/>
                    </w:pPr>
                    <w:r>
                      <w:t>Rijnstraat 8</w:t>
                    </w:r>
                  </w:p>
                  <w:p w14:paraId="1B8E89EC" w14:textId="0870D5C8" w:rsidR="005B4B9D" w:rsidRPr="00162485" w:rsidRDefault="002E7E96">
                    <w:pPr>
                      <w:pStyle w:val="Afzendgegevens"/>
                      <w:rPr>
                        <w:lang w:val="de-DE"/>
                      </w:rPr>
                    </w:pPr>
                    <w:r w:rsidRPr="00162485">
                      <w:rPr>
                        <w:lang w:val="de-DE"/>
                      </w:rPr>
                      <w:t xml:space="preserve">2515 </w:t>
                    </w:r>
                    <w:r w:rsidR="009B0E5C" w:rsidRPr="00162485">
                      <w:rPr>
                        <w:lang w:val="de-DE"/>
                      </w:rPr>
                      <w:t>XP Den</w:t>
                    </w:r>
                    <w:r w:rsidRPr="00162485">
                      <w:rPr>
                        <w:lang w:val="de-DE"/>
                      </w:rPr>
                      <w:t xml:space="preserve"> Haag</w:t>
                    </w:r>
                  </w:p>
                  <w:p w14:paraId="464DF1DC" w14:textId="77777777" w:rsidR="005B4B9D" w:rsidRPr="00162485" w:rsidRDefault="002E7E96">
                    <w:pPr>
                      <w:pStyle w:val="Afzendgegevens"/>
                      <w:rPr>
                        <w:lang w:val="de-DE"/>
                      </w:rPr>
                    </w:pPr>
                    <w:r w:rsidRPr="00162485">
                      <w:rPr>
                        <w:lang w:val="de-DE"/>
                      </w:rPr>
                      <w:t>Postbus 20901</w:t>
                    </w:r>
                  </w:p>
                  <w:p w14:paraId="37445792" w14:textId="77777777" w:rsidR="005B4B9D" w:rsidRPr="00162485" w:rsidRDefault="002E7E96">
                    <w:pPr>
                      <w:pStyle w:val="Afzendgegevens"/>
                      <w:rPr>
                        <w:lang w:val="de-DE"/>
                      </w:rPr>
                    </w:pPr>
                    <w:r w:rsidRPr="00162485">
                      <w:rPr>
                        <w:lang w:val="de-DE"/>
                      </w:rPr>
                      <w:t>2500 EX Den Haag</w:t>
                    </w:r>
                  </w:p>
                  <w:p w14:paraId="53E03CED" w14:textId="77777777" w:rsidR="005B4B9D" w:rsidRPr="00162485" w:rsidRDefault="005B4B9D">
                    <w:pPr>
                      <w:pStyle w:val="WitregelW1"/>
                      <w:rPr>
                        <w:lang w:val="de-DE"/>
                      </w:rPr>
                    </w:pPr>
                  </w:p>
                  <w:p w14:paraId="5C8E3579" w14:textId="77777777" w:rsidR="005B4B9D" w:rsidRPr="00162485" w:rsidRDefault="002E7E96">
                    <w:pPr>
                      <w:pStyle w:val="Afzendgegevens"/>
                      <w:rPr>
                        <w:lang w:val="de-DE"/>
                      </w:rPr>
                    </w:pPr>
                    <w:r w:rsidRPr="00162485">
                      <w:rPr>
                        <w:lang w:val="de-DE"/>
                      </w:rPr>
                      <w:t>T   070-456 0000</w:t>
                    </w:r>
                  </w:p>
                  <w:p w14:paraId="56A659F1" w14:textId="77777777" w:rsidR="005B4B9D" w:rsidRDefault="002E7E96">
                    <w:pPr>
                      <w:pStyle w:val="Afzendgegevens"/>
                    </w:pPr>
                    <w:r>
                      <w:t>F   070-456 1111</w:t>
                    </w:r>
                  </w:p>
                  <w:p w14:paraId="46D55D79" w14:textId="77777777" w:rsidR="005B4B9D" w:rsidRDefault="005B4B9D" w:rsidP="00DD04F0">
                    <w:pPr>
                      <w:pStyle w:val="Referentiegegevenskop"/>
                    </w:pPr>
                  </w:p>
                  <w:p w14:paraId="6CEC15F9" w14:textId="3FF012A7" w:rsidR="00DD04F0" w:rsidRDefault="00DD04F0" w:rsidP="00DD04F0">
                    <w:pPr>
                      <w:pStyle w:val="Referentiegegevenskop"/>
                    </w:pPr>
                    <w:r>
                      <w:t>Ons kenmerk</w:t>
                    </w:r>
                  </w:p>
                  <w:p w14:paraId="75F08EA3" w14:textId="772AF3E1" w:rsidR="00DD04F0" w:rsidRDefault="00DD04F0" w:rsidP="00DD04F0">
                    <w:pPr>
                      <w:pStyle w:val="Referentiegegevens"/>
                    </w:pPr>
                    <w:r w:rsidRPr="00DD04F0">
                      <w:t>IENW/BSK-2026/</w:t>
                    </w:r>
                    <w:r>
                      <w:t>66057</w:t>
                    </w:r>
                    <w:r w:rsidR="002E7E96">
                      <w:t xml:space="preserve"> </w:t>
                    </w:r>
                  </w:p>
                  <w:p w14:paraId="6FC05700" w14:textId="77777777" w:rsidR="00DD04F0" w:rsidRPr="00DD04F0" w:rsidRDefault="00DD04F0" w:rsidP="00DD04F0"/>
                  <w:p w14:paraId="026FCC85" w14:textId="77777777" w:rsidR="005B4B9D" w:rsidRDefault="002E7E96">
                    <w:pPr>
                      <w:pStyle w:val="Referentiegegevenskop"/>
                    </w:pPr>
                    <w:r>
                      <w:t>Bijlage(n)</w:t>
                    </w:r>
                  </w:p>
                  <w:p w14:paraId="1605AA77" w14:textId="2A488820" w:rsidR="005B4B9D" w:rsidRDefault="009B0E5C">
                    <w:pPr>
                      <w:pStyle w:val="Referentiegegevens"/>
                    </w:pPr>
                    <w:r>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3DAA1D47" wp14:editId="423200A3">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BF3CF79" w14:textId="77777777" w:rsidR="005B4B9D" w:rsidRDefault="002E7E96">
                          <w:pPr>
                            <w:spacing w:line="240" w:lineRule="auto"/>
                          </w:pPr>
                          <w:r>
                            <w:rPr>
                              <w:noProof/>
                              <w:lang w:val="en-GB" w:eastAsia="en-GB"/>
                            </w:rPr>
                            <w:drawing>
                              <wp:inline distT="0" distB="0" distL="0" distR="0" wp14:anchorId="7D8F0B50" wp14:editId="73B1E5C9">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DAA1D47"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4BF3CF79" w14:textId="77777777" w:rsidR="005B4B9D" w:rsidRDefault="002E7E96">
                    <w:pPr>
                      <w:spacing w:line="240" w:lineRule="auto"/>
                    </w:pPr>
                    <w:r>
                      <w:rPr>
                        <w:noProof/>
                        <w:lang w:val="en-GB" w:eastAsia="en-GB"/>
                      </w:rPr>
                      <w:drawing>
                        <wp:inline distT="0" distB="0" distL="0" distR="0" wp14:anchorId="7D8F0B50" wp14:editId="73B1E5C9">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134F50DF" wp14:editId="64DE44D0">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19E9D68" w14:textId="77777777" w:rsidR="005B4B9D" w:rsidRDefault="002E7E96">
                          <w:pPr>
                            <w:spacing w:line="240" w:lineRule="auto"/>
                          </w:pPr>
                          <w:r>
                            <w:rPr>
                              <w:noProof/>
                              <w:lang w:val="en-GB" w:eastAsia="en-GB"/>
                            </w:rPr>
                            <w:drawing>
                              <wp:inline distT="0" distB="0" distL="0" distR="0" wp14:anchorId="0AC93540" wp14:editId="640C9B02">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34F50DF"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219E9D68" w14:textId="77777777" w:rsidR="005B4B9D" w:rsidRDefault="002E7E96">
                    <w:pPr>
                      <w:spacing w:line="240" w:lineRule="auto"/>
                    </w:pPr>
                    <w:r>
                      <w:rPr>
                        <w:noProof/>
                        <w:lang w:val="en-GB" w:eastAsia="en-GB"/>
                      </w:rPr>
                      <w:drawing>
                        <wp:inline distT="0" distB="0" distL="0" distR="0" wp14:anchorId="0AC93540" wp14:editId="640C9B02">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3E02DC8B" wp14:editId="0ED39970">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499FBFE8" w14:textId="77777777" w:rsidR="005B4B9D" w:rsidRDefault="002E7E96">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3E02DC8B"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499FBFE8" w14:textId="77777777" w:rsidR="005B4B9D" w:rsidRDefault="002E7E96">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66B22877" wp14:editId="5BC741B5">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D6CC67C" w14:textId="73B8B1E7" w:rsidR="00B9254D" w:rsidRDefault="00DD04F0">
                          <w:r w:rsidRPr="00DD04F0">
                            <w:rPr>
                              <w:noProof/>
                              <w:lang w:val="en-GB" w:eastAsia="en-GB"/>
                            </w:rPr>
                            <w:drawing>
                              <wp:inline distT="0" distB="0" distL="0" distR="0" wp14:anchorId="16515152" wp14:editId="5F62FE0A">
                                <wp:extent cx="3487420" cy="1079500"/>
                                <wp:effectExtent l="0" t="0" r="0" b="0"/>
                                <wp:docPr id="189949559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487420" cy="1079500"/>
                                        </a:xfrm>
                                        <a:prstGeom prst="rect">
                                          <a:avLst/>
                                        </a:prstGeom>
                                        <a:noFill/>
                                        <a:ln>
                                          <a:noFill/>
                                        </a:ln>
                                      </pic:spPr>
                                    </pic:pic>
                                  </a:graphicData>
                                </a:graphic>
                              </wp:inline>
                            </w:drawing>
                          </w:r>
                        </w:p>
                      </w:txbxContent>
                    </wps:txbx>
                    <wps:bodyPr vert="horz" wrap="square" lIns="0" tIns="0" rIns="0" bIns="0" anchor="t" anchorCtr="0"/>
                  </wps:wsp>
                </a:graphicData>
              </a:graphic>
            </wp:anchor>
          </w:drawing>
        </mc:Choice>
        <mc:Fallback>
          <w:pict>
            <v:shape w14:anchorId="66B22877"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4D6CC67C" w14:textId="73B8B1E7" w:rsidR="00B9254D" w:rsidRDefault="00DD04F0">
                    <w:r w:rsidRPr="00DD04F0">
                      <w:rPr>
                        <w:noProof/>
                        <w:lang w:val="en-GB" w:eastAsia="en-GB"/>
                      </w:rPr>
                      <w:drawing>
                        <wp:inline distT="0" distB="0" distL="0" distR="0" wp14:anchorId="16515152" wp14:editId="5F62FE0A">
                          <wp:extent cx="3487420" cy="1079500"/>
                          <wp:effectExtent l="0" t="0" r="0" b="0"/>
                          <wp:docPr id="189949559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487420" cy="1079500"/>
                                  </a:xfrm>
                                  <a:prstGeom prst="rect">
                                    <a:avLst/>
                                  </a:prstGeom>
                                  <a:noFill/>
                                  <a:ln>
                                    <a:noFill/>
                                  </a:ln>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0630ACDA" wp14:editId="1463D07C">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5B4B9D" w14:paraId="78F6F10C" w14:textId="77777777">
                            <w:trPr>
                              <w:trHeight w:val="200"/>
                            </w:trPr>
                            <w:tc>
                              <w:tcPr>
                                <w:tcW w:w="1140" w:type="dxa"/>
                              </w:tcPr>
                              <w:p w14:paraId="71750E4A" w14:textId="77777777" w:rsidR="005B4B9D" w:rsidRDefault="005B4B9D"/>
                            </w:tc>
                            <w:tc>
                              <w:tcPr>
                                <w:tcW w:w="5400" w:type="dxa"/>
                              </w:tcPr>
                              <w:p w14:paraId="32B23062" w14:textId="77777777" w:rsidR="005B4B9D" w:rsidRDefault="005B4B9D"/>
                            </w:tc>
                          </w:tr>
                          <w:tr w:rsidR="005B4B9D" w14:paraId="18A60BD7" w14:textId="77777777">
                            <w:trPr>
                              <w:trHeight w:val="240"/>
                            </w:trPr>
                            <w:tc>
                              <w:tcPr>
                                <w:tcW w:w="1140" w:type="dxa"/>
                              </w:tcPr>
                              <w:p w14:paraId="348A4435" w14:textId="77777777" w:rsidR="005B4B9D" w:rsidRDefault="002E7E96">
                                <w:r>
                                  <w:t>Datum</w:t>
                                </w:r>
                              </w:p>
                            </w:tc>
                            <w:tc>
                              <w:tcPr>
                                <w:tcW w:w="5400" w:type="dxa"/>
                              </w:tcPr>
                              <w:p w14:paraId="37677FFE" w14:textId="0ABA609D" w:rsidR="005B4B9D" w:rsidRDefault="009B0E5C">
                                <w:r>
                                  <w:t>13 april 2026</w:t>
                                </w:r>
                              </w:p>
                            </w:tc>
                          </w:tr>
                          <w:tr w:rsidR="005B4B9D" w14:paraId="7E7FD1B7" w14:textId="77777777">
                            <w:trPr>
                              <w:trHeight w:val="240"/>
                            </w:trPr>
                            <w:tc>
                              <w:tcPr>
                                <w:tcW w:w="1140" w:type="dxa"/>
                              </w:tcPr>
                              <w:p w14:paraId="35210568" w14:textId="77777777" w:rsidR="005B4B9D" w:rsidRDefault="002E7E96">
                                <w:r>
                                  <w:t>Betreft</w:t>
                                </w:r>
                              </w:p>
                            </w:tc>
                            <w:tc>
                              <w:tcPr>
                                <w:tcW w:w="5400" w:type="dxa"/>
                              </w:tcPr>
                              <w:p w14:paraId="4ED93980" w14:textId="7BA733AD" w:rsidR="005B4B9D" w:rsidRDefault="002E7E96">
                                <w:r>
                                  <w:t>Stand van zaken beperking grondafhandeling</w:t>
                                </w:r>
                                <w:r w:rsidR="00793CA7">
                                  <w:t xml:space="preserve"> Schiphol</w:t>
                                </w:r>
                              </w:p>
                            </w:tc>
                          </w:tr>
                          <w:tr w:rsidR="005B4B9D" w14:paraId="3E67DD32" w14:textId="77777777">
                            <w:trPr>
                              <w:trHeight w:val="200"/>
                            </w:trPr>
                            <w:tc>
                              <w:tcPr>
                                <w:tcW w:w="1140" w:type="dxa"/>
                              </w:tcPr>
                              <w:p w14:paraId="089D611B" w14:textId="77777777" w:rsidR="005B4B9D" w:rsidRDefault="005B4B9D"/>
                            </w:tc>
                            <w:tc>
                              <w:tcPr>
                                <w:tcW w:w="5400" w:type="dxa"/>
                              </w:tcPr>
                              <w:p w14:paraId="18A2F398" w14:textId="77777777" w:rsidR="005B4B9D" w:rsidRDefault="005B4B9D"/>
                            </w:tc>
                          </w:tr>
                        </w:tbl>
                        <w:p w14:paraId="319D8BE0" w14:textId="77777777" w:rsidR="00B9254D" w:rsidRDefault="00B9254D"/>
                      </w:txbxContent>
                    </wps:txbx>
                    <wps:bodyPr vert="horz" wrap="square" lIns="0" tIns="0" rIns="0" bIns="0" anchor="t" anchorCtr="0"/>
                  </wps:wsp>
                </a:graphicData>
              </a:graphic>
            </wp:anchor>
          </w:drawing>
        </mc:Choice>
        <mc:Fallback>
          <w:pict>
            <v:shape w14:anchorId="0630ACDA"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5B4B9D" w14:paraId="78F6F10C" w14:textId="77777777">
                      <w:trPr>
                        <w:trHeight w:val="200"/>
                      </w:trPr>
                      <w:tc>
                        <w:tcPr>
                          <w:tcW w:w="1140" w:type="dxa"/>
                        </w:tcPr>
                        <w:p w14:paraId="71750E4A" w14:textId="77777777" w:rsidR="005B4B9D" w:rsidRDefault="005B4B9D"/>
                      </w:tc>
                      <w:tc>
                        <w:tcPr>
                          <w:tcW w:w="5400" w:type="dxa"/>
                        </w:tcPr>
                        <w:p w14:paraId="32B23062" w14:textId="77777777" w:rsidR="005B4B9D" w:rsidRDefault="005B4B9D"/>
                      </w:tc>
                    </w:tr>
                    <w:tr w:rsidR="005B4B9D" w14:paraId="18A60BD7" w14:textId="77777777">
                      <w:trPr>
                        <w:trHeight w:val="240"/>
                      </w:trPr>
                      <w:tc>
                        <w:tcPr>
                          <w:tcW w:w="1140" w:type="dxa"/>
                        </w:tcPr>
                        <w:p w14:paraId="348A4435" w14:textId="77777777" w:rsidR="005B4B9D" w:rsidRDefault="002E7E96">
                          <w:r>
                            <w:t>Datum</w:t>
                          </w:r>
                        </w:p>
                      </w:tc>
                      <w:tc>
                        <w:tcPr>
                          <w:tcW w:w="5400" w:type="dxa"/>
                        </w:tcPr>
                        <w:p w14:paraId="37677FFE" w14:textId="0ABA609D" w:rsidR="005B4B9D" w:rsidRDefault="009B0E5C">
                          <w:r>
                            <w:t>13 april 2026</w:t>
                          </w:r>
                        </w:p>
                      </w:tc>
                    </w:tr>
                    <w:tr w:rsidR="005B4B9D" w14:paraId="7E7FD1B7" w14:textId="77777777">
                      <w:trPr>
                        <w:trHeight w:val="240"/>
                      </w:trPr>
                      <w:tc>
                        <w:tcPr>
                          <w:tcW w:w="1140" w:type="dxa"/>
                        </w:tcPr>
                        <w:p w14:paraId="35210568" w14:textId="77777777" w:rsidR="005B4B9D" w:rsidRDefault="002E7E96">
                          <w:r>
                            <w:t>Betreft</w:t>
                          </w:r>
                        </w:p>
                      </w:tc>
                      <w:tc>
                        <w:tcPr>
                          <w:tcW w:w="5400" w:type="dxa"/>
                        </w:tcPr>
                        <w:p w14:paraId="4ED93980" w14:textId="7BA733AD" w:rsidR="005B4B9D" w:rsidRDefault="002E7E96">
                          <w:r>
                            <w:t>Stand van zaken beperking grondafhandeling</w:t>
                          </w:r>
                          <w:r w:rsidR="00793CA7">
                            <w:t xml:space="preserve"> Schiphol</w:t>
                          </w:r>
                        </w:p>
                      </w:tc>
                    </w:tr>
                    <w:tr w:rsidR="005B4B9D" w14:paraId="3E67DD32" w14:textId="77777777">
                      <w:trPr>
                        <w:trHeight w:val="200"/>
                      </w:trPr>
                      <w:tc>
                        <w:tcPr>
                          <w:tcW w:w="1140" w:type="dxa"/>
                        </w:tcPr>
                        <w:p w14:paraId="089D611B" w14:textId="77777777" w:rsidR="005B4B9D" w:rsidRDefault="005B4B9D"/>
                      </w:tc>
                      <w:tc>
                        <w:tcPr>
                          <w:tcW w:w="5400" w:type="dxa"/>
                        </w:tcPr>
                        <w:p w14:paraId="18A2F398" w14:textId="77777777" w:rsidR="005B4B9D" w:rsidRDefault="005B4B9D"/>
                      </w:tc>
                    </w:tr>
                  </w:tbl>
                  <w:p w14:paraId="319D8BE0" w14:textId="77777777" w:rsidR="00B9254D" w:rsidRDefault="00B9254D"/>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5441DBBE" wp14:editId="7D97F8C9">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5A40E7E" w14:textId="77777777" w:rsidR="00B9254D" w:rsidRDefault="00B9254D"/>
                      </w:txbxContent>
                    </wps:txbx>
                    <wps:bodyPr vert="horz" wrap="square" lIns="0" tIns="0" rIns="0" bIns="0" anchor="t" anchorCtr="0"/>
                  </wps:wsp>
                </a:graphicData>
              </a:graphic>
            </wp:anchor>
          </w:drawing>
        </mc:Choice>
        <mc:Fallback>
          <w:pict>
            <v:shape w14:anchorId="5441DBBE"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55A40E7E" w14:textId="77777777" w:rsidR="00B9254D" w:rsidRDefault="00B9254D"/>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6479B44"/>
    <w:multiLevelType w:val="multilevel"/>
    <w:tmpl w:val="BFD74360"/>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AA78B6C"/>
    <w:multiLevelType w:val="multilevel"/>
    <w:tmpl w:val="30F4F650"/>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26FD2A3"/>
    <w:multiLevelType w:val="multilevel"/>
    <w:tmpl w:val="B1659D16"/>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DC35EDA"/>
    <w:multiLevelType w:val="multilevel"/>
    <w:tmpl w:val="A877B445"/>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3A4F8CB"/>
    <w:multiLevelType w:val="multilevel"/>
    <w:tmpl w:val="C697DFA1"/>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AEBF62A"/>
    <w:multiLevelType w:val="multilevel"/>
    <w:tmpl w:val="35B61474"/>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B475F70"/>
    <w:multiLevelType w:val="multilevel"/>
    <w:tmpl w:val="57965038"/>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BF03478"/>
    <w:multiLevelType w:val="multilevel"/>
    <w:tmpl w:val="1E279839"/>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1AB99F8"/>
    <w:multiLevelType w:val="multilevel"/>
    <w:tmpl w:val="6373C767"/>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ECA4B19"/>
    <w:multiLevelType w:val="multilevel"/>
    <w:tmpl w:val="5A674BBF"/>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1DE96E4"/>
    <w:multiLevelType w:val="multilevel"/>
    <w:tmpl w:val="FA4399EB"/>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BC4CE96"/>
    <w:multiLevelType w:val="multilevel"/>
    <w:tmpl w:val="95C30AB3"/>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EAD64C2"/>
    <w:multiLevelType w:val="multilevel"/>
    <w:tmpl w:val="42F345B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3" w15:restartNumberingAfterBreak="0">
    <w:nsid w:val="0F1EB7D9"/>
    <w:multiLevelType w:val="multilevel"/>
    <w:tmpl w:val="40D5B09E"/>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32B0B8D"/>
    <w:multiLevelType w:val="multilevel"/>
    <w:tmpl w:val="5888FF5A"/>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0B6A959"/>
    <w:multiLevelType w:val="multilevel"/>
    <w:tmpl w:val="B0BF8707"/>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DE13E9A"/>
    <w:multiLevelType w:val="multilevel"/>
    <w:tmpl w:val="2C155739"/>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02FFA77"/>
    <w:multiLevelType w:val="multilevel"/>
    <w:tmpl w:val="B4798835"/>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EFE4504"/>
    <w:multiLevelType w:val="multilevel"/>
    <w:tmpl w:val="396345D6"/>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D4E0140"/>
    <w:multiLevelType w:val="multilevel"/>
    <w:tmpl w:val="DB032642"/>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EDCB773"/>
    <w:multiLevelType w:val="multilevel"/>
    <w:tmpl w:val="A032A6AD"/>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21FBE9B"/>
    <w:multiLevelType w:val="multilevel"/>
    <w:tmpl w:val="68811C5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2" w15:restartNumberingAfterBreak="0">
    <w:nsid w:val="797A1A9E"/>
    <w:multiLevelType w:val="multilevel"/>
    <w:tmpl w:val="D17D284C"/>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9"/>
  </w:num>
  <w:num w:numId="3">
    <w:abstractNumId w:val="22"/>
  </w:num>
  <w:num w:numId="4">
    <w:abstractNumId w:val="2"/>
  </w:num>
  <w:num w:numId="5">
    <w:abstractNumId w:val="21"/>
  </w:num>
  <w:num w:numId="6">
    <w:abstractNumId w:val="7"/>
  </w:num>
  <w:num w:numId="7">
    <w:abstractNumId w:val="4"/>
  </w:num>
  <w:num w:numId="8">
    <w:abstractNumId w:val="16"/>
  </w:num>
  <w:num w:numId="9">
    <w:abstractNumId w:val="1"/>
  </w:num>
  <w:num w:numId="10">
    <w:abstractNumId w:val="3"/>
  </w:num>
  <w:num w:numId="11">
    <w:abstractNumId w:val="8"/>
  </w:num>
  <w:num w:numId="12">
    <w:abstractNumId w:val="12"/>
  </w:num>
  <w:num w:numId="13">
    <w:abstractNumId w:val="9"/>
  </w:num>
  <w:num w:numId="14">
    <w:abstractNumId w:val="10"/>
  </w:num>
  <w:num w:numId="15">
    <w:abstractNumId w:val="18"/>
  </w:num>
  <w:num w:numId="16">
    <w:abstractNumId w:val="13"/>
  </w:num>
  <w:num w:numId="17">
    <w:abstractNumId w:val="17"/>
  </w:num>
  <w:num w:numId="18">
    <w:abstractNumId w:val="0"/>
  </w:num>
  <w:num w:numId="19">
    <w:abstractNumId w:val="6"/>
  </w:num>
  <w:num w:numId="20">
    <w:abstractNumId w:val="14"/>
  </w:num>
  <w:num w:numId="21">
    <w:abstractNumId w:val="20"/>
  </w:num>
  <w:num w:numId="22">
    <w:abstractNumId w:val="11"/>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485"/>
    <w:rsid w:val="00050A30"/>
    <w:rsid w:val="000A3F30"/>
    <w:rsid w:val="00162485"/>
    <w:rsid w:val="00212D7F"/>
    <w:rsid w:val="00262A87"/>
    <w:rsid w:val="002E7E96"/>
    <w:rsid w:val="003302E5"/>
    <w:rsid w:val="00333140"/>
    <w:rsid w:val="00391DEB"/>
    <w:rsid w:val="003A42AC"/>
    <w:rsid w:val="005B4B9D"/>
    <w:rsid w:val="0063471D"/>
    <w:rsid w:val="00643786"/>
    <w:rsid w:val="00751A38"/>
    <w:rsid w:val="00793CA7"/>
    <w:rsid w:val="009B0E5C"/>
    <w:rsid w:val="00AC5AB4"/>
    <w:rsid w:val="00B54A9D"/>
    <w:rsid w:val="00B902BE"/>
    <w:rsid w:val="00B9254D"/>
    <w:rsid w:val="00C20576"/>
    <w:rsid w:val="00C54BAE"/>
    <w:rsid w:val="00C6734E"/>
    <w:rsid w:val="00CC3BDE"/>
    <w:rsid w:val="00CE00D6"/>
    <w:rsid w:val="00D46530"/>
    <w:rsid w:val="00D648BA"/>
    <w:rsid w:val="00D87AB2"/>
    <w:rsid w:val="00D9284F"/>
    <w:rsid w:val="00DD04F0"/>
    <w:rsid w:val="00DE4A33"/>
    <w:rsid w:val="00E169B8"/>
    <w:rsid w:val="00EC7C7B"/>
    <w:rsid w:val="00EF68EA"/>
    <w:rsid w:val="00F04180"/>
    <w:rsid w:val="00F340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32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162485"/>
    <w:pPr>
      <w:tabs>
        <w:tab w:val="center" w:pos="4536"/>
        <w:tab w:val="right" w:pos="9072"/>
      </w:tabs>
      <w:spacing w:line="240" w:lineRule="auto"/>
    </w:pPr>
  </w:style>
  <w:style w:type="character" w:customStyle="1" w:styleId="HeaderChar">
    <w:name w:val="Header Char"/>
    <w:basedOn w:val="DefaultParagraphFont"/>
    <w:link w:val="Header"/>
    <w:uiPriority w:val="99"/>
    <w:rsid w:val="00162485"/>
    <w:rPr>
      <w:rFonts w:ascii="Verdana" w:hAnsi="Verdana"/>
      <w:color w:val="000000"/>
      <w:sz w:val="18"/>
      <w:szCs w:val="18"/>
    </w:rPr>
  </w:style>
  <w:style w:type="paragraph" w:styleId="Footer">
    <w:name w:val="footer"/>
    <w:basedOn w:val="Normal"/>
    <w:link w:val="FooterChar"/>
    <w:uiPriority w:val="99"/>
    <w:unhideWhenUsed/>
    <w:rsid w:val="00162485"/>
    <w:pPr>
      <w:tabs>
        <w:tab w:val="center" w:pos="4536"/>
        <w:tab w:val="right" w:pos="9072"/>
      </w:tabs>
      <w:spacing w:line="240" w:lineRule="auto"/>
    </w:pPr>
  </w:style>
  <w:style w:type="character" w:customStyle="1" w:styleId="FooterChar">
    <w:name w:val="Footer Char"/>
    <w:basedOn w:val="DefaultParagraphFont"/>
    <w:link w:val="Footer"/>
    <w:uiPriority w:val="99"/>
    <w:rsid w:val="00162485"/>
    <w:rPr>
      <w:rFonts w:ascii="Verdana" w:hAnsi="Verdana"/>
      <w:color w:val="000000"/>
      <w:sz w:val="18"/>
      <w:szCs w:val="18"/>
    </w:rPr>
  </w:style>
  <w:style w:type="paragraph" w:styleId="FootnoteText">
    <w:name w:val="footnote text"/>
    <w:basedOn w:val="Normal"/>
    <w:link w:val="FootnoteTextChar"/>
    <w:uiPriority w:val="99"/>
    <w:semiHidden/>
    <w:unhideWhenUsed/>
    <w:rsid w:val="00162485"/>
    <w:pPr>
      <w:spacing w:line="240" w:lineRule="auto"/>
    </w:pPr>
    <w:rPr>
      <w:sz w:val="20"/>
      <w:szCs w:val="20"/>
    </w:rPr>
  </w:style>
  <w:style w:type="character" w:customStyle="1" w:styleId="FootnoteTextChar">
    <w:name w:val="Footnote Text Char"/>
    <w:basedOn w:val="DefaultParagraphFont"/>
    <w:link w:val="FootnoteText"/>
    <w:uiPriority w:val="99"/>
    <w:semiHidden/>
    <w:rsid w:val="00162485"/>
    <w:rPr>
      <w:rFonts w:ascii="Verdana" w:hAnsi="Verdana"/>
      <w:color w:val="000000"/>
    </w:rPr>
  </w:style>
  <w:style w:type="character" w:styleId="FootnoteReference">
    <w:name w:val="footnote reference"/>
    <w:basedOn w:val="DefaultParagraphFont"/>
    <w:uiPriority w:val="99"/>
    <w:semiHidden/>
    <w:unhideWhenUsed/>
    <w:rsid w:val="00162485"/>
    <w:rPr>
      <w:vertAlign w:val="superscript"/>
    </w:rPr>
  </w:style>
  <w:style w:type="paragraph" w:styleId="Revision">
    <w:name w:val="Revision"/>
    <w:hidden/>
    <w:uiPriority w:val="99"/>
    <w:semiHidden/>
    <w:rsid w:val="00B54A9D"/>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63471D"/>
    <w:rPr>
      <w:sz w:val="16"/>
      <w:szCs w:val="16"/>
    </w:rPr>
  </w:style>
  <w:style w:type="paragraph" w:styleId="CommentText">
    <w:name w:val="annotation text"/>
    <w:basedOn w:val="Normal"/>
    <w:link w:val="CommentTextChar"/>
    <w:uiPriority w:val="99"/>
    <w:unhideWhenUsed/>
    <w:rsid w:val="0063471D"/>
    <w:pPr>
      <w:spacing w:line="240" w:lineRule="auto"/>
    </w:pPr>
    <w:rPr>
      <w:sz w:val="20"/>
      <w:szCs w:val="20"/>
    </w:rPr>
  </w:style>
  <w:style w:type="character" w:customStyle="1" w:styleId="CommentTextChar">
    <w:name w:val="Comment Text Char"/>
    <w:basedOn w:val="DefaultParagraphFont"/>
    <w:link w:val="CommentText"/>
    <w:uiPriority w:val="99"/>
    <w:rsid w:val="0063471D"/>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63471D"/>
    <w:rPr>
      <w:b/>
      <w:bCs/>
    </w:rPr>
  </w:style>
  <w:style w:type="character" w:customStyle="1" w:styleId="CommentSubjectChar">
    <w:name w:val="Comment Subject Char"/>
    <w:basedOn w:val="CommentTextChar"/>
    <w:link w:val="CommentSubject"/>
    <w:uiPriority w:val="99"/>
    <w:semiHidden/>
    <w:rsid w:val="0063471D"/>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465426">
      <w:bodyDiv w:val="1"/>
      <w:marLeft w:val="0"/>
      <w:marRight w:val="0"/>
      <w:marTop w:val="0"/>
      <w:marBottom w:val="0"/>
      <w:divBdr>
        <w:top w:val="none" w:sz="0" w:space="0" w:color="auto"/>
        <w:left w:val="none" w:sz="0" w:space="0" w:color="auto"/>
        <w:bottom w:val="none" w:sz="0" w:space="0" w:color="auto"/>
        <w:right w:val="none" w:sz="0" w:space="0" w:color="auto"/>
      </w:divBdr>
    </w:div>
    <w:div w:id="844051672">
      <w:bodyDiv w:val="1"/>
      <w:marLeft w:val="0"/>
      <w:marRight w:val="0"/>
      <w:marTop w:val="0"/>
      <w:marBottom w:val="0"/>
      <w:divBdr>
        <w:top w:val="none" w:sz="0" w:space="0" w:color="auto"/>
        <w:left w:val="none" w:sz="0" w:space="0" w:color="auto"/>
        <w:bottom w:val="none" w:sz="0" w:space="0" w:color="auto"/>
        <w:right w:val="none" w:sz="0" w:space="0" w:color="auto"/>
      </w:divBdr>
    </w:div>
    <w:div w:id="950013962">
      <w:bodyDiv w:val="1"/>
      <w:marLeft w:val="0"/>
      <w:marRight w:val="0"/>
      <w:marTop w:val="0"/>
      <w:marBottom w:val="0"/>
      <w:divBdr>
        <w:top w:val="none" w:sz="0" w:space="0" w:color="auto"/>
        <w:left w:val="none" w:sz="0" w:space="0" w:color="auto"/>
        <w:bottom w:val="none" w:sz="0" w:space="0" w:color="auto"/>
        <w:right w:val="none" w:sz="0" w:space="0" w:color="auto"/>
      </w:divBdr>
    </w:div>
    <w:div w:id="1563716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405</ap:Words>
  <ap:Characters>2312</ap:Characters>
  <ap:DocSecurity>0</ap:DocSecurity>
  <ap:Lines>19</ap:Lines>
  <ap:Paragraphs>5</ap:Paragraphs>
  <ap:ScaleCrop>false</ap:ScaleCrop>
  <ap:LinksUpToDate>false</ap:LinksUpToDate>
  <ap:CharactersWithSpaces>2712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2026-04-13T14:40:00.0000000Z</dcterms:created>
  <dcterms:modified xsi:type="dcterms:W3CDTF">2026-04-13T14:40:00.0000000Z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Stand van zaken beperking grondafhandeling</vt:lpwstr>
  </property>
  <property fmtid="{D5CDD505-2E9C-101B-9397-08002B2CF9AE}" pid="5" name="Publicatiedatum">
    <vt:lpwstr/>
  </property>
  <property fmtid="{D5CDD505-2E9C-101B-9397-08002B2CF9AE}" pid="6" name="Verantwoordelijke organisatie">
    <vt:lpwstr>Prog.dir. Omgeving Luchthaven Schiphol</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T.C. Paling</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