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C59" w:rsidP="004650CE" w:rsidRDefault="027F7D24" w14:paraId="61E7E4C8" w14:textId="77777777">
      <w:pPr>
        <w:spacing w:line="276" w:lineRule="auto"/>
      </w:pPr>
      <w:r>
        <w:t>Geachte voorzitter,</w:t>
      </w:r>
    </w:p>
    <w:p w:rsidR="00BB5C59" w:rsidP="004650CE" w:rsidRDefault="00BB5C59" w14:paraId="1840C43F" w14:textId="77777777">
      <w:pPr>
        <w:spacing w:line="276" w:lineRule="auto"/>
      </w:pPr>
    </w:p>
    <w:p w:rsidR="00AB558B" w:rsidP="004650CE" w:rsidRDefault="00AB558B" w14:paraId="78B661C2" w14:textId="77777777">
      <w:pPr>
        <w:spacing w:line="276" w:lineRule="auto"/>
      </w:pPr>
    </w:p>
    <w:p w:rsidR="00AB558B" w:rsidP="004650CE" w:rsidRDefault="006D5899" w14:paraId="5644E84F" w14:textId="5CDFBBFC">
      <w:pPr>
        <w:spacing w:line="276" w:lineRule="auto"/>
      </w:pPr>
      <w:r>
        <w:t>Met</w:t>
      </w:r>
      <w:r w:rsidR="00AB558B">
        <w:t xml:space="preserve"> deze </w:t>
      </w:r>
      <w:r w:rsidR="004650CE">
        <w:t>K</w:t>
      </w:r>
      <w:r w:rsidR="00AB558B">
        <w:t>amerbrief komen we, mede namens d</w:t>
      </w:r>
      <w:r w:rsidRPr="00AB558B" w:rsidR="00AB558B">
        <w:t>e minister van Buitenlandse Handel en Ontwikkelingssamenwerking,</w:t>
      </w:r>
      <w:r w:rsidR="00AB558B">
        <w:t xml:space="preserve"> tegemoet aan </w:t>
      </w:r>
      <w:r w:rsidR="00444986">
        <w:t>het verzoek gedaan tijdens het ordedebat van 3 maart jl</w:t>
      </w:r>
      <w:r w:rsidR="001C3A9B">
        <w:t>.</w:t>
      </w:r>
      <w:r w:rsidR="00444986">
        <w:t xml:space="preserve"> alsmede </w:t>
      </w:r>
      <w:r w:rsidR="003C68D1">
        <w:t>tijdens de procedurevergadering van de vaste commissie Justitie en Veiligheid van 19 maart jl</w:t>
      </w:r>
      <w:r>
        <w:t>.</w:t>
      </w:r>
      <w:r w:rsidR="003C68D1">
        <w:t xml:space="preserve"> over de stand van zaken ten aanzien van de ontvoering van het meisje Insiya naar India. </w:t>
      </w:r>
      <w:r w:rsidRPr="00DE6C34" w:rsidR="00DE6C34">
        <w:t>Zoals uw Kamer bekend is, verstrekt het kabinet in beginsel geen informatie over individuele zaken</w:t>
      </w:r>
      <w:r w:rsidR="00154127">
        <w:t>.</w:t>
      </w:r>
      <w:r w:rsidRPr="00DE6C34" w:rsidR="00DE6C34">
        <w:t xml:space="preserve"> </w:t>
      </w:r>
    </w:p>
    <w:p w:rsidR="00AB558B" w:rsidP="004650CE" w:rsidRDefault="00AB558B" w14:paraId="51B82B00" w14:textId="77777777">
      <w:pPr>
        <w:spacing w:line="276" w:lineRule="auto"/>
      </w:pPr>
    </w:p>
    <w:p w:rsidR="003C68D1" w:rsidP="004650CE" w:rsidRDefault="027F7D24" w14:paraId="35875139" w14:textId="2955EB47">
      <w:pPr>
        <w:spacing w:line="276" w:lineRule="auto"/>
        <w:rPr>
          <w:rFonts w:eastAsia="Verdana" w:cs="Verdana"/>
        </w:rPr>
      </w:pPr>
      <w:r>
        <w:t xml:space="preserve">De schrijnende zaak van Insiya heeft op zowel het ministerie van Buitenlandse Zaken als het ministerie van Justitie en Veiligheid onverminderd de aandacht. </w:t>
      </w:r>
      <w:r w:rsidRPr="005D5853" w:rsidR="005D5853">
        <w:t>Het kabinet is er ten zeerste van doordrongen hoezeer een kinderontvoering ingrijpt in het leven van alle betrokkenen</w:t>
      </w:r>
      <w:r w:rsidRPr="005D5853" w:rsidR="005D5853">
        <w:rPr>
          <w:i/>
          <w:iCs/>
        </w:rPr>
        <w:t>.</w:t>
      </w:r>
      <w:r w:rsidR="005D5853">
        <w:t xml:space="preserve"> </w:t>
      </w:r>
      <w:r w:rsidR="005D66B8">
        <w:t>Zo</w:t>
      </w:r>
      <w:r w:rsidR="00DE6C34">
        <w:t xml:space="preserve">als in antwoord op eerdere </w:t>
      </w:r>
      <w:r w:rsidR="005D66B8">
        <w:t>K</w:t>
      </w:r>
      <w:r w:rsidR="00DE6C34">
        <w:t>amervragen</w:t>
      </w:r>
      <w:r w:rsidR="00DE6C34">
        <w:rPr>
          <w:rStyle w:val="FootnoteReference"/>
        </w:rPr>
        <w:footnoteReference w:id="1"/>
      </w:r>
      <w:r w:rsidRPr="2E778F64" w:rsidR="00DE6C34">
        <w:t xml:space="preserve"> </w:t>
      </w:r>
      <w:r w:rsidR="00632B59">
        <w:t>is aangegeven,</w:t>
      </w:r>
      <w:r w:rsidR="00DE6C34">
        <w:t xml:space="preserve"> kaart </w:t>
      </w:r>
      <w:r>
        <w:t xml:space="preserve">Nederland op verschillende niveaus en op diverse manieren de zaak bij de Indiase autoriteiten aan. Daarbij wordt nadrukkelijk aandacht gevraagd voor de uitspraak van het </w:t>
      </w:r>
      <w:r w:rsidR="005D66B8">
        <w:t>G</w:t>
      </w:r>
      <w:r>
        <w:t>erechtshof o</w:t>
      </w:r>
      <w:r w:rsidRPr="027F7D24">
        <w:rPr>
          <w:rFonts w:eastAsia="Verdana" w:cs="Verdana"/>
        </w:rPr>
        <w:t xml:space="preserve">p 13 mei 2024 en de bekrachtiging daarvan door de Hoge Raad in november 2025, waarmee de </w:t>
      </w:r>
      <w:r w:rsidR="005D66B8">
        <w:rPr>
          <w:rFonts w:eastAsia="Verdana" w:cs="Verdana"/>
        </w:rPr>
        <w:t xml:space="preserve">uitspraak in de </w:t>
      </w:r>
      <w:r w:rsidRPr="027F7D24" w:rsidR="6B8D6A11">
        <w:rPr>
          <w:rFonts w:eastAsia="Verdana" w:cs="Verdana"/>
        </w:rPr>
        <w:t>s</w:t>
      </w:r>
      <w:r w:rsidRPr="027F7D24" w:rsidR="2E778F64">
        <w:rPr>
          <w:rFonts w:eastAsia="Verdana" w:cs="Verdana"/>
        </w:rPr>
        <w:t>traf</w:t>
      </w:r>
      <w:r w:rsidRPr="027F7D24">
        <w:rPr>
          <w:rFonts w:eastAsia="Verdana" w:cs="Verdana"/>
        </w:rPr>
        <w:t xml:space="preserve">zaak onherroepelijk is geworden. </w:t>
      </w:r>
      <w:r w:rsidR="003C68D1">
        <w:rPr>
          <w:rFonts w:eastAsia="Verdana" w:cs="Verdana"/>
        </w:rPr>
        <w:t>Alle mogelijke inzet wordt gepleegd om</w:t>
      </w:r>
      <w:r w:rsidR="005D66B8">
        <w:rPr>
          <w:rFonts w:eastAsia="Verdana" w:cs="Verdana"/>
        </w:rPr>
        <w:t xml:space="preserve"> di</w:t>
      </w:r>
      <w:r w:rsidR="003C68D1">
        <w:rPr>
          <w:rFonts w:eastAsia="Verdana" w:cs="Verdana"/>
        </w:rPr>
        <w:t>t vonnis ten uitvoer te leggen.</w:t>
      </w:r>
    </w:p>
    <w:p w:rsidR="003C68D1" w:rsidP="004650CE" w:rsidRDefault="003C68D1" w14:paraId="2476FE47" w14:textId="77777777">
      <w:pPr>
        <w:spacing w:line="276" w:lineRule="auto"/>
        <w:rPr>
          <w:rFonts w:eastAsia="Verdana" w:cs="Verdana"/>
        </w:rPr>
      </w:pPr>
    </w:p>
    <w:p w:rsidRPr="00744AFE" w:rsidR="00DE6C34" w:rsidP="004650CE" w:rsidRDefault="00DE6C34" w14:paraId="490F3B0F" w14:textId="423E99AB">
      <w:pPr>
        <w:spacing w:line="276" w:lineRule="auto"/>
        <w:rPr>
          <w:rFonts w:eastAsia="Verdana" w:cs="Verdana"/>
        </w:rPr>
      </w:pPr>
      <w:r>
        <w:rPr>
          <w:rFonts w:eastAsia="Verdana" w:cs="Verdana"/>
        </w:rPr>
        <w:t>Tevens blijft N</w:t>
      </w:r>
      <w:r w:rsidR="0094093E">
        <w:rPr>
          <w:rFonts w:eastAsia="Verdana" w:cs="Verdana"/>
        </w:rPr>
        <w:t xml:space="preserve">ederland </w:t>
      </w:r>
      <w:r w:rsidR="002918BD">
        <w:rPr>
          <w:rFonts w:eastAsia="Verdana" w:cs="Verdana"/>
        </w:rPr>
        <w:t>in India onder de aandacht brengen dat de Nederlandse rechter inmiddels al jaren geleden heeft geoordeeld dat de moeder het eenhoofdig gezag heef</w:t>
      </w:r>
      <w:r w:rsidR="00632B59">
        <w:rPr>
          <w:rFonts w:eastAsia="Verdana" w:cs="Verdana"/>
        </w:rPr>
        <w:t xml:space="preserve">t. </w:t>
      </w:r>
      <w:r w:rsidRPr="00F55100" w:rsidR="00632B59">
        <w:rPr>
          <w:rFonts w:eastAsia="Verdana" w:cs="Verdana"/>
        </w:rPr>
        <w:t xml:space="preserve">Ook wordt het grote belang van contactherstel tussen dochter en moeder </w:t>
      </w:r>
      <w:r w:rsidR="005D66B8">
        <w:rPr>
          <w:rFonts w:eastAsia="Verdana" w:cs="Verdana"/>
        </w:rPr>
        <w:t xml:space="preserve">met klem </w:t>
      </w:r>
      <w:r w:rsidRPr="00F55100" w:rsidR="00632B59">
        <w:rPr>
          <w:rFonts w:eastAsia="Verdana" w:cs="Verdana"/>
        </w:rPr>
        <w:t>onder de aandacht gebracht</w:t>
      </w:r>
      <w:r w:rsidRPr="00F55100" w:rsidR="002918BD">
        <w:rPr>
          <w:rFonts w:eastAsia="Verdana" w:cs="Verdana"/>
        </w:rPr>
        <w:t xml:space="preserve">. </w:t>
      </w:r>
      <w:r w:rsidR="027F7D24">
        <w:t xml:space="preserve">In </w:t>
      </w:r>
      <w:r w:rsidR="00C326E3">
        <w:t>genoemde c</w:t>
      </w:r>
      <w:r w:rsidR="027F7D24">
        <w:t>ontacten met de Indiase regering is door India</w:t>
      </w:r>
      <w:r w:rsidR="00744AFE">
        <w:rPr>
          <w:rFonts w:eastAsia="Verdana" w:cs="Verdana"/>
        </w:rPr>
        <w:t xml:space="preserve"> </w:t>
      </w:r>
      <w:r w:rsidR="027F7D24">
        <w:t>aangegeven dat niet in de lokale rechtsgang kan worden getreden, net zoals dat</w:t>
      </w:r>
      <w:r w:rsidR="00744AFE">
        <w:rPr>
          <w:rFonts w:eastAsia="Verdana" w:cs="Verdana"/>
        </w:rPr>
        <w:t xml:space="preserve"> </w:t>
      </w:r>
      <w:r w:rsidR="027F7D24">
        <w:t xml:space="preserve">in Nederland het geval zou zijn. </w:t>
      </w:r>
    </w:p>
    <w:p w:rsidR="006A76B9" w:rsidP="004650CE" w:rsidRDefault="006A76B9" w14:paraId="78D7B35A" w14:textId="77777777">
      <w:pPr>
        <w:spacing w:line="276" w:lineRule="auto"/>
        <w:rPr>
          <w:rFonts w:eastAsia="Verdana" w:cs="Verdana"/>
        </w:rPr>
      </w:pPr>
    </w:p>
    <w:p w:rsidR="00921D8C" w:rsidP="00921D8C" w:rsidRDefault="00921D8C" w14:paraId="63B21172" w14:textId="1AF06FE3">
      <w:pPr>
        <w:spacing w:line="276" w:lineRule="auto"/>
        <w:rPr>
          <w:rFonts w:eastAsia="Verdana" w:cs="Verdana"/>
        </w:rPr>
      </w:pPr>
      <w:r w:rsidRPr="00921D8C">
        <w:rPr>
          <w:rFonts w:eastAsia="Verdana" w:cs="Verdana"/>
        </w:rPr>
        <w:t>Tot slot heeft uw Kamer tijdens het ordedebat van 3 maart jl. gevraagd naar de relatie van kind</w:t>
      </w:r>
      <w:r>
        <w:rPr>
          <w:rFonts w:eastAsia="Verdana" w:cs="Verdana"/>
        </w:rPr>
        <w:t>er</w:t>
      </w:r>
      <w:r w:rsidRPr="00921D8C">
        <w:rPr>
          <w:rFonts w:eastAsia="Verdana" w:cs="Verdana"/>
        </w:rPr>
        <w:t xml:space="preserve">ontvoeringen met het handelsakkoord tussen de EU en India. Deze relatie is er niet. Het af te sluiten handelsakkoord tussen de EU en India </w:t>
      </w:r>
      <w:r w:rsidRPr="00921D8C">
        <w:rPr>
          <w:rFonts w:eastAsia="Verdana" w:cs="Verdana"/>
        </w:rPr>
        <w:lastRenderedPageBreak/>
        <w:t>betreft afspraken over het verminderen van handelsbelemmeringen over en weer en bevat geen inhoudelijke of juridische aanknopingspunten voor deze zaak, noch breder over samenwerking in kind</w:t>
      </w:r>
      <w:r>
        <w:rPr>
          <w:rFonts w:eastAsia="Verdana" w:cs="Verdana"/>
        </w:rPr>
        <w:t>er</w:t>
      </w:r>
      <w:r w:rsidRPr="00921D8C">
        <w:rPr>
          <w:rFonts w:eastAsia="Verdana" w:cs="Verdana"/>
        </w:rPr>
        <w:t>ontvoeringszaken.</w:t>
      </w:r>
    </w:p>
    <w:p w:rsidR="00921D8C" w:rsidP="00921D8C" w:rsidRDefault="00921D8C" w14:paraId="64BFC934" w14:textId="77777777">
      <w:pPr>
        <w:spacing w:line="276" w:lineRule="auto"/>
        <w:rPr>
          <w:rFonts w:eastAsia="Verdana" w:cs="Verdana"/>
        </w:rPr>
      </w:pPr>
    </w:p>
    <w:p w:rsidRPr="00CC41D3" w:rsidR="00BB5C59" w:rsidP="004650CE" w:rsidRDefault="00744AFE" w14:paraId="5276402E" w14:textId="126EA0FF">
      <w:pPr>
        <w:spacing w:line="276" w:lineRule="auto"/>
        <w:rPr>
          <w:rFonts w:eastAsia="Verdana" w:cs="Verdana"/>
        </w:rPr>
      </w:pPr>
      <w:r>
        <w:rPr>
          <w:rFonts w:eastAsia="Verdana" w:cs="Verdana"/>
        </w:rPr>
        <w:t>Het kabinet</w:t>
      </w:r>
      <w:r w:rsidRPr="00DE6C34" w:rsidR="26820F13">
        <w:rPr>
          <w:rFonts w:eastAsia="Verdana" w:cs="Verdana"/>
        </w:rPr>
        <w:t xml:space="preserve"> blij</w:t>
      </w:r>
      <w:r>
        <w:rPr>
          <w:rFonts w:eastAsia="Verdana" w:cs="Verdana"/>
        </w:rPr>
        <w:t xml:space="preserve">ft zich </w:t>
      </w:r>
      <w:r w:rsidRPr="00DE6C34" w:rsidR="26820F13">
        <w:rPr>
          <w:rFonts w:eastAsia="Verdana" w:cs="Verdana"/>
        </w:rPr>
        <w:t>onverminderd inzetten voor de terugkeer van Insiya</w:t>
      </w:r>
      <w:r w:rsidRPr="00DE6C34" w:rsidR="4AC4F311">
        <w:rPr>
          <w:rFonts w:eastAsia="Verdana" w:cs="Verdana"/>
        </w:rPr>
        <w:t xml:space="preserve">. </w:t>
      </w:r>
    </w:p>
    <w:p w:rsidR="004650CE" w:rsidP="004650CE" w:rsidRDefault="004650CE" w14:paraId="055DD176" w14:textId="77777777">
      <w:pPr>
        <w:spacing w:line="276" w:lineRule="auto"/>
      </w:pPr>
    </w:p>
    <w:p w:rsidR="004650CE" w:rsidP="004650CE" w:rsidRDefault="004650CE" w14:paraId="6032B9D0" w14:textId="77777777">
      <w:pPr>
        <w:spacing w:line="276" w:lineRule="auto"/>
      </w:pPr>
    </w:p>
    <w:p w:rsidR="004650CE" w:rsidP="004650CE" w:rsidRDefault="004650CE" w14:paraId="6D44DA6C" w14:textId="7B394C58">
      <w:pPr>
        <w:spacing w:line="276" w:lineRule="auto"/>
      </w:pPr>
      <w:r>
        <w:t xml:space="preserve">De minister van Buitenlandse Zaken,    De staatssecretaris van Justitie </w:t>
      </w:r>
    </w:p>
    <w:p w:rsidR="004650CE" w:rsidP="004650CE" w:rsidRDefault="004650CE" w14:paraId="6BAE94DE" w14:textId="6047DA39">
      <w:pPr>
        <w:spacing w:line="276" w:lineRule="auto"/>
        <w:ind w:left="3540"/>
      </w:pPr>
      <w:r>
        <w:t xml:space="preserve"> en Veiligheid,</w:t>
      </w:r>
    </w:p>
    <w:p w:rsidR="004650CE" w:rsidP="004650CE" w:rsidRDefault="004650CE" w14:paraId="6AEA15B5" w14:textId="77777777">
      <w:pPr>
        <w:spacing w:line="276" w:lineRule="auto"/>
      </w:pPr>
      <w:r>
        <w:br/>
      </w:r>
    </w:p>
    <w:p w:rsidR="004650CE" w:rsidP="004650CE" w:rsidRDefault="004650CE" w14:paraId="59E6FD21" w14:textId="77777777">
      <w:pPr>
        <w:spacing w:line="276" w:lineRule="auto"/>
      </w:pPr>
    </w:p>
    <w:p w:rsidR="004650CE" w:rsidP="004650CE" w:rsidRDefault="004650CE" w14:paraId="782A0C54" w14:textId="77777777">
      <w:pPr>
        <w:spacing w:line="276" w:lineRule="auto"/>
      </w:pPr>
    </w:p>
    <w:p w:rsidR="004650CE" w:rsidP="004650CE" w:rsidRDefault="004650CE" w14:paraId="17F62A40" w14:textId="77777777">
      <w:pPr>
        <w:spacing w:line="276" w:lineRule="auto"/>
      </w:pPr>
    </w:p>
    <w:p w:rsidR="004650CE" w:rsidP="004650CE" w:rsidRDefault="004650CE" w14:paraId="06583FC2" w14:textId="77777777">
      <w:pPr>
        <w:spacing w:line="276" w:lineRule="auto"/>
      </w:pPr>
      <w:r>
        <w:t>T.B.W. Berendsen</w:t>
      </w:r>
      <w:r>
        <w:tab/>
      </w:r>
      <w:r>
        <w:tab/>
      </w:r>
      <w:r>
        <w:tab/>
        <w:t>Claudia van Bruggen</w:t>
      </w:r>
    </w:p>
    <w:p w:rsidR="004650CE" w:rsidP="004650CE" w:rsidRDefault="004650CE" w14:paraId="5F2800B8" w14:textId="0292ADC0">
      <w:pPr>
        <w:spacing w:line="276" w:lineRule="auto"/>
      </w:pPr>
    </w:p>
    <w:p w:rsidR="004650CE" w:rsidP="004650CE" w:rsidRDefault="004650CE" w14:paraId="1CB0882F" w14:textId="77777777">
      <w:pPr>
        <w:spacing w:line="276" w:lineRule="auto"/>
      </w:pPr>
    </w:p>
    <w:p w:rsidR="00BB5C59" w:rsidP="004650CE" w:rsidRDefault="00BB5C59" w14:paraId="249377F8" w14:textId="77777777">
      <w:pPr>
        <w:spacing w:line="276" w:lineRule="auto"/>
      </w:pPr>
    </w:p>
    <w:sectPr w:rsidR="00BB5C59" w:rsidSect="00CC41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12C4" w14:textId="77777777" w:rsidR="007C0949" w:rsidRDefault="007C0949">
      <w:pPr>
        <w:spacing w:line="240" w:lineRule="auto"/>
      </w:pPr>
      <w:r>
        <w:separator/>
      </w:r>
    </w:p>
  </w:endnote>
  <w:endnote w:type="continuationSeparator" w:id="0">
    <w:p w14:paraId="4609679F" w14:textId="77777777" w:rsidR="007C0949" w:rsidRDefault="007C0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3AE1" w14:textId="77777777" w:rsidR="00C04EB3" w:rsidRDefault="00C04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193242"/>
      <w:docPartObj>
        <w:docPartGallery w:val="Page Numbers (Bottom of Page)"/>
        <w:docPartUnique/>
      </w:docPartObj>
    </w:sdtPr>
    <w:sdtEndPr/>
    <w:sdtContent>
      <w:p w14:paraId="42526CAD" w14:textId="2CFFC979" w:rsidR="004650CE" w:rsidRDefault="004650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AF40A" w14:textId="77777777" w:rsidR="004650CE" w:rsidRDefault="004650CE" w:rsidP="004650CE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04898"/>
      <w:docPartObj>
        <w:docPartGallery w:val="Page Numbers (Bottom of Page)"/>
        <w:docPartUnique/>
      </w:docPartObj>
    </w:sdtPr>
    <w:sdtEndPr/>
    <w:sdtContent>
      <w:p w14:paraId="112CA072" w14:textId="6420EA38" w:rsidR="004650CE" w:rsidRDefault="004650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F4A8B" w14:textId="77777777" w:rsidR="004650CE" w:rsidRDefault="00465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62AF" w14:textId="77777777" w:rsidR="007C0949" w:rsidRDefault="007C0949">
      <w:pPr>
        <w:spacing w:line="240" w:lineRule="auto"/>
      </w:pPr>
      <w:r>
        <w:separator/>
      </w:r>
    </w:p>
  </w:footnote>
  <w:footnote w:type="continuationSeparator" w:id="0">
    <w:p w14:paraId="00ECEFE7" w14:textId="77777777" w:rsidR="007C0949" w:rsidRDefault="007C0949">
      <w:pPr>
        <w:spacing w:line="240" w:lineRule="auto"/>
      </w:pPr>
      <w:r>
        <w:continuationSeparator/>
      </w:r>
    </w:p>
  </w:footnote>
  <w:footnote w:id="1">
    <w:p w14:paraId="277F7A19" w14:textId="00AA85B5" w:rsidR="00DE6C34" w:rsidRPr="00F55100" w:rsidRDefault="00DE6C34" w:rsidP="004650CE">
      <w:pPr>
        <w:pStyle w:val="FootnoteText"/>
        <w:spacing w:line="276" w:lineRule="auto"/>
        <w:rPr>
          <w:sz w:val="18"/>
          <w:szCs w:val="18"/>
          <w:lang w:val="en-US"/>
        </w:rPr>
      </w:pPr>
      <w:r w:rsidRPr="004650CE">
        <w:rPr>
          <w:rStyle w:val="FootnoteReference"/>
          <w:sz w:val="16"/>
          <w:szCs w:val="16"/>
        </w:rPr>
        <w:footnoteRef/>
      </w:r>
      <w:r w:rsidRPr="004650CE">
        <w:rPr>
          <w:sz w:val="16"/>
          <w:szCs w:val="16"/>
        </w:rPr>
        <w:t xml:space="preserve"> </w:t>
      </w:r>
      <w:r w:rsidR="00B84E68">
        <w:rPr>
          <w:sz w:val="16"/>
          <w:szCs w:val="16"/>
        </w:rPr>
        <w:t>2022Z26412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814B" w14:textId="77777777" w:rsidR="00C04EB3" w:rsidRDefault="00C04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7B90" w14:textId="0AA639FC" w:rsidR="00BB5C59" w:rsidRDefault="006629CA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2FADAA" wp14:editId="39B8957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6F1A1" w14:textId="77777777" w:rsidR="00BB5C59" w:rsidRDefault="006629C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7D777FF" w14:textId="77777777" w:rsidR="00661C64" w:rsidRDefault="00661C64" w:rsidP="00661C64"/>
                        <w:p w14:paraId="4255F88C" w14:textId="77777777" w:rsidR="00661C64" w:rsidRDefault="00661C64" w:rsidP="00661C64"/>
                        <w:p w14:paraId="12A69383" w14:textId="77777777" w:rsidR="00661C64" w:rsidRDefault="00661C64" w:rsidP="00661C64"/>
                        <w:p w14:paraId="0EEAA7C8" w14:textId="77777777" w:rsidR="00661C64" w:rsidRDefault="00661C64" w:rsidP="00661C64"/>
                        <w:p w14:paraId="5D2F332D" w14:textId="77777777" w:rsidR="00661C64" w:rsidRDefault="00661C64" w:rsidP="00661C64"/>
                        <w:p w14:paraId="6A69BB3E" w14:textId="77777777" w:rsidR="00661C64" w:rsidRDefault="00661C64" w:rsidP="00661C64"/>
                        <w:p w14:paraId="6222684F" w14:textId="77777777" w:rsidR="00661C64" w:rsidRPr="00661C64" w:rsidRDefault="00661C64" w:rsidP="00661C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2FADA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0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" filled="f" stroked="f">
              <v:textbox inset="0,0,0,0">
                <w:txbxContent>
                  <w:p w14:paraId="2A06F1A1" w14:textId="77777777" w:rsidR="00BB5C59" w:rsidRDefault="006629C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7D777FF" w14:textId="77777777" w:rsidR="00661C64" w:rsidRDefault="00661C64" w:rsidP="00661C64"/>
                  <w:p w14:paraId="4255F88C" w14:textId="77777777" w:rsidR="00661C64" w:rsidRDefault="00661C64" w:rsidP="00661C64"/>
                  <w:p w14:paraId="12A69383" w14:textId="77777777" w:rsidR="00661C64" w:rsidRDefault="00661C64" w:rsidP="00661C64"/>
                  <w:p w14:paraId="0EEAA7C8" w14:textId="77777777" w:rsidR="00661C64" w:rsidRDefault="00661C64" w:rsidP="00661C64"/>
                  <w:p w14:paraId="5D2F332D" w14:textId="77777777" w:rsidR="00661C64" w:rsidRDefault="00661C64" w:rsidP="00661C64"/>
                  <w:p w14:paraId="6A69BB3E" w14:textId="77777777" w:rsidR="00661C64" w:rsidRDefault="00661C64" w:rsidP="00661C64"/>
                  <w:p w14:paraId="6222684F" w14:textId="77777777" w:rsidR="00661C64" w:rsidRPr="00661C64" w:rsidRDefault="00661C64" w:rsidP="00661C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4CCE9F6" wp14:editId="260B3DB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C86A8" w14:textId="77777777" w:rsidR="006629CA" w:rsidRDefault="006629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CE9F6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16AC86A8" w14:textId="77777777" w:rsidR="006629CA" w:rsidRDefault="006629C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4A1" w14:textId="3E4D0B0B" w:rsidR="00BB5C59" w:rsidRDefault="006629C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30D99CB" wp14:editId="2BD1C98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0B457" w14:textId="77777777" w:rsidR="006629CA" w:rsidRDefault="006629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D99C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190B457" w14:textId="77777777" w:rsidR="006629CA" w:rsidRDefault="006629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2A2C1BA7" wp14:editId="792D9B9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0A572" w14:textId="77777777" w:rsidR="00BB5C59" w:rsidRDefault="006629C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2C1BA7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BB0A572" w14:textId="77777777" w:rsidR="00BB5C59" w:rsidRDefault="006629C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5B6424C" wp14:editId="1C1A4D0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B5C59" w14:paraId="3E16BBB6" w14:textId="77777777">
                            <w:tc>
                              <w:tcPr>
                                <w:tcW w:w="678" w:type="dxa"/>
                              </w:tcPr>
                              <w:p w14:paraId="106A7949" w14:textId="77777777" w:rsidR="00BB5C59" w:rsidRDefault="006629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FBBAE33" w14:textId="6A381019" w:rsidR="00BB5C59" w:rsidRDefault="00C04EB3">
                                <w:r>
                                  <w:t xml:space="preserve">14 </w:t>
                                </w:r>
                                <w:r w:rsidR="004650CE">
                                  <w:t xml:space="preserve">april </w:t>
                                </w:r>
                                <w:r w:rsidR="006629CA">
                                  <w:t>2026</w:t>
                                </w:r>
                              </w:p>
                            </w:tc>
                          </w:tr>
                          <w:tr w:rsidR="00BB5C59" w14:paraId="31E5549A" w14:textId="77777777">
                            <w:tc>
                              <w:tcPr>
                                <w:tcW w:w="678" w:type="dxa"/>
                              </w:tcPr>
                              <w:p w14:paraId="092BFF26" w14:textId="77777777" w:rsidR="00BB5C59" w:rsidRDefault="006629CA">
                                <w:r>
                                  <w:t>Betreft</w:t>
                                </w:r>
                              </w:p>
                              <w:p w14:paraId="77E819F6" w14:textId="77777777" w:rsidR="00BB5C59" w:rsidRDefault="00BB5C59"/>
                            </w:tc>
                            <w:tc>
                              <w:tcPr>
                                <w:tcW w:w="6851" w:type="dxa"/>
                              </w:tcPr>
                              <w:p w14:paraId="1E38E54F" w14:textId="122C8F8A" w:rsidR="00BB5C59" w:rsidRDefault="003A4CA2">
                                <w:r>
                                  <w:t>I</w:t>
                                </w:r>
                                <w:r w:rsidR="006629CA">
                                  <w:t>nzet internationale kindontvoering India</w:t>
                                </w:r>
                              </w:p>
                              <w:p w14:paraId="07C1D3C1" w14:textId="77777777" w:rsidR="00BB5C59" w:rsidRDefault="00BB5C59"/>
                            </w:tc>
                          </w:tr>
                          <w:tr w:rsidR="00250F66" w14:paraId="13FD6F69" w14:textId="77777777">
                            <w:tc>
                              <w:tcPr>
                                <w:tcW w:w="678" w:type="dxa"/>
                              </w:tcPr>
                              <w:p w14:paraId="4F7722F6" w14:textId="77777777" w:rsidR="00250F66" w:rsidRDefault="00250F66"/>
                            </w:tc>
                            <w:tc>
                              <w:tcPr>
                                <w:tcW w:w="6851" w:type="dxa"/>
                              </w:tcPr>
                              <w:p w14:paraId="28851182" w14:textId="77777777" w:rsidR="00250F66" w:rsidRDefault="00250F66"/>
                            </w:tc>
                          </w:tr>
                        </w:tbl>
                        <w:p w14:paraId="45EB6858" w14:textId="77777777" w:rsidR="00BB5C59" w:rsidRDefault="00BB5C59"/>
                        <w:p w14:paraId="730ECDFC" w14:textId="77777777" w:rsidR="00BB5C59" w:rsidRDefault="00BB5C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6424C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B5C59" w14:paraId="3E16BBB6" w14:textId="77777777">
                      <w:tc>
                        <w:tcPr>
                          <w:tcW w:w="678" w:type="dxa"/>
                        </w:tcPr>
                        <w:p w14:paraId="106A7949" w14:textId="77777777" w:rsidR="00BB5C59" w:rsidRDefault="006629C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FBBAE33" w14:textId="6A381019" w:rsidR="00BB5C59" w:rsidRDefault="00C04EB3">
                          <w:r>
                            <w:t xml:space="preserve">14 </w:t>
                          </w:r>
                          <w:r w:rsidR="004650CE">
                            <w:t xml:space="preserve">april </w:t>
                          </w:r>
                          <w:r w:rsidR="006629CA">
                            <w:t>2026</w:t>
                          </w:r>
                        </w:p>
                      </w:tc>
                    </w:tr>
                    <w:tr w:rsidR="00BB5C59" w14:paraId="31E5549A" w14:textId="77777777">
                      <w:tc>
                        <w:tcPr>
                          <w:tcW w:w="678" w:type="dxa"/>
                        </w:tcPr>
                        <w:p w14:paraId="092BFF26" w14:textId="77777777" w:rsidR="00BB5C59" w:rsidRDefault="006629CA">
                          <w:r>
                            <w:t>Betreft</w:t>
                          </w:r>
                        </w:p>
                        <w:p w14:paraId="77E819F6" w14:textId="77777777" w:rsidR="00BB5C59" w:rsidRDefault="00BB5C59"/>
                      </w:tc>
                      <w:tc>
                        <w:tcPr>
                          <w:tcW w:w="6851" w:type="dxa"/>
                        </w:tcPr>
                        <w:p w14:paraId="1E38E54F" w14:textId="122C8F8A" w:rsidR="00BB5C59" w:rsidRDefault="003A4CA2">
                          <w:r>
                            <w:t>I</w:t>
                          </w:r>
                          <w:r w:rsidR="006629CA">
                            <w:t>nzet internationale kindontvoering India</w:t>
                          </w:r>
                        </w:p>
                        <w:p w14:paraId="07C1D3C1" w14:textId="77777777" w:rsidR="00BB5C59" w:rsidRDefault="00BB5C59"/>
                      </w:tc>
                    </w:tr>
                    <w:tr w:rsidR="00250F66" w14:paraId="13FD6F69" w14:textId="77777777">
                      <w:tc>
                        <w:tcPr>
                          <w:tcW w:w="678" w:type="dxa"/>
                        </w:tcPr>
                        <w:p w14:paraId="4F7722F6" w14:textId="77777777" w:rsidR="00250F66" w:rsidRDefault="00250F66"/>
                      </w:tc>
                      <w:tc>
                        <w:tcPr>
                          <w:tcW w:w="6851" w:type="dxa"/>
                        </w:tcPr>
                        <w:p w14:paraId="28851182" w14:textId="77777777" w:rsidR="00250F66" w:rsidRDefault="00250F66"/>
                      </w:tc>
                    </w:tr>
                  </w:tbl>
                  <w:p w14:paraId="45EB6858" w14:textId="77777777" w:rsidR="00BB5C59" w:rsidRDefault="00BB5C59"/>
                  <w:p w14:paraId="730ECDFC" w14:textId="77777777" w:rsidR="00BB5C59" w:rsidRDefault="00BB5C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809E334" wp14:editId="20AD807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6D384D9" w14:textId="77777777" w:rsidR="004650CE" w:rsidRPr="00F51C07" w:rsidRDefault="004650CE" w:rsidP="004650CE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B9C5CEF" w14:textId="77777777" w:rsidR="004650CE" w:rsidRPr="00EE5E5D" w:rsidRDefault="004650CE" w:rsidP="004650C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8A63071" w14:textId="77777777" w:rsidR="004650CE" w:rsidRPr="0059764A" w:rsidRDefault="004650CE" w:rsidP="004650C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A9D1CF1" w14:textId="77777777" w:rsidR="004650CE" w:rsidRPr="0059764A" w:rsidRDefault="004650CE" w:rsidP="004650C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86C24BD" w14:textId="77777777" w:rsidR="004650CE" w:rsidRPr="0059764A" w:rsidRDefault="004650CE" w:rsidP="004650C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2CCF22D" w14:textId="77777777" w:rsidR="00BB5C59" w:rsidRDefault="00BB5C59">
                          <w:pPr>
                            <w:pStyle w:val="WitregelW1"/>
                          </w:pPr>
                        </w:p>
                        <w:p w14:paraId="2B7363C4" w14:textId="77777777" w:rsidR="00BB5C59" w:rsidRDefault="006629C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4C7319F" w14:textId="4238A90F" w:rsidR="00BB5C59" w:rsidRDefault="004650CE">
                          <w:pPr>
                            <w:pStyle w:val="Referentiegegevens"/>
                          </w:pPr>
                          <w:r w:rsidRPr="003A4CA2">
                            <w:t>www.minbuza.nl</w:t>
                          </w:r>
                        </w:p>
                        <w:p w14:paraId="6B8B0B20" w14:textId="77777777" w:rsidR="004650CE" w:rsidRPr="004650CE" w:rsidRDefault="004650CE" w:rsidP="004650CE"/>
                        <w:p w14:paraId="26C34A99" w14:textId="77777777" w:rsidR="004650CE" w:rsidRPr="004650CE" w:rsidRDefault="004650CE" w:rsidP="004650CE">
                          <w:pPr>
                            <w:pStyle w:val="WitregelW2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650C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68C744F3" w14:textId="2D119E7C" w:rsidR="00BB5C59" w:rsidRDefault="004650CE" w:rsidP="004650CE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  <w:r w:rsidRPr="004650CE">
                            <w:rPr>
                              <w:sz w:val="13"/>
                              <w:szCs w:val="13"/>
                            </w:rPr>
                            <w:t>BZ2626933</w:t>
                          </w:r>
                        </w:p>
                        <w:p w14:paraId="5B74D38B" w14:textId="77777777" w:rsidR="004650CE" w:rsidRPr="004650CE" w:rsidRDefault="004650CE" w:rsidP="004650CE"/>
                        <w:p w14:paraId="3FAD1437" w14:textId="77777777" w:rsidR="00BB5C59" w:rsidRDefault="006629C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ED5812" w14:textId="77777777" w:rsidR="00BB5C59" w:rsidRDefault="006629C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09E334" id="41b10cd4-80a4-11ea-b356-6230a4311406" o:spid="_x0000_s1031" type="#_x0000_t202" style="position:absolute;margin-left:466.5pt;margin-top:155pt;width:108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Dcpx4J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66D384D9" w14:textId="77777777" w:rsidR="004650CE" w:rsidRPr="00F51C07" w:rsidRDefault="004650CE" w:rsidP="004650CE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B9C5CEF" w14:textId="77777777" w:rsidR="004650CE" w:rsidRPr="00EE5E5D" w:rsidRDefault="004650CE" w:rsidP="004650C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8A63071" w14:textId="77777777" w:rsidR="004650CE" w:rsidRPr="0059764A" w:rsidRDefault="004650CE" w:rsidP="004650C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A9D1CF1" w14:textId="77777777" w:rsidR="004650CE" w:rsidRPr="0059764A" w:rsidRDefault="004650CE" w:rsidP="004650C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86C24BD" w14:textId="77777777" w:rsidR="004650CE" w:rsidRPr="0059764A" w:rsidRDefault="004650CE" w:rsidP="004650C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2CCF22D" w14:textId="77777777" w:rsidR="00BB5C59" w:rsidRDefault="00BB5C59">
                    <w:pPr>
                      <w:pStyle w:val="WitregelW1"/>
                    </w:pPr>
                  </w:p>
                  <w:p w14:paraId="2B7363C4" w14:textId="77777777" w:rsidR="00BB5C59" w:rsidRDefault="006629CA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4C7319F" w14:textId="4238A90F" w:rsidR="00BB5C59" w:rsidRDefault="004650CE">
                    <w:pPr>
                      <w:pStyle w:val="Referentiegegevens"/>
                    </w:pPr>
                    <w:r w:rsidRPr="003A4CA2">
                      <w:t>www.minbuza.nl</w:t>
                    </w:r>
                  </w:p>
                  <w:p w14:paraId="6B8B0B20" w14:textId="77777777" w:rsidR="004650CE" w:rsidRPr="004650CE" w:rsidRDefault="004650CE" w:rsidP="004650CE"/>
                  <w:p w14:paraId="26C34A99" w14:textId="77777777" w:rsidR="004650CE" w:rsidRPr="004650CE" w:rsidRDefault="004650CE" w:rsidP="004650CE">
                    <w:pPr>
                      <w:pStyle w:val="WitregelW2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650CE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68C744F3" w14:textId="2D119E7C" w:rsidR="00BB5C59" w:rsidRDefault="004650CE" w:rsidP="004650CE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  <w:r w:rsidRPr="004650CE">
                      <w:rPr>
                        <w:sz w:val="13"/>
                        <w:szCs w:val="13"/>
                      </w:rPr>
                      <w:t>BZ2626933</w:t>
                    </w:r>
                  </w:p>
                  <w:p w14:paraId="5B74D38B" w14:textId="77777777" w:rsidR="004650CE" w:rsidRPr="004650CE" w:rsidRDefault="004650CE" w:rsidP="004650CE"/>
                  <w:p w14:paraId="3FAD1437" w14:textId="77777777" w:rsidR="00BB5C59" w:rsidRDefault="006629C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ED5812" w14:textId="77777777" w:rsidR="00BB5C59" w:rsidRDefault="006629C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88F0385" wp14:editId="2CAD6EA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3B2D8" w14:textId="77777777" w:rsidR="006629CA" w:rsidRDefault="006629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F0385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6E3B2D8" w14:textId="77777777" w:rsidR="006629CA" w:rsidRDefault="006629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555D7B2" wp14:editId="5940A9D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4EBD0" w14:textId="77777777" w:rsidR="006629CA" w:rsidRDefault="006629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5D7B2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34EBD0" w14:textId="77777777" w:rsidR="006629CA" w:rsidRDefault="006629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0BFB52F" wp14:editId="759682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98056" w14:textId="77777777" w:rsidR="00BB5C59" w:rsidRDefault="006629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BF4681" wp14:editId="4200832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FB52F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AE98056" w14:textId="77777777" w:rsidR="00BB5C59" w:rsidRDefault="006629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BF4681" wp14:editId="4200832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B477E5"/>
    <w:multiLevelType w:val="multilevel"/>
    <w:tmpl w:val="0584318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89F59"/>
    <w:multiLevelType w:val="multilevel"/>
    <w:tmpl w:val="E4C3BF9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4D62B47"/>
    <w:multiLevelType w:val="hybridMultilevel"/>
    <w:tmpl w:val="05FAB31C"/>
    <w:lvl w:ilvl="0" w:tplc="E652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E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45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8F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A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65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87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6E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29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14D0E"/>
    <w:multiLevelType w:val="multilevel"/>
    <w:tmpl w:val="7532F8F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668E253"/>
    <w:multiLevelType w:val="multilevel"/>
    <w:tmpl w:val="5990F17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5" w15:restartNumberingAfterBreak="0">
    <w:nsid w:val="70FEEFAC"/>
    <w:multiLevelType w:val="multilevel"/>
    <w:tmpl w:val="0CE046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09379697">
    <w:abstractNumId w:val="4"/>
  </w:num>
  <w:num w:numId="2" w16cid:durableId="768240493">
    <w:abstractNumId w:val="1"/>
  </w:num>
  <w:num w:numId="3" w16cid:durableId="1860197620">
    <w:abstractNumId w:val="5"/>
  </w:num>
  <w:num w:numId="4" w16cid:durableId="502480041">
    <w:abstractNumId w:val="3"/>
  </w:num>
  <w:num w:numId="5" w16cid:durableId="2075817227">
    <w:abstractNumId w:val="0"/>
  </w:num>
  <w:num w:numId="6" w16cid:durableId="41579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CA"/>
    <w:rsid w:val="00052687"/>
    <w:rsid w:val="00097B97"/>
    <w:rsid w:val="000A7DB8"/>
    <w:rsid w:val="000B7C59"/>
    <w:rsid w:val="000E15AC"/>
    <w:rsid w:val="000E3301"/>
    <w:rsid w:val="00117905"/>
    <w:rsid w:val="00133254"/>
    <w:rsid w:val="00134BB6"/>
    <w:rsid w:val="00154127"/>
    <w:rsid w:val="0017193D"/>
    <w:rsid w:val="001C3A9B"/>
    <w:rsid w:val="00200906"/>
    <w:rsid w:val="002131B1"/>
    <w:rsid w:val="00235B40"/>
    <w:rsid w:val="00250F66"/>
    <w:rsid w:val="00290FFE"/>
    <w:rsid w:val="002918BD"/>
    <w:rsid w:val="002C10C9"/>
    <w:rsid w:val="002F5CE8"/>
    <w:rsid w:val="0035626D"/>
    <w:rsid w:val="0039118B"/>
    <w:rsid w:val="00393B7D"/>
    <w:rsid w:val="003A4CA2"/>
    <w:rsid w:val="003C68D1"/>
    <w:rsid w:val="003F7464"/>
    <w:rsid w:val="00444986"/>
    <w:rsid w:val="00451ACC"/>
    <w:rsid w:val="004650CE"/>
    <w:rsid w:val="004F5138"/>
    <w:rsid w:val="0052063E"/>
    <w:rsid w:val="005360AC"/>
    <w:rsid w:val="005405D0"/>
    <w:rsid w:val="00565898"/>
    <w:rsid w:val="005906A3"/>
    <w:rsid w:val="005B7A12"/>
    <w:rsid w:val="005C59A5"/>
    <w:rsid w:val="005D32D0"/>
    <w:rsid w:val="005D5853"/>
    <w:rsid w:val="005D66B8"/>
    <w:rsid w:val="00601D9E"/>
    <w:rsid w:val="00610DBB"/>
    <w:rsid w:val="00620555"/>
    <w:rsid w:val="00632B59"/>
    <w:rsid w:val="00656E1F"/>
    <w:rsid w:val="00661C64"/>
    <w:rsid w:val="006629CA"/>
    <w:rsid w:val="00681839"/>
    <w:rsid w:val="00685B24"/>
    <w:rsid w:val="006A526E"/>
    <w:rsid w:val="006A76B9"/>
    <w:rsid w:val="006C39A9"/>
    <w:rsid w:val="006D5899"/>
    <w:rsid w:val="006E78AC"/>
    <w:rsid w:val="00744AFE"/>
    <w:rsid w:val="007469A8"/>
    <w:rsid w:val="007801F5"/>
    <w:rsid w:val="007A63E8"/>
    <w:rsid w:val="007C0949"/>
    <w:rsid w:val="007E2CBB"/>
    <w:rsid w:val="0080756E"/>
    <w:rsid w:val="0086609C"/>
    <w:rsid w:val="00880778"/>
    <w:rsid w:val="00894E92"/>
    <w:rsid w:val="008B0204"/>
    <w:rsid w:val="008C765E"/>
    <w:rsid w:val="008D4DB2"/>
    <w:rsid w:val="00921D8C"/>
    <w:rsid w:val="0094093E"/>
    <w:rsid w:val="00994E3B"/>
    <w:rsid w:val="009F7959"/>
    <w:rsid w:val="00A50C07"/>
    <w:rsid w:val="00A671FE"/>
    <w:rsid w:val="00AB558B"/>
    <w:rsid w:val="00AE2E9A"/>
    <w:rsid w:val="00B03B7C"/>
    <w:rsid w:val="00B60DE0"/>
    <w:rsid w:val="00B84E68"/>
    <w:rsid w:val="00B8638B"/>
    <w:rsid w:val="00BB5C59"/>
    <w:rsid w:val="00BD43EF"/>
    <w:rsid w:val="00BF1DB2"/>
    <w:rsid w:val="00C04EB3"/>
    <w:rsid w:val="00C326E3"/>
    <w:rsid w:val="00C842C3"/>
    <w:rsid w:val="00CC41D3"/>
    <w:rsid w:val="00D01F93"/>
    <w:rsid w:val="00DA2173"/>
    <w:rsid w:val="00DA3526"/>
    <w:rsid w:val="00DE6C34"/>
    <w:rsid w:val="00DF1715"/>
    <w:rsid w:val="00E6386E"/>
    <w:rsid w:val="00E7093E"/>
    <w:rsid w:val="00E72DD7"/>
    <w:rsid w:val="00EE1281"/>
    <w:rsid w:val="00EE4AC2"/>
    <w:rsid w:val="00F43B8E"/>
    <w:rsid w:val="00F55100"/>
    <w:rsid w:val="00F75197"/>
    <w:rsid w:val="00FA03A4"/>
    <w:rsid w:val="00FD09BF"/>
    <w:rsid w:val="00FF2FF6"/>
    <w:rsid w:val="027F7D24"/>
    <w:rsid w:val="085B3A80"/>
    <w:rsid w:val="26820F13"/>
    <w:rsid w:val="2E778F64"/>
    <w:rsid w:val="2EE29369"/>
    <w:rsid w:val="4AC4F311"/>
    <w:rsid w:val="6B8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16D7D"/>
  <w15:docId w15:val="{E3E5DD25-4B5D-47F2-BFD1-0EDC43B7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629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C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29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CA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360A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19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197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6C3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C3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E6C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65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360</ap:Words>
  <ap:Characters>1986</ap:Characters>
  <ap:DocSecurity>0</ap:DocSecurity>
  <ap:Lines>16</ap:Lines>
  <ap:Paragraphs>4</ap:Paragraphs>
  <ap:ScaleCrop>false</ap:ScaleCrop>
  <ap:LinksUpToDate>false</ap:LinksUpToDate>
  <ap:CharactersWithSpaces>2342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2026-04-14T11:34:00.0000000Z</dcterms:created>
  <dcterms:modified xsi:type="dcterms:W3CDTF">2026-04-14T11:34:00.0000000Z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ContentTypeId">
    <vt:lpwstr>0x0101009C7CE436063D44E9BE7DC0259EF7C32F006EB9F9836A634AE58B6169785FD3936F00DEC48CAB00F7FD44B9A931D91B7CF853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32;#PERSONAL-IN-STRICT-CONFIDENCE (PSC)|bf026cec-17a6-49cb-b92a-05a42518f2e6</vt:lpwstr>
  </property>
  <property fmtid="{D5CDD505-2E9C-101B-9397-08002B2CF9AE}" pid="16" name="_dlc_DocIdItemGuid">
    <vt:lpwstr>62f105a6-924f-4824-83cf-632faea4caef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BZDossierTemplate">
    <vt:lpwstr>ReguliereKamerbrief</vt:lpwstr>
  </property>
  <property fmtid="{D5CDD505-2E9C-101B-9397-08002B2CF9AE}" pid="21" name="e256f556a7b748329ab47889947c7d40">
    <vt:lpwstr/>
  </property>
  <property fmtid="{D5CDD505-2E9C-101B-9397-08002B2CF9AE}" pid="22" name="ed9282a3f18446ec8c17c7829edf82dd">
    <vt:lpwstr/>
  </property>
  <property fmtid="{D5CDD505-2E9C-101B-9397-08002B2CF9AE}" pid="23" name="BZDossierProcessType">
    <vt:lpwstr/>
  </property>
  <property fmtid="{D5CDD505-2E9C-101B-9397-08002B2CF9AE}" pid="24" name="URL">
    <vt:lpwstr>https://247.plaza.buzaservices.nl/subject/PV-RK2026032026/BZ2626933/Kamerbrief%20inzet%20internationale%20kindontvoering%20India%20(1).docx, </vt:lpwstr>
  </property>
  <property fmtid="{D5CDD505-2E9C-101B-9397-08002B2CF9AE}" pid="25" name="_docset_NoMedatataSyncRequired">
    <vt:lpwstr>False</vt:lpwstr>
  </property>
</Properties>
</file>