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327A0" w:rsidTr="008327A0" w14:paraId="335CDD65" w14:textId="77777777">
        <w:sdt>
          <w:sdtPr>
            <w:tag w:val="bmZaakNummerAdvies"/>
            <w:id w:val="-1240552916"/>
            <w:lock w:val="sdtLocked"/>
            <w:placeholder>
              <w:docPart w:val="DefaultPlaceholder_-1854013440"/>
            </w:placeholder>
          </w:sdtPr>
          <w:sdtEndPr/>
          <w:sdtContent>
            <w:tc>
              <w:tcPr>
                <w:tcW w:w="4251" w:type="dxa"/>
              </w:tcPr>
              <w:p w:rsidR="008327A0" w:rsidRDefault="008327A0" w14:paraId="3A54F371" w14:textId="26834C63">
                <w:r>
                  <w:t>No. W06.26.00062/III</w:t>
                </w:r>
              </w:p>
            </w:tc>
          </w:sdtContent>
        </w:sdt>
        <w:sdt>
          <w:sdtPr>
            <w:tag w:val="bmDatumAdvies"/>
            <w:id w:val="2036460223"/>
            <w:lock w:val="sdtLocked"/>
            <w:placeholder>
              <w:docPart w:val="DefaultPlaceholder_-1854013440"/>
            </w:placeholder>
          </w:sdtPr>
          <w:sdtEndPr/>
          <w:sdtContent>
            <w:tc>
              <w:tcPr>
                <w:tcW w:w="4252" w:type="dxa"/>
              </w:tcPr>
              <w:p w:rsidR="008327A0" w:rsidRDefault="008327A0" w14:paraId="680C1A61" w14:textId="4C1CE4F2">
                <w:r>
                  <w:t>'s-Gravenhage, 13 april 2026</w:t>
                </w:r>
              </w:p>
            </w:tc>
          </w:sdtContent>
        </w:sdt>
      </w:tr>
    </w:tbl>
    <w:p w:rsidR="008327A0" w:rsidRDefault="008327A0" w14:paraId="4E60284E" w14:textId="77777777"/>
    <w:p w:rsidR="008327A0" w:rsidRDefault="008327A0" w14:paraId="79163C45" w14:textId="77777777"/>
    <w:p w:rsidR="001978DD" w:rsidRDefault="00F52ADF" w14:paraId="6C264755" w14:textId="4570788B">
      <w:sdt>
        <w:sdtPr>
          <w:tag w:val="bmAanhef"/>
          <w:id w:val="2042929467"/>
          <w:lock w:val="sdtLocked"/>
          <w:placeholder>
            <w:docPart w:val="DefaultPlaceholder_-1854013440"/>
          </w:placeholder>
        </w:sdtPr>
        <w:sdtEndPr/>
        <w:sdtContent>
          <w:r w:rsidRPr="00006C27" w:rsidR="00947510">
            <w:t>Voorjaarsrapportage 202</w:t>
          </w:r>
          <w:r w:rsidR="00947510">
            <w:t>6</w:t>
          </w:r>
        </w:sdtContent>
      </w:sdt>
    </w:p>
    <w:p w:rsidR="001B17E2" w:rsidRDefault="001B17E2" w14:paraId="4FF62062" w14:textId="6B2F7171"/>
    <w:p w:rsidR="00040FAF" w:rsidP="00040FAF" w:rsidRDefault="00040FAF" w14:paraId="3E97DB9F" w14:textId="77777777"/>
    <w:p w:rsidR="00040FAF" w:rsidP="00040FAF" w:rsidRDefault="00040FAF" w14:paraId="37B1F70D" w14:textId="2BCF21BA">
      <w:r>
        <w:t xml:space="preserve">A </w:t>
      </w:r>
      <w:r>
        <w:tab/>
        <w:t>SAMENVATTEND ADVIES, INLEIDING EN INHOUDSOPGAVE</w:t>
      </w:r>
    </w:p>
    <w:p w:rsidR="00040FAF" w:rsidP="00040FAF" w:rsidRDefault="00040FAF" w14:paraId="415F8278" w14:textId="77777777">
      <w:pPr>
        <w:pStyle w:val="Lijstalinea"/>
      </w:pPr>
      <w:r>
        <w:tab/>
      </w:r>
    </w:p>
    <w:p w:rsidR="00040FAF" w:rsidP="00040FAF" w:rsidRDefault="00040FAF" w14:paraId="081CF9C8" w14:textId="77777777">
      <w:pPr>
        <w:pStyle w:val="Lijstalinea"/>
        <w:numPr>
          <w:ilvl w:val="0"/>
          <w:numId w:val="2"/>
        </w:numPr>
        <w:ind w:left="0" w:firstLine="0"/>
        <w:rPr>
          <w:u w:val="single"/>
        </w:rPr>
      </w:pPr>
      <w:r>
        <w:rPr>
          <w:u w:val="single"/>
        </w:rPr>
        <w:t>Samenvattend advies</w:t>
      </w:r>
    </w:p>
    <w:p w:rsidR="00040FAF" w:rsidP="00040FAF" w:rsidRDefault="00040FAF" w14:paraId="5AA72C5F" w14:textId="77777777">
      <w:pPr>
        <w:rPr>
          <w:u w:val="single"/>
        </w:rPr>
      </w:pPr>
    </w:p>
    <w:p w:rsidR="00040FAF" w:rsidP="00040FAF" w:rsidRDefault="00040FAF" w14:paraId="5A5E13A0" w14:textId="77777777">
      <w:r>
        <w:t>De Afdeling advisering van de Raad van State beoordeelt op grond van de Wet Houdbare Overheidsfinanciën en van het Europees Stabiliteits- en Groeipact de Voorjaarsnota 2026 (vastgesteld door de ministerraad op 27 maart jl.) en twee bij de Europese Commissie in te dienen stukken: de Europese Voortgangsrapportage en een nieuw Budgettair Structureel Plan voor de middellange termijn.</w:t>
      </w:r>
    </w:p>
    <w:p w:rsidR="00040FAF" w:rsidP="00040FAF" w:rsidRDefault="00040FAF" w14:paraId="6623B62B" w14:textId="77777777"/>
    <w:p w:rsidR="00040FAF" w:rsidP="00040FAF" w:rsidRDefault="00040FAF" w14:paraId="03106FAF" w14:textId="77777777">
      <w:r>
        <w:t>De Voorjaarsnota vormt sinds enige jaren het belangrijkste besluitvormingsmoment over de meerjarenbegroting, in opmaat naar de Miljoenennota. Deze Voorjaarsnota is de eerste van het kabinet-</w:t>
      </w:r>
      <w:proofErr w:type="spellStart"/>
      <w:r>
        <w:t>Jetten</w:t>
      </w:r>
      <w:proofErr w:type="spellEnd"/>
      <w:r>
        <w:t xml:space="preserve"> en bevat primair de vertaling van het coalitieakkoord van D66, VVD en CDA “Aan de slag”.</w:t>
      </w:r>
    </w:p>
    <w:p w:rsidR="00040FAF" w:rsidP="00040FAF" w:rsidRDefault="00040FAF" w14:paraId="28993ACF" w14:textId="77777777"/>
    <w:p w:rsidR="00040FAF" w:rsidP="00040FAF" w:rsidRDefault="00040FAF" w14:paraId="1971CD74" w14:textId="792BDD46">
      <w:r>
        <w:t>Nederland staat voor een stapeling van uitdagingen: van geopolitieke aard, door vergrijzing, op terreinen van klimaat, energie, natuur en stikstof, door tekorten van ruimte en woningen en tekorten in publieke voorzieningen als zorg en onderwijs, en door vastgelopen uitvoering.</w:t>
      </w:r>
    </w:p>
    <w:p w:rsidR="00040FAF" w:rsidP="00040FAF" w:rsidRDefault="00040FAF" w14:paraId="3DE392BD" w14:textId="77777777"/>
    <w:p w:rsidR="00040FAF" w:rsidP="00040FAF" w:rsidRDefault="00040FAF" w14:paraId="5E812DF5" w14:textId="77777777">
      <w:r>
        <w:t xml:space="preserve">Deze uitdagingen zijn niet nieuw, maar de stapeling is nijpender geworden door verhevigde geopolitieke spanning, vergrijzing die de komende 10 jaar in Nederland doorzet, en een lage economische groei. De economische groei daalt voor Nederland naar onder de 1% per jaar voor de middellange termijn. Zo’n economische groei is te laag om zonder nadere (politieke) keuzes de stapeling van uitdagingen op te lossen en om deze te financieren zonder stijging van belastingen of verslechtering van de overheidsfinanciën. </w:t>
      </w:r>
    </w:p>
    <w:p w:rsidR="00040FAF" w:rsidP="00040FAF" w:rsidRDefault="00040FAF" w14:paraId="1CCCECEB" w14:textId="77777777"/>
    <w:p w:rsidR="00040FAF" w:rsidP="00040FAF" w:rsidRDefault="00040FAF" w14:paraId="7CA9AFD6" w14:textId="77777777">
      <w:r>
        <w:t>Zowel op Europees als op Nederlands niveau is de urgentie voor een vernieuwend economisch beleid (inclusief sociaal, klimaat, innovatie, weerbaarheid) onderbouwd.</w:t>
      </w:r>
      <w:r>
        <w:rPr>
          <w:rStyle w:val="Voetnootmarkering"/>
        </w:rPr>
        <w:footnoteReference w:id="1"/>
      </w:r>
      <w:r>
        <w:t xml:space="preserve"> Belangrijk element is de samenstelling van overheidsuitgaven: meer investeren en beheersen van vergrijzingskosten. In dat licht moeten eerdere pleidooien, ook van de Afdeling, voor een samenhangende economische structuuranalyse worden begrepen.</w:t>
      </w:r>
    </w:p>
    <w:p w:rsidR="00040FAF" w:rsidP="00040FAF" w:rsidRDefault="00040FAF" w14:paraId="14CB94FD" w14:textId="77777777"/>
    <w:p w:rsidR="00040FAF" w:rsidP="00040FAF" w:rsidRDefault="00040FAF" w14:paraId="611F6548" w14:textId="77777777">
      <w:r>
        <w:t xml:space="preserve">De actuele geopolitieke situatie, vooral (maar niet alleen) de oorlog in het Midden-Oosten en de handelspolitiek van de VS, maakt de economische vooruitzichten nog meer onzeker dan tot voor kort. De aard en duur, en daarmee </w:t>
      </w:r>
      <w:r>
        <w:lastRenderedPageBreak/>
        <w:t>de economische (waaronder inflatie en rente) en budgettaire doorwerking, van deze onzekerheden zijn lastig, laat staan nauwkeurig, te voorspellen.</w:t>
      </w:r>
    </w:p>
    <w:p w:rsidR="00040FAF" w:rsidP="00040FAF" w:rsidRDefault="00040FAF" w14:paraId="0C7D5DEA" w14:textId="77777777"/>
    <w:p w:rsidR="00040FAF" w:rsidP="00040FAF" w:rsidRDefault="00040FAF" w14:paraId="40889CEB" w14:textId="77777777">
      <w:r>
        <w:t>De Afdeling constateert dat het kabinet-</w:t>
      </w:r>
      <w:proofErr w:type="spellStart"/>
      <w:r>
        <w:t>Jetten</w:t>
      </w:r>
      <w:proofErr w:type="spellEnd"/>
      <w:r>
        <w:t xml:space="preserve"> in de Voorjaarsnota zowel de al langer bestaande uitdagingen als de (actuele) geopolitieke onzekerheden onderkent. Het kabinet beoogt met een aantal – soms scherpe – beleidskeuzes de uitdagingen te beantwoorden, meer te investeren en vergrijzingskosten te beheersen, en tegelijkertijd een houdbaar begrotingsbeleid te bestendigen.</w:t>
      </w:r>
    </w:p>
    <w:p w:rsidR="00040FAF" w:rsidP="00040FAF" w:rsidRDefault="00040FAF" w14:paraId="53F8C514" w14:textId="77777777"/>
    <w:p w:rsidR="00040FAF" w:rsidP="00040FAF" w:rsidRDefault="00040FAF" w14:paraId="09AD64B7" w14:textId="77777777">
      <w:r>
        <w:t xml:space="preserve">Tegen deze achtergronden geeft de Afdeling de volgende </w:t>
      </w:r>
      <w:r w:rsidRPr="00C61CC1">
        <w:rPr>
          <w:u w:val="single"/>
        </w:rPr>
        <w:t>adviezen</w:t>
      </w:r>
      <w:r>
        <w:t>:</w:t>
      </w:r>
    </w:p>
    <w:p w:rsidR="00040FAF" w:rsidP="00040FAF" w:rsidRDefault="00040FAF" w14:paraId="5BFD68CA" w14:textId="77777777">
      <w:pPr>
        <w:pStyle w:val="Lijstalinea"/>
        <w:numPr>
          <w:ilvl w:val="0"/>
          <w:numId w:val="25"/>
        </w:numPr>
        <w:ind w:left="284" w:hanging="284"/>
      </w:pPr>
      <w:r>
        <w:t>Handhaaf een trendmatig begrotingsbeleid gebaseerd op beheersing van uitgaven en lasten, neem de vernieuwde Europese begrotingsregels – gericht op de middellange termijn uitgavenontwikkeling – als uitgangspunt van de begrotingsbesluitvorming. Houd voldoende budgettaire ruimte voor als de komende jaren de economie tegenvalt zodat niet gelijk tussentijds hoeft te worden bezuinigd; voorkom ongewilde belastingverhoging in de toekomst of doorschuiven van de rekening naar toekomstige generaties.</w:t>
      </w:r>
    </w:p>
    <w:p w:rsidR="00040FAF" w:rsidP="00040FAF" w:rsidRDefault="00040FAF" w14:paraId="23AA02F3" w14:textId="77777777">
      <w:pPr>
        <w:pStyle w:val="Lijstalinea"/>
        <w:numPr>
          <w:ilvl w:val="0"/>
          <w:numId w:val="25"/>
        </w:numPr>
        <w:ind w:left="284" w:hanging="284"/>
      </w:pPr>
      <w:r>
        <w:t>Houd scherp oog voor uitvoering en uitvoerbaarheid. Koppel daartoe zo veel als mogelijk de beoogde beleidsvoorstellen, als antwoord op de uitdagingen, aan (meetbare) doelstellingen en aan een nadere analyse van de Nederlandse economische structuur.</w:t>
      </w:r>
    </w:p>
    <w:p w:rsidR="00040FAF" w:rsidP="00040FAF" w:rsidRDefault="00040FAF" w14:paraId="4C3FD787" w14:textId="77777777">
      <w:pPr>
        <w:pStyle w:val="Lijstalinea"/>
        <w:numPr>
          <w:ilvl w:val="0"/>
          <w:numId w:val="25"/>
        </w:numPr>
        <w:ind w:left="284" w:hanging="284"/>
      </w:pPr>
      <w:r>
        <w:t>Wees bij het uitgavenkader</w:t>
      </w:r>
      <w:r w:rsidRPr="000A1624">
        <w:t xml:space="preserve"> preciezer met efficiencykortingen</w:t>
      </w:r>
      <w:r>
        <w:t xml:space="preserve"> en v</w:t>
      </w:r>
      <w:r w:rsidRPr="007801BB">
        <w:t>oorkom</w:t>
      </w:r>
      <w:r w:rsidRPr="005E098F">
        <w:t xml:space="preserve"> besteding van </w:t>
      </w:r>
      <w:proofErr w:type="spellStart"/>
      <w:r w:rsidRPr="005E098F">
        <w:t>onderuitputting</w:t>
      </w:r>
      <w:proofErr w:type="spellEnd"/>
      <w:r w:rsidRPr="007801BB">
        <w:t xml:space="preserve"> aan andere beleidsdoelen</w:t>
      </w:r>
      <w:r>
        <w:t>.</w:t>
      </w:r>
    </w:p>
    <w:p w:rsidR="00040FAF" w:rsidP="00040FAF" w:rsidRDefault="00040FAF" w14:paraId="483C392C" w14:textId="77777777">
      <w:pPr>
        <w:pStyle w:val="Lijstalinea"/>
        <w:numPr>
          <w:ilvl w:val="0"/>
          <w:numId w:val="25"/>
        </w:numPr>
        <w:ind w:left="284" w:hanging="284"/>
      </w:pPr>
      <w:r>
        <w:t xml:space="preserve">Let op een evenwichtige </w:t>
      </w:r>
      <w:r w:rsidRPr="000A1624">
        <w:t>verdeling van de lasten</w:t>
      </w:r>
      <w:r>
        <w:t xml:space="preserve"> en blijf alert op ondoelmatige fiscale regelingen.</w:t>
      </w:r>
    </w:p>
    <w:p w:rsidR="00040FAF" w:rsidP="00040FAF" w:rsidRDefault="00040FAF" w14:paraId="496A32BD" w14:textId="77777777"/>
    <w:p w:rsidR="00040FAF" w:rsidP="00040FAF" w:rsidRDefault="00040FAF" w14:paraId="0A2949C4" w14:textId="77777777">
      <w:r>
        <w:t xml:space="preserve">Als uitkomst van de toetsing van de Voorjaarsnota, de Europese Voortgangsrapportage en het nieuwe Budgettair Structureel Plan (BSP) aan de nationale en aan de Europese begrotingsregels </w:t>
      </w:r>
      <w:r>
        <w:rPr>
          <w:u w:val="single"/>
        </w:rPr>
        <w:t>oordeelt</w:t>
      </w:r>
      <w:r>
        <w:t xml:space="preserve"> de Afdeling:</w:t>
      </w:r>
    </w:p>
    <w:p w:rsidRPr="00B543F0" w:rsidR="00040FAF" w:rsidP="00040FAF" w:rsidRDefault="00040FAF" w14:paraId="6CFF9428" w14:textId="77777777">
      <w:pPr>
        <w:pStyle w:val="Lijstalinea"/>
        <w:numPr>
          <w:ilvl w:val="0"/>
          <w:numId w:val="26"/>
        </w:numPr>
        <w:ind w:left="284" w:hanging="284"/>
        <w:rPr>
          <w:u w:val="single"/>
        </w:rPr>
      </w:pPr>
      <w:proofErr w:type="gramStart"/>
      <w:r>
        <w:t>dat</w:t>
      </w:r>
      <w:proofErr w:type="gramEnd"/>
      <w:r>
        <w:t xml:space="preserve"> het kabinet onvoldoende duidelijk de uitgavenkaders als begrotingsanker hanteert;</w:t>
      </w:r>
    </w:p>
    <w:p w:rsidRPr="00B76126" w:rsidR="00040FAF" w:rsidDel="00304C0F" w:rsidP="00040FAF" w:rsidRDefault="00040FAF" w14:paraId="23E3A5F7" w14:textId="77777777">
      <w:pPr>
        <w:pStyle w:val="Lijstalinea"/>
        <w:numPr>
          <w:ilvl w:val="0"/>
          <w:numId w:val="26"/>
        </w:numPr>
        <w:ind w:left="284" w:hanging="284"/>
        <w:rPr>
          <w:rFonts w:cstheme="minorBidi"/>
          <w:szCs w:val="22"/>
        </w:rPr>
      </w:pPr>
      <w:proofErr w:type="gramStart"/>
      <w:r>
        <w:t>dat</w:t>
      </w:r>
      <w:proofErr w:type="gramEnd"/>
      <w:r>
        <w:t xml:space="preserve"> de groei van de netto-uitgaven op middellange termijn te hoog is;</w:t>
      </w:r>
    </w:p>
    <w:p w:rsidRPr="00304C0F" w:rsidR="00040FAF" w:rsidP="00040FAF" w:rsidRDefault="00040FAF" w14:paraId="6F62A9B4" w14:textId="77777777">
      <w:pPr>
        <w:pStyle w:val="Lijstalinea"/>
        <w:numPr>
          <w:ilvl w:val="0"/>
          <w:numId w:val="26"/>
        </w:numPr>
        <w:ind w:left="284" w:hanging="284"/>
        <w:rPr>
          <w:rFonts w:cstheme="minorBidi"/>
          <w:szCs w:val="22"/>
        </w:rPr>
      </w:pPr>
      <w:proofErr w:type="gramStart"/>
      <w:r w:rsidRPr="00304C0F">
        <w:rPr>
          <w:rFonts w:cstheme="minorBidi"/>
          <w:szCs w:val="22"/>
        </w:rPr>
        <w:t>dat</w:t>
      </w:r>
      <w:proofErr w:type="gramEnd"/>
      <w:r w:rsidRPr="00304C0F">
        <w:rPr>
          <w:rFonts w:cstheme="minorBidi"/>
          <w:szCs w:val="22"/>
        </w:rPr>
        <w:t xml:space="preserve"> het kabinet in het BSP een nieuw </w:t>
      </w:r>
      <w:proofErr w:type="spellStart"/>
      <w:r w:rsidRPr="00304C0F">
        <w:rPr>
          <w:rFonts w:cstheme="minorBidi"/>
          <w:szCs w:val="22"/>
        </w:rPr>
        <w:t>uitgavenpad</w:t>
      </w:r>
      <w:proofErr w:type="spellEnd"/>
      <w:r w:rsidRPr="00304C0F">
        <w:rPr>
          <w:rFonts w:cstheme="minorBidi"/>
          <w:szCs w:val="22"/>
        </w:rPr>
        <w:t xml:space="preserve"> </w:t>
      </w:r>
      <w:r>
        <w:rPr>
          <w:rFonts w:cstheme="minorBidi"/>
          <w:szCs w:val="22"/>
        </w:rPr>
        <w:t xml:space="preserve">heeft </w:t>
      </w:r>
      <w:r w:rsidRPr="00B76126">
        <w:rPr>
          <w:rFonts w:cstheme="minorBidi"/>
          <w:szCs w:val="22"/>
        </w:rPr>
        <w:t>gepresenteerd</w:t>
      </w:r>
      <w:r w:rsidRPr="00304C0F">
        <w:rPr>
          <w:rFonts w:cstheme="minorBidi"/>
          <w:szCs w:val="22"/>
        </w:rPr>
        <w:t xml:space="preserve"> dat op de middellange termijn leidt tot onhoudbare overheidsfinanciën. </w:t>
      </w:r>
    </w:p>
    <w:p w:rsidR="00040FAF" w:rsidDel="00304C0F" w:rsidP="00040FAF" w:rsidRDefault="00040FAF" w14:paraId="37154857" w14:textId="77777777"/>
    <w:p w:rsidRPr="00E30FA2" w:rsidR="00040FAF" w:rsidP="00040FAF" w:rsidRDefault="00040FAF" w14:paraId="46850573" w14:textId="77777777">
      <w:r w:rsidRPr="009B40C3">
        <w:t xml:space="preserve">De budgettaire marges voor de komende jaren zijn beperkt en kleiner dan in eerdere kabinetsperiodes. Dit maakt de noodzakelijke politieke keuzes niet eenvoudiger. </w:t>
      </w:r>
      <w:r>
        <w:t>Los van de discussie over politieke keuzes is het belangrijk dat kabinet en parlement gezamenlijk verantwoordelijkheid nemen voor een ordelijk begrotingsproces dat in lijn is met de door hen zelf recent vastgestelde Wet Houdbare Overheidsfinanciën en met het daarmee corresponderende Europese wettelijke kader.</w:t>
      </w:r>
    </w:p>
    <w:p w:rsidRPr="00E30FA2" w:rsidR="00040FAF" w:rsidP="00040FAF" w:rsidRDefault="00040FAF" w14:paraId="782EF06E" w14:textId="77777777"/>
    <w:p w:rsidRPr="00EB7272" w:rsidR="00040FAF" w:rsidP="00040FAF" w:rsidRDefault="00040FAF" w14:paraId="3BCA9C21" w14:textId="77777777">
      <w:pPr>
        <w:pStyle w:val="Lijstalinea"/>
        <w:numPr>
          <w:ilvl w:val="0"/>
          <w:numId w:val="2"/>
        </w:numPr>
        <w:ind w:left="0" w:firstLine="0"/>
        <w:rPr>
          <w:u w:val="single"/>
        </w:rPr>
      </w:pPr>
      <w:r w:rsidRPr="00EB7272">
        <w:rPr>
          <w:u w:val="single"/>
        </w:rPr>
        <w:t>In</w:t>
      </w:r>
      <w:r>
        <w:rPr>
          <w:u w:val="single"/>
        </w:rPr>
        <w:t>leiding</w:t>
      </w:r>
    </w:p>
    <w:p w:rsidR="00040FAF" w:rsidP="00040FAF" w:rsidRDefault="00040FAF" w14:paraId="66D474AE" w14:textId="77777777"/>
    <w:p w:rsidR="00040FAF" w:rsidP="00040FAF" w:rsidRDefault="00040FAF" w14:paraId="7F8D171E" w14:textId="77777777">
      <w:r>
        <w:t xml:space="preserve">De Afdeling advisering van de Raad van State is belast met het onafhankelijk </w:t>
      </w:r>
    </w:p>
    <w:p w:rsidR="00040FAF" w:rsidP="00040FAF" w:rsidRDefault="00040FAF" w14:paraId="62BCC6EB" w14:textId="77777777">
      <w:proofErr w:type="gramStart"/>
      <w:r>
        <w:lastRenderedPageBreak/>
        <w:t>begrotingstoezicht</w:t>
      </w:r>
      <w:proofErr w:type="gramEnd"/>
      <w:r>
        <w:t xml:space="preserve"> op de naleving van de nationale en Europese begrotingsregels.</w:t>
      </w:r>
      <w:r>
        <w:rPr>
          <w:rStyle w:val="Voetnootmarkering"/>
        </w:rPr>
        <w:footnoteReference w:id="2"/>
      </w:r>
    </w:p>
    <w:p w:rsidR="00040FAF" w:rsidP="00040FAF" w:rsidRDefault="00040FAF" w14:paraId="7F280A4C" w14:textId="77777777">
      <w:r>
        <w:t xml:space="preserve">Het is de taak van de onafhankelijke begrotingstoezichthouder om een beoordeling </w:t>
      </w:r>
    </w:p>
    <w:p w:rsidR="00040FAF" w:rsidP="00040FAF" w:rsidRDefault="00040FAF" w14:paraId="3E1FF926" w14:textId="77777777">
      <w:proofErr w:type="gramStart"/>
      <w:r>
        <w:t>op</w:t>
      </w:r>
      <w:proofErr w:type="gramEnd"/>
      <w:r>
        <w:t xml:space="preserve"> te stellen over de vraag of wordt voldaan aan de nationale en Europese </w:t>
      </w:r>
    </w:p>
    <w:p w:rsidR="00040FAF" w:rsidP="00040FAF" w:rsidRDefault="00040FAF" w14:paraId="6BA6043D" w14:textId="77777777">
      <w:proofErr w:type="gramStart"/>
      <w:r>
        <w:t>begrotingsregels</w:t>
      </w:r>
      <w:proofErr w:type="gramEnd"/>
      <w:r>
        <w:t>.</w:t>
      </w:r>
    </w:p>
    <w:p w:rsidR="00040FAF" w:rsidP="00040FAF" w:rsidRDefault="00040FAF" w14:paraId="5AFD8568" w14:textId="77777777"/>
    <w:p w:rsidR="00040FAF" w:rsidP="00040FAF" w:rsidRDefault="00040FAF" w14:paraId="4AF3BA53" w14:textId="77777777">
      <w:r>
        <w:t>In dit advies beoordeelt de Afdeling:</w:t>
      </w:r>
    </w:p>
    <w:p w:rsidRPr="004606CC" w:rsidR="00040FAF" w:rsidP="00040FAF" w:rsidRDefault="00040FAF" w14:paraId="033FF04D" w14:textId="77777777">
      <w:pPr>
        <w:pStyle w:val="Lijstalinea"/>
        <w:numPr>
          <w:ilvl w:val="0"/>
          <w:numId w:val="27"/>
        </w:numPr>
        <w:ind w:left="426" w:hanging="426"/>
        <w:rPr>
          <w:i/>
          <w:iCs/>
        </w:rPr>
      </w:pPr>
      <w:proofErr w:type="gramStart"/>
      <w:r>
        <w:t>de</w:t>
      </w:r>
      <w:proofErr w:type="gramEnd"/>
      <w:r>
        <w:t xml:space="preserve"> bij de Tweede Kamer ingediende Voorjaarsnota 2026 (met meerjarige doorwerking), en </w:t>
      </w:r>
    </w:p>
    <w:p w:rsidRPr="004606CC" w:rsidR="00040FAF" w:rsidP="00040FAF" w:rsidRDefault="00040FAF" w14:paraId="46F26DE6" w14:textId="77777777">
      <w:pPr>
        <w:pStyle w:val="Lijstalinea"/>
        <w:numPr>
          <w:ilvl w:val="0"/>
          <w:numId w:val="27"/>
        </w:numPr>
        <w:ind w:left="426" w:hanging="426"/>
        <w:rPr>
          <w:i/>
          <w:iCs/>
        </w:rPr>
      </w:pPr>
      <w:proofErr w:type="gramStart"/>
      <w:r>
        <w:t>de</w:t>
      </w:r>
      <w:proofErr w:type="gramEnd"/>
      <w:r>
        <w:t xml:space="preserve"> bij de Europese Commissie ingediende Europese Voortgangsrapportage, alsmede </w:t>
      </w:r>
    </w:p>
    <w:p w:rsidRPr="00DD4569" w:rsidR="00040FAF" w:rsidP="00040FAF" w:rsidRDefault="00040FAF" w14:paraId="5D6EE5AD" w14:textId="77777777">
      <w:pPr>
        <w:pStyle w:val="Lijstalinea"/>
        <w:numPr>
          <w:ilvl w:val="0"/>
          <w:numId w:val="27"/>
        </w:numPr>
        <w:ind w:left="426" w:hanging="426"/>
        <w:rPr>
          <w:i/>
          <w:iCs/>
        </w:rPr>
      </w:pPr>
      <w:proofErr w:type="gramStart"/>
      <w:r>
        <w:t>een</w:t>
      </w:r>
      <w:proofErr w:type="gramEnd"/>
      <w:r>
        <w:t xml:space="preserve"> nieuw Budgettair Structureel Plan (BSP) voor de middellange termijn.</w:t>
      </w:r>
    </w:p>
    <w:p w:rsidRPr="00DD4569" w:rsidR="00040FAF" w:rsidP="00040FAF" w:rsidRDefault="00040FAF" w14:paraId="026DF585" w14:textId="77777777">
      <w:pPr>
        <w:rPr>
          <w:i/>
          <w:iCs/>
        </w:rPr>
      </w:pPr>
    </w:p>
    <w:p w:rsidR="00040FAF" w:rsidP="00040FAF" w:rsidRDefault="00040FAF" w14:paraId="4F70905C" w14:textId="77777777">
      <w:r>
        <w:t xml:space="preserve">De Afdeling werkt voor haar beoordeling nauw samen met het Centraal Planbureau </w:t>
      </w:r>
    </w:p>
    <w:p w:rsidR="00040FAF" w:rsidP="00040FAF" w:rsidRDefault="00040FAF" w14:paraId="2C5EF73C" w14:textId="77777777">
      <w:r>
        <w:t xml:space="preserve">(CPB). De taakverdeling houdt in dat het opstellen van onafhankelijke economische </w:t>
      </w:r>
    </w:p>
    <w:p w:rsidR="00040FAF" w:rsidP="00040FAF" w:rsidRDefault="00040FAF" w14:paraId="523F9329" w14:textId="77777777">
      <w:proofErr w:type="gramStart"/>
      <w:r>
        <w:t>en</w:t>
      </w:r>
      <w:proofErr w:type="gramEnd"/>
      <w:r>
        <w:t xml:space="preserve"> budgettaire ramingen en analyses is belegd bij het CPB. De Afdeling is belast </w:t>
      </w:r>
    </w:p>
    <w:p w:rsidR="00040FAF" w:rsidP="00040FAF" w:rsidRDefault="00040FAF" w14:paraId="6BFD67FB" w14:textId="77777777">
      <w:proofErr w:type="gramStart"/>
      <w:r>
        <w:t>met</w:t>
      </w:r>
      <w:proofErr w:type="gramEnd"/>
      <w:r>
        <w:t xml:space="preserve"> de meer normatieve beoordeling van de naleving van de nationale en Europese begrotingsregels. De Afdeling neemt de budgettaire analyse van de Voorjaarsnota </w:t>
      </w:r>
    </w:p>
    <w:p w:rsidR="00040FAF" w:rsidP="00040FAF" w:rsidRDefault="00040FAF" w14:paraId="738AEB16" w14:textId="77777777">
      <w:proofErr w:type="gramStart"/>
      <w:r>
        <w:t>en</w:t>
      </w:r>
      <w:proofErr w:type="gramEnd"/>
      <w:r>
        <w:t xml:space="preserve"> de maartraming (het Centraal Economisch Plan (hierna: CEP 2026)) van het CPB als uitgangspunt voor de begrotingstoetsing.</w:t>
      </w:r>
    </w:p>
    <w:p w:rsidR="00040FAF" w:rsidP="00040FAF" w:rsidRDefault="00040FAF" w14:paraId="3369A234" w14:textId="77777777"/>
    <w:p w:rsidR="00040FAF" w:rsidP="00040FAF" w:rsidRDefault="00040FAF" w14:paraId="76807E6D" w14:textId="77777777">
      <w:r>
        <w:t>De Voorjaarsnota bevat sinds 2023 niet alleen de gebruikelijke voorstellen voor het lopende jaar maar ook de voorstellen voor het volgende begrotingsjaar, met meerjarige doorwerking, in opmaat naar de Miljoenennota. De Voorjaarsnota loopt daarmee meer in de pas met het Europees Semester voor nationale begrotingen in de Eurozone en is voor de Staten-Generaal een belangrijker hoofdmoment geworden in de nationale begrotingscyclus.</w:t>
      </w:r>
    </w:p>
    <w:p w:rsidR="00040FAF" w:rsidP="00040FAF" w:rsidRDefault="00040FAF" w14:paraId="3A7F1E20" w14:textId="77777777"/>
    <w:p w:rsidR="00040FAF" w:rsidP="00040FAF" w:rsidRDefault="00040FAF" w14:paraId="39B37549" w14:textId="77777777">
      <w:r>
        <w:t>De Voorjaarsrapportage 2026 heeft een bijzonder karakter.</w:t>
      </w:r>
      <w:r w:rsidRPr="00D05176">
        <w:t xml:space="preserve"> Het</w:t>
      </w:r>
      <w:r>
        <w:t xml:space="preserve"> is de eerste van het kabinet-</w:t>
      </w:r>
      <w:proofErr w:type="spellStart"/>
      <w:r>
        <w:t>Jetten</w:t>
      </w:r>
      <w:proofErr w:type="spellEnd"/>
      <w:r>
        <w:t xml:space="preserve"> en bevat primair de financiële vertaling van het coalitieakkoord en de vaststelling van de uitgaven- en inkomstenkaders, </w:t>
      </w:r>
      <w:proofErr w:type="gramStart"/>
      <w:r>
        <w:t>alsmede</w:t>
      </w:r>
      <w:proofErr w:type="gramEnd"/>
      <w:r>
        <w:t xml:space="preserve"> de begrotingsregels voor de nieuwe kabinetsperiode. Mede daarom is de Voorjaarsnota vervroegd gepubliceerd (27 maart in plaats van de wettelijke datum van uiterlijk 1 juni). De advisering over de Voorjaarsnota door de Afdeling in deze Voorjaarsrapportage is daarom ook vervroegd, en wordt nu uitgebracht samen met de beoordeling van de Europese Voortgangsrapportage en het nieuwe BSP.</w:t>
      </w:r>
      <w:r w:rsidDel="004A0740">
        <w:t xml:space="preserve"> </w:t>
      </w:r>
    </w:p>
    <w:p w:rsidR="00040FAF" w:rsidP="00040FAF" w:rsidRDefault="00040FAF" w14:paraId="34A74C2F" w14:textId="77777777"/>
    <w:p w:rsidR="00040FAF" w:rsidP="00040FAF" w:rsidRDefault="00040FAF" w14:paraId="112278AD" w14:textId="77777777">
      <w:r>
        <w:lastRenderedPageBreak/>
        <w:t>In deze Voorjaarsrapportage 2026 geeft de Afdeling in de eerste plaats een beoordeling over budgettaire ontwikkeling in 2025, 2026 en 2027, zoals deze door het kabinet is vastgesteld in de Europese Voortgangsrapportage (</w:t>
      </w:r>
      <w:proofErr w:type="spellStart"/>
      <w:r>
        <w:rPr>
          <w:i/>
          <w:iCs/>
        </w:rPr>
        <w:t>Annual</w:t>
      </w:r>
      <w:proofErr w:type="spellEnd"/>
      <w:r>
        <w:rPr>
          <w:i/>
          <w:iCs/>
        </w:rPr>
        <w:t xml:space="preserve"> </w:t>
      </w:r>
      <w:proofErr w:type="spellStart"/>
      <w:r>
        <w:rPr>
          <w:i/>
          <w:iCs/>
        </w:rPr>
        <w:t>Progress</w:t>
      </w:r>
      <w:proofErr w:type="spellEnd"/>
      <w:r>
        <w:rPr>
          <w:i/>
          <w:iCs/>
        </w:rPr>
        <w:t xml:space="preserve"> Report)</w:t>
      </w:r>
      <w:r>
        <w:t xml:space="preserve">. De Voortgangsrapportage neemt het CEP 2026 als uitgangspunt. Daarnaast reflecteert de Afdeling op de herziene versie van het BSP voor de middellange termijn dat een nieuw </w:t>
      </w:r>
      <w:proofErr w:type="spellStart"/>
      <w:r>
        <w:t>uitgavenpad</w:t>
      </w:r>
      <w:proofErr w:type="spellEnd"/>
      <w:r>
        <w:t xml:space="preserve"> bevat. </w:t>
      </w:r>
      <w:proofErr w:type="gramStart"/>
      <w:r>
        <w:t>Tevens</w:t>
      </w:r>
      <w:proofErr w:type="gramEnd"/>
      <w:r>
        <w:t xml:space="preserve"> gaat de Afdeling in op enkele beleids- en begrotingsvoornemens van het kabinet voor 2026 en de meerjarige budgettaire ontwikkelingen zoals gepresenteerd in de Voorjaarsnota. </w:t>
      </w:r>
    </w:p>
    <w:p w:rsidR="00040FAF" w:rsidP="00040FAF" w:rsidRDefault="00040FAF" w14:paraId="727C30E7" w14:textId="77777777"/>
    <w:p w:rsidR="00040FAF" w:rsidP="00040FAF" w:rsidRDefault="00040FAF" w14:paraId="216D06A1" w14:textId="77777777">
      <w:r>
        <w:t xml:space="preserve">De Afdeling heeft in het belang van de kwaliteit en zorgvuldigheid van de op te stellen beoordeling kennis kunnen nemen van conceptversies van de Voorjaarsnota 2026, de Startnota, de Voortgangsrapportage en het herziene BSP voor de middellange termijn. </w:t>
      </w:r>
    </w:p>
    <w:p w:rsidR="00040FAF" w:rsidP="00040FAF" w:rsidRDefault="00040FAF" w14:paraId="6EA419F0" w14:textId="77777777"/>
    <w:p w:rsidR="00040FAF" w:rsidP="00040FAF" w:rsidRDefault="00040FAF" w14:paraId="28840905" w14:textId="77777777">
      <w:pPr>
        <w:pStyle w:val="Lijstalinea"/>
        <w:numPr>
          <w:ilvl w:val="0"/>
          <w:numId w:val="2"/>
        </w:numPr>
        <w:ind w:left="0" w:firstLine="0"/>
        <w:rPr>
          <w:u w:val="single"/>
        </w:rPr>
      </w:pPr>
      <w:r w:rsidRPr="0043317B">
        <w:rPr>
          <w:u w:val="single"/>
        </w:rPr>
        <w:t>Inhoudsopgave</w:t>
      </w:r>
    </w:p>
    <w:p w:rsidRPr="0043317B" w:rsidR="00040FAF" w:rsidP="00040FAF" w:rsidRDefault="00040FAF" w14:paraId="6C5ACFF8" w14:textId="77777777">
      <w:pPr>
        <w:pStyle w:val="Lijstalinea"/>
        <w:rPr>
          <w:u w:val="single"/>
        </w:rPr>
      </w:pPr>
    </w:p>
    <w:p w:rsidR="00040FAF" w:rsidP="00040FAF" w:rsidRDefault="00040FAF" w14:paraId="72E93E0C" w14:textId="77777777">
      <w:r>
        <w:t xml:space="preserve">Deze Voorjaarsrapportage kent de volgende opzet: </w:t>
      </w:r>
    </w:p>
    <w:p w:rsidR="00040FAF" w:rsidP="00040FAF" w:rsidRDefault="00040FAF" w14:paraId="78FE545B" w14:textId="77777777"/>
    <w:p w:rsidRPr="005F0CDD" w:rsidR="00040FAF" w:rsidP="00040FAF" w:rsidRDefault="00040FAF" w14:paraId="4FF72CF4" w14:textId="77777777">
      <w:r w:rsidRPr="005F0CDD">
        <w:t xml:space="preserve">A. </w:t>
      </w:r>
      <w:r>
        <w:t xml:space="preserve">SAMENVATTEND ADVIES, INLEIDING EN INHOUDSOPGAVE </w:t>
      </w:r>
    </w:p>
    <w:p w:rsidR="00040FAF" w:rsidP="00040FAF" w:rsidRDefault="00040FAF" w14:paraId="58847D42" w14:textId="77777777">
      <w:pPr>
        <w:ind w:firstLine="708"/>
      </w:pPr>
      <w:r w:rsidRPr="005F0CDD">
        <w:t xml:space="preserve">A.1. </w:t>
      </w:r>
      <w:r>
        <w:t xml:space="preserve">Samenvattend advies </w:t>
      </w:r>
    </w:p>
    <w:p w:rsidRPr="005F0CDD" w:rsidR="00040FAF" w:rsidP="00040FAF" w:rsidRDefault="00040FAF" w14:paraId="6DC6270A" w14:textId="77777777">
      <w:pPr>
        <w:ind w:firstLine="708"/>
      </w:pPr>
      <w:r>
        <w:t>A.2. Inleiding</w:t>
      </w:r>
    </w:p>
    <w:p w:rsidRPr="005F0CDD" w:rsidR="00040FAF" w:rsidP="00040FAF" w:rsidRDefault="00040FAF" w14:paraId="65D49135" w14:textId="77777777">
      <w:pPr>
        <w:ind w:firstLine="708"/>
      </w:pPr>
      <w:r w:rsidRPr="005F0CDD">
        <w:t>A.</w:t>
      </w:r>
      <w:r>
        <w:t>3</w:t>
      </w:r>
      <w:r w:rsidRPr="005F0CDD">
        <w:t>. In</w:t>
      </w:r>
      <w:r>
        <w:t>houdsopgave</w:t>
      </w:r>
    </w:p>
    <w:p w:rsidRPr="005F0CDD" w:rsidR="00040FAF" w:rsidP="00040FAF" w:rsidRDefault="00040FAF" w14:paraId="26D391B8" w14:textId="77777777">
      <w:r w:rsidRPr="005F0CDD">
        <w:t>B. ANALYSE</w:t>
      </w:r>
    </w:p>
    <w:p w:rsidRPr="005F0CDD" w:rsidR="00040FAF" w:rsidP="00040FAF" w:rsidRDefault="00040FAF" w14:paraId="1D8A162A" w14:textId="77777777">
      <w:pPr>
        <w:ind w:firstLine="708"/>
      </w:pPr>
      <w:r w:rsidRPr="005F0CDD">
        <w:t xml:space="preserve">B.1. </w:t>
      </w:r>
      <w:r w:rsidRPr="003866F7">
        <w:t>Ongunstige macro-economische omstandigheden</w:t>
      </w:r>
    </w:p>
    <w:p w:rsidRPr="005E098F" w:rsidR="00040FAF" w:rsidP="00040FAF" w:rsidRDefault="00040FAF" w14:paraId="55810653" w14:textId="77777777">
      <w:pPr>
        <w:ind w:firstLine="708"/>
      </w:pPr>
      <w:r w:rsidRPr="005E098F">
        <w:t>B.</w:t>
      </w:r>
      <w:r>
        <w:t>2</w:t>
      </w:r>
      <w:r w:rsidRPr="005E098F">
        <w:t>. Een kabinet met vele uitdagingen</w:t>
      </w:r>
      <w:r>
        <w:t>: hoofdlijnen uit het coalitieakkoord</w:t>
      </w:r>
      <w:r w:rsidRPr="005E098F">
        <w:t xml:space="preserve"> </w:t>
      </w:r>
    </w:p>
    <w:p w:rsidRPr="005E098F" w:rsidR="00040FAF" w:rsidP="00040FAF" w:rsidRDefault="00040FAF" w14:paraId="51DC796A" w14:textId="77777777">
      <w:r w:rsidRPr="005E098F">
        <w:t>C. BEGROTINGSTOETSING</w:t>
      </w:r>
    </w:p>
    <w:p w:rsidRPr="005E098F" w:rsidR="00040FAF" w:rsidP="00040FAF" w:rsidRDefault="00040FAF" w14:paraId="122ABA7E" w14:textId="77777777">
      <w:r w:rsidRPr="005E098F">
        <w:tab/>
        <w:t>C.1. Toetsing aan de Europese begrotingsregels</w:t>
      </w:r>
    </w:p>
    <w:p w:rsidRPr="005E098F" w:rsidR="00040FAF" w:rsidP="00040FAF" w:rsidRDefault="00040FAF" w14:paraId="0C41253B" w14:textId="77777777">
      <w:pPr>
        <w:rPr>
          <w:i/>
          <w:u w:val="single"/>
        </w:rPr>
      </w:pPr>
      <w:r w:rsidRPr="005E098F">
        <w:tab/>
        <w:t xml:space="preserve">C.2. </w:t>
      </w:r>
      <w:r w:rsidRPr="005E098F">
        <w:rPr>
          <w:iCs/>
        </w:rPr>
        <w:t>Het nieuwe budgettair-structureel plan voor de middellange termijn</w:t>
      </w:r>
      <w:r w:rsidRPr="005E098F">
        <w:t xml:space="preserve"> </w:t>
      </w:r>
    </w:p>
    <w:p w:rsidRPr="005E098F" w:rsidR="00040FAF" w:rsidP="00040FAF" w:rsidRDefault="00040FAF" w14:paraId="3A3DF76A" w14:textId="77777777">
      <w:r w:rsidRPr="005E098F">
        <w:tab/>
        <w:t xml:space="preserve">C.3. Toetsing aan de nationale begrotingsregels </w:t>
      </w:r>
    </w:p>
    <w:p w:rsidRPr="005E098F" w:rsidR="00040FAF" w:rsidP="00040FAF" w:rsidRDefault="00040FAF" w14:paraId="76497313" w14:textId="77777777">
      <w:r w:rsidRPr="005E098F">
        <w:t>D. AANBEVELINGEN BIJ UITGAVEN- EN LASTENKADER</w:t>
      </w:r>
    </w:p>
    <w:p w:rsidRPr="005E098F" w:rsidR="00040FAF" w:rsidP="00040FAF" w:rsidRDefault="00040FAF" w14:paraId="7AD08A5F" w14:textId="77777777">
      <w:r w:rsidRPr="005E098F">
        <w:tab/>
        <w:t xml:space="preserve">D.1. </w:t>
      </w:r>
      <w:r>
        <w:t xml:space="preserve">Analyseer </w:t>
      </w:r>
      <w:r w:rsidRPr="000A1624">
        <w:t>nader of de economische structuur in lijn is met de ambities</w:t>
      </w:r>
    </w:p>
    <w:p w:rsidRPr="005E098F" w:rsidR="00040FAF" w:rsidP="00040FAF" w:rsidRDefault="00040FAF" w14:paraId="2D596310" w14:textId="77777777">
      <w:r w:rsidRPr="005E098F">
        <w:tab/>
        <w:t xml:space="preserve">D.2. </w:t>
      </w:r>
      <w:r w:rsidRPr="000A1624">
        <w:t xml:space="preserve">Wees preciezer met efficiencykortingen </w:t>
      </w:r>
    </w:p>
    <w:p w:rsidRPr="005E098F" w:rsidR="00040FAF" w:rsidP="00040FAF" w:rsidRDefault="00040FAF" w14:paraId="593A1CBA" w14:textId="77777777">
      <w:r w:rsidRPr="005E098F">
        <w:tab/>
        <w:t xml:space="preserve">D.3. </w:t>
      </w:r>
      <w:r w:rsidRPr="007801BB">
        <w:t>Voorkom</w:t>
      </w:r>
      <w:r w:rsidRPr="005E098F">
        <w:t xml:space="preserve"> besteding van </w:t>
      </w:r>
      <w:proofErr w:type="spellStart"/>
      <w:r w:rsidRPr="005E098F">
        <w:t>onderuitputting</w:t>
      </w:r>
      <w:proofErr w:type="spellEnd"/>
      <w:r w:rsidRPr="007801BB">
        <w:t xml:space="preserve"> aan andere beleidsdoelen </w:t>
      </w:r>
    </w:p>
    <w:p w:rsidR="00040FAF" w:rsidP="00040FAF" w:rsidRDefault="00040FAF" w14:paraId="256CE317" w14:textId="77777777">
      <w:pPr>
        <w:ind w:firstLine="708"/>
      </w:pPr>
      <w:r w:rsidRPr="005E098F">
        <w:t xml:space="preserve">D.4. </w:t>
      </w:r>
      <w:r>
        <w:t xml:space="preserve">Let op evenwichtige </w:t>
      </w:r>
      <w:r w:rsidRPr="000A1624">
        <w:t>verdeling van de lasten</w:t>
      </w:r>
    </w:p>
    <w:p w:rsidR="00040FAF" w:rsidP="00040FAF" w:rsidRDefault="00040FAF" w14:paraId="745B2894" w14:textId="77777777">
      <w:pPr>
        <w:ind w:firstLine="708"/>
      </w:pPr>
      <w:r>
        <w:t>D.5. Blijf alert op ondoelmatige fiscale regelingen</w:t>
      </w:r>
    </w:p>
    <w:p w:rsidR="00C63BA5" w:rsidP="00C63BA5" w:rsidRDefault="00C63BA5" w14:paraId="48ADAE03" w14:textId="7AC7262D">
      <w:r>
        <w:t xml:space="preserve">E. REACTIE VAN HET KABINET </w:t>
      </w:r>
    </w:p>
    <w:p w:rsidR="00040FAF" w:rsidP="00040FAF" w:rsidRDefault="00040FAF" w14:paraId="50612309" w14:textId="77777777">
      <w:pPr>
        <w:ind w:firstLine="708"/>
      </w:pPr>
    </w:p>
    <w:p w:rsidR="00CC109B" w:rsidRDefault="00CC109B" w14:paraId="7D23FD19" w14:textId="77777777">
      <w:r>
        <w:br w:type="page"/>
      </w:r>
    </w:p>
    <w:p w:rsidR="00040FAF" w:rsidP="00040FAF" w:rsidRDefault="00040FAF" w14:paraId="6DF64AC9" w14:textId="77777777">
      <w:r>
        <w:lastRenderedPageBreak/>
        <w:t>B. ANALYSE</w:t>
      </w:r>
    </w:p>
    <w:p w:rsidR="00040FAF" w:rsidP="00040FAF" w:rsidRDefault="00040FAF" w14:paraId="1C9FEEA4" w14:textId="77777777"/>
    <w:p w:rsidRPr="000034C9" w:rsidR="00040FAF" w:rsidP="00040FAF" w:rsidRDefault="00040FAF" w14:paraId="3E92D987" w14:textId="77777777">
      <w:r w:rsidRPr="000034C9">
        <w:t xml:space="preserve">De economische vooruitzichten van Nederland in deze kabinetsperiode worden dominant bepaald door </w:t>
      </w:r>
      <w:r>
        <w:t xml:space="preserve">nationale en internationale </w:t>
      </w:r>
      <w:r w:rsidRPr="000034C9">
        <w:t xml:space="preserve">omstandigheden die alle niet nieuw zijn, maar door hun intensiteit en in hun stapeling het begrotingsbeleid </w:t>
      </w:r>
      <w:r>
        <w:t>begrenzen</w:t>
      </w:r>
      <w:r w:rsidRPr="000034C9">
        <w:t xml:space="preserve">. Dat heeft betekenis voor de financiële keuzes van het kabinet en </w:t>
      </w:r>
      <w:r>
        <w:t>daarmee</w:t>
      </w:r>
      <w:r w:rsidRPr="000034C9">
        <w:t xml:space="preserve"> voor de beoordeling van de Afdeling. Hieronder volgt een beschrijving van de economische en financiële omstandigheden waarin de overheid de komende periode moet opereren. Daarna een beschrijving van de voor de economie en de rijksfinanciën meest wezenlijk</w:t>
      </w:r>
      <w:r>
        <w:t>e</w:t>
      </w:r>
      <w:r w:rsidRPr="000034C9">
        <w:t xml:space="preserve"> besluiten van het kabinet, met hun consequenties voor de begroting.</w:t>
      </w:r>
    </w:p>
    <w:p w:rsidR="00040FAF" w:rsidP="00040FAF" w:rsidRDefault="00040FAF" w14:paraId="22AFE29E" w14:textId="77777777"/>
    <w:p w:rsidRPr="00D20CA4" w:rsidR="00040FAF" w:rsidP="00040FAF" w:rsidRDefault="00040FAF" w14:paraId="50958151" w14:textId="77777777">
      <w:pPr>
        <w:numPr>
          <w:ilvl w:val="0"/>
          <w:numId w:val="18"/>
        </w:numPr>
        <w:ind w:left="0" w:firstLine="0"/>
        <w:rPr>
          <w:u w:val="single"/>
        </w:rPr>
      </w:pPr>
      <w:r w:rsidRPr="00D20CA4">
        <w:rPr>
          <w:u w:val="single"/>
        </w:rPr>
        <w:t xml:space="preserve">Ongunstige </w:t>
      </w:r>
      <w:r w:rsidRPr="005F1ABE">
        <w:rPr>
          <w:u w:val="single"/>
        </w:rPr>
        <w:t>macro-</w:t>
      </w:r>
      <w:r w:rsidRPr="00D20CA4">
        <w:rPr>
          <w:u w:val="single"/>
        </w:rPr>
        <w:t>economische omstandigheden</w:t>
      </w:r>
    </w:p>
    <w:p w:rsidR="00040FAF" w:rsidP="00040FAF" w:rsidRDefault="00040FAF" w14:paraId="128EE9EE" w14:textId="77777777"/>
    <w:p w:rsidRPr="001E7D7A" w:rsidR="00040FAF" w:rsidP="00040FAF" w:rsidRDefault="00040FAF" w14:paraId="0FB0F959" w14:textId="77777777">
      <w:r w:rsidRPr="001E7D7A">
        <w:t>De afgelopen jaren heeft de Nederlandse economie nog heel behoorlijk gepresteerd, met een groei van gemiddeld 2,0% in de periode 2015-2024, versus een EU-gemiddelde van 1,5%</w:t>
      </w:r>
      <w:r w:rsidRPr="001E7D7A">
        <w:rPr>
          <w:vertAlign w:val="superscript"/>
        </w:rPr>
        <w:footnoteReference w:id="3"/>
      </w:r>
      <w:r w:rsidRPr="001E7D7A">
        <w:t>. Nederland kwam economisch beschouwd relatief fit uit de Covid-periode.</w:t>
      </w:r>
      <w:r w:rsidRPr="001E7D7A">
        <w:rPr>
          <w:vertAlign w:val="superscript"/>
        </w:rPr>
        <w:footnoteReference w:id="4"/>
      </w:r>
      <w:r w:rsidRPr="001E7D7A">
        <w:t xml:space="preserve"> Ondanks krapte op de arbeidsmarkt en het elektriciteitsnet, en ondanks </w:t>
      </w:r>
      <w:r>
        <w:t>knelpunten</w:t>
      </w:r>
      <w:r w:rsidRPr="001E7D7A">
        <w:t xml:space="preserve"> zoals </w:t>
      </w:r>
      <w:r>
        <w:t xml:space="preserve">te hoge </w:t>
      </w:r>
      <w:r w:rsidRPr="001E7D7A">
        <w:t xml:space="preserve">stikstofuitstoot steeg de arbeidsparticipatie in de periode 2000-2023 structureel, waardoor de budgettaire effecten van vergrijzing op de overheidsfinanciën gedeeltelijk konden worden gecompenseerd. Voor ingrepen in de problematiek van vergrijzing en voor investeringen in onze weerbaarheid ontbrak nog de urgentie. In de post-Covid-periode (2022-2025) </w:t>
      </w:r>
      <w:r>
        <w:t xml:space="preserve">was er gemiddeld voor huishoudens </w:t>
      </w:r>
      <w:r w:rsidRPr="001E7D7A">
        <w:t>een cumulatieve koopkrachtstijging.</w:t>
      </w:r>
      <w:r>
        <w:rPr>
          <w:rStyle w:val="Voetnootmarkering"/>
        </w:rPr>
        <w:footnoteReference w:id="5"/>
      </w:r>
    </w:p>
    <w:p w:rsidR="00040FAF" w:rsidP="00040FAF" w:rsidRDefault="00040FAF" w14:paraId="135A936B" w14:textId="77777777"/>
    <w:p w:rsidRPr="00173596" w:rsidR="00040FAF" w:rsidP="00040FAF" w:rsidRDefault="00040FAF" w14:paraId="14D6194F" w14:textId="77777777">
      <w:r w:rsidRPr="00173596">
        <w:t>Inmiddels staat Nederland voor een stapeling van uitdagingen, deels doordat de effecten van vergrijzing dichterbij komen, deels door onopgeloste problematieken, deels door geopolitieke ontwikkelingen. De meest bepalende uitdagingen zijn de volgende:</w:t>
      </w:r>
    </w:p>
    <w:p w:rsidR="00040FAF" w:rsidP="00040FAF" w:rsidRDefault="00040FAF" w14:paraId="7495B055" w14:textId="77777777"/>
    <w:p w:rsidRPr="003468B4" w:rsidR="00040FAF" w:rsidP="00040FAF" w:rsidRDefault="00040FAF" w14:paraId="2D9A9568" w14:textId="77777777">
      <w:pPr>
        <w:rPr>
          <w:i/>
        </w:rPr>
      </w:pPr>
      <w:r w:rsidRPr="003468B4">
        <w:rPr>
          <w:i/>
        </w:rPr>
        <w:t>Een stagnerend groeipotentieel op middellange termijn…</w:t>
      </w:r>
    </w:p>
    <w:p w:rsidRPr="003468B4" w:rsidR="00040FAF" w:rsidP="00040FAF" w:rsidRDefault="00040FAF" w14:paraId="1E62793F" w14:textId="77777777">
      <w:r w:rsidRPr="003468B4">
        <w:t>In de afgelopen drie decennia was de economische groei in Nederland gemiddeld 2,0% per jaar.</w:t>
      </w:r>
      <w:r w:rsidRPr="003468B4">
        <w:rPr>
          <w:vertAlign w:val="superscript"/>
        </w:rPr>
        <w:footnoteReference w:id="6"/>
      </w:r>
      <w:r w:rsidRPr="003468B4">
        <w:t xml:space="preserve"> De zeer lage of zelfs negatieve groei</w:t>
      </w:r>
      <w:r>
        <w:t xml:space="preserve"> in de jaren</w:t>
      </w:r>
      <w:r w:rsidRPr="003468B4">
        <w:t xml:space="preserve"> 2009, 2012-2013, 2020 en 2023 </w:t>
      </w:r>
      <w:r>
        <w:t>was</w:t>
      </w:r>
      <w:r w:rsidRPr="003468B4">
        <w:t xml:space="preserve"> niet </w:t>
      </w:r>
      <w:r>
        <w:t>endogeen</w:t>
      </w:r>
      <w:r w:rsidRPr="003468B4">
        <w:t>, maar werd veroorzaakt door tijdelijke ex</w:t>
      </w:r>
      <w:r>
        <w:t>ogene</w:t>
      </w:r>
      <w:r w:rsidRPr="003468B4">
        <w:t xml:space="preserve"> factoren, zoals de kredietcrisis, de eurocrisis, de Covid-uitbraak en de energiecrisis. Voor de komende periode liggen de economische </w:t>
      </w:r>
      <w:r w:rsidRPr="003468B4">
        <w:lastRenderedPageBreak/>
        <w:t xml:space="preserve">groeivooruitzichten echter op een </w:t>
      </w:r>
      <w:r>
        <w:t xml:space="preserve">structureel </w:t>
      </w:r>
      <w:r w:rsidRPr="003468B4">
        <w:t xml:space="preserve">lager niveau, </w:t>
      </w:r>
      <w:r>
        <w:t>in belangrijke mate</w:t>
      </w:r>
      <w:r w:rsidRPr="003468B4">
        <w:t xml:space="preserve"> als gevolg van onze economische structuur.</w:t>
      </w:r>
      <w:r w:rsidRPr="003468B4">
        <w:rPr>
          <w:vertAlign w:val="superscript"/>
        </w:rPr>
        <w:footnoteReference w:id="7"/>
      </w:r>
    </w:p>
    <w:p w:rsidR="00040FAF" w:rsidP="00040FAF" w:rsidRDefault="00040FAF" w14:paraId="42D21DC9" w14:textId="77777777"/>
    <w:p w:rsidRPr="00173596" w:rsidR="00040FAF" w:rsidP="00040FAF" w:rsidRDefault="00040FAF" w14:paraId="11CD6ED4" w14:textId="77777777">
      <w:r w:rsidRPr="00173596">
        <w:t xml:space="preserve">Dominant hierin is de vergrijzing, </w:t>
      </w:r>
      <w:r w:rsidRPr="00CC6EB4">
        <w:t>waardoor</w:t>
      </w:r>
      <w:r w:rsidRPr="00173596">
        <w:t xml:space="preserve"> de </w:t>
      </w:r>
      <w:r w:rsidRPr="00CC6EB4">
        <w:t>groei van het arbeidsaanbod</w:t>
      </w:r>
      <w:r w:rsidRPr="00173596">
        <w:t xml:space="preserve"> </w:t>
      </w:r>
      <w:r>
        <w:t>stagneert.</w:t>
      </w:r>
      <w:r>
        <w:rPr>
          <w:rStyle w:val="Voetnootmarkering"/>
        </w:rPr>
        <w:footnoteReference w:id="8"/>
      </w:r>
      <w:r>
        <w:t xml:space="preserve"> De vergrijzing zet zich door en zal de komende 10 tot 15 jaar doorstijgen. Arbeids- en kennismigratie kan de effecten van vergrijzing op de arbeidsmarkt op gerichte onderdelen enigszins beperken, maar niet geheel wegnemen, laat staan de vergrijzing als zodanig doen keren.</w:t>
      </w:r>
      <w:r>
        <w:rPr>
          <w:rStyle w:val="Voetnootmarkering"/>
        </w:rPr>
        <w:footnoteReference w:id="9"/>
      </w:r>
      <w:r>
        <w:t xml:space="preserve"> Bovendien zit </w:t>
      </w:r>
      <w:r w:rsidRPr="00173596">
        <w:t>er nog maar beperkt rek in de arbeidsparticipatie in aantallen werkenden.</w:t>
      </w:r>
      <w:r>
        <w:t xml:space="preserve"> </w:t>
      </w:r>
      <w:r w:rsidRPr="00173596">
        <w:t>Het aantal gewerkte uren per werkende is in de afgelopen jaren afgenomen in plaats van toegenomen</w:t>
      </w:r>
      <w:r>
        <w:t>.</w:t>
      </w:r>
      <w:r>
        <w:rPr>
          <w:rStyle w:val="Voetnootmarkering"/>
        </w:rPr>
        <w:footnoteReference w:id="10"/>
      </w:r>
      <w:r>
        <w:t xml:space="preserve"> </w:t>
      </w:r>
    </w:p>
    <w:p w:rsidR="00040FAF" w:rsidP="00040FAF" w:rsidRDefault="00040FAF" w14:paraId="11218772" w14:textId="77777777"/>
    <w:p w:rsidR="00040FAF" w:rsidP="00040FAF" w:rsidRDefault="00040FAF" w14:paraId="4E55DE61" w14:textId="77777777">
      <w:r w:rsidRPr="00173596">
        <w:t>Deze ontwikkeling</w:t>
      </w:r>
      <w:r>
        <w:t>, die ook breder in Europa speelt,</w:t>
      </w:r>
      <w:r w:rsidRPr="00173596">
        <w:t xml:space="preserve"> valt samen met stagnatie van de productiviteitsontwikkeling. De arbeidsproductiviteit groeit in Nederland naar verwachting in de periode 2027-2034 gemiddeld iets onder de 0,8%. Ter vergelijking: in de jaren 1970-1995 bedroeg de Nederlandse arbeidsproductiviteit</w:t>
      </w:r>
      <w:r>
        <w:t>s</w:t>
      </w:r>
      <w:r w:rsidRPr="00173596">
        <w:t xml:space="preserve">groei gemiddeld 2,7%; in de jaren 1996-2019 gemiddeld 1,1%. Dat de productiviteitsgroei in Europa en Nederland achterblijft wordt </w:t>
      </w:r>
      <w:r>
        <w:t xml:space="preserve">mede </w:t>
      </w:r>
      <w:r w:rsidRPr="00173596">
        <w:t xml:space="preserve">verklaard door </w:t>
      </w:r>
      <w:r>
        <w:t xml:space="preserve">private en </w:t>
      </w:r>
      <w:r w:rsidRPr="00173596">
        <w:t xml:space="preserve">publieke </w:t>
      </w:r>
      <w:proofErr w:type="spellStart"/>
      <w:r w:rsidRPr="00173596">
        <w:t>onderinvestering</w:t>
      </w:r>
      <w:proofErr w:type="spellEnd"/>
      <w:r w:rsidRPr="00173596">
        <w:t xml:space="preserve"> in productieve activa en innovatie.</w:t>
      </w:r>
      <w:r>
        <w:rPr>
          <w:rStyle w:val="Voetnootmarkering"/>
        </w:rPr>
        <w:footnoteReference w:id="11"/>
      </w:r>
    </w:p>
    <w:p w:rsidR="00040FAF" w:rsidP="00040FAF" w:rsidRDefault="00040FAF" w14:paraId="4F411165" w14:textId="77777777"/>
    <w:p w:rsidR="00040FAF" w:rsidP="00040FAF" w:rsidRDefault="00040FAF" w14:paraId="0E452796" w14:textId="77777777">
      <w:r w:rsidRPr="00173596">
        <w:t>Tegen deze achtergrond raamt het CPB de gemiddelde jaarlijkse economische groei, gemeten als de voor prijsveranderingen gecorrigeerde ontwikkeling van het bruto binnenlands product, in de jaren 2027-2030 op gemiddeld 1,2% en 0,8% in de periode 2031-2034</w:t>
      </w:r>
      <w:r>
        <w:t xml:space="preserve">. </w:t>
      </w:r>
      <w:r w:rsidRPr="00173596">
        <w:t>Daarmee valt de reële economische groei op de middellange termijn lager uit dan in de afgelopen dertig jaar en lager dan in 2025.</w:t>
      </w:r>
      <w:r w:rsidRPr="005F1ABE">
        <w:rPr>
          <w:vertAlign w:val="superscript"/>
        </w:rPr>
        <w:footnoteReference w:id="12"/>
      </w:r>
      <w:r w:rsidRPr="00173596">
        <w:t xml:space="preserve"> En hoewel dat in de afgelopen decennia vaker is gebeurd als gevolg van externe ontwikkelingen, is een ex ante verwachting van stagnatie van de welvaart per capita voor Nederland een nieuw gegeven. </w:t>
      </w:r>
      <w:r w:rsidRPr="005F1ABE">
        <w:t>Zeker na 2030 is er –</w:t>
      </w:r>
      <w:r>
        <w:t xml:space="preserve"> </w:t>
      </w:r>
      <w:r w:rsidRPr="005F1ABE">
        <w:t>uitgaande van een bevolkingsgroei van ongeveer 0,4% – sprake van een zeer gematigde groei van de reële welvaart per capita.</w:t>
      </w:r>
      <w:r w:rsidRPr="005F1ABE">
        <w:rPr>
          <w:vertAlign w:val="superscript"/>
        </w:rPr>
        <w:footnoteReference w:id="13"/>
      </w:r>
    </w:p>
    <w:p w:rsidR="00C63BA5" w:rsidP="00040FAF" w:rsidRDefault="00C63BA5" w14:paraId="09B48BF3" w14:textId="77777777"/>
    <w:tbl>
      <w:tblPr>
        <w:tblW w:w="8895" w:type="dxa"/>
        <w:tblCellMar>
          <w:left w:w="70" w:type="dxa"/>
          <w:right w:w="70" w:type="dxa"/>
        </w:tblCellMar>
        <w:tblLook w:val="04A0" w:firstRow="1" w:lastRow="0" w:firstColumn="1" w:lastColumn="0" w:noHBand="0" w:noVBand="1"/>
      </w:tblPr>
      <w:tblGrid>
        <w:gridCol w:w="4737"/>
        <w:gridCol w:w="594"/>
        <w:gridCol w:w="594"/>
        <w:gridCol w:w="594"/>
        <w:gridCol w:w="594"/>
        <w:gridCol w:w="594"/>
        <w:gridCol w:w="594"/>
        <w:gridCol w:w="594"/>
      </w:tblGrid>
      <w:tr w:rsidRPr="005F1ABE" w:rsidR="00040FAF" w:rsidTr="00040FAF" w14:paraId="35E1F262" w14:textId="77777777">
        <w:trPr>
          <w:trHeight w:val="255"/>
        </w:trPr>
        <w:tc>
          <w:tcPr>
            <w:tcW w:w="6519" w:type="dxa"/>
            <w:gridSpan w:val="4"/>
            <w:tcBorders>
              <w:top w:val="nil"/>
              <w:left w:val="nil"/>
              <w:bottom w:val="single" w:color="auto" w:sz="12" w:space="0"/>
              <w:right w:val="nil"/>
            </w:tcBorders>
            <w:noWrap/>
            <w:vAlign w:val="center"/>
            <w:hideMark/>
          </w:tcPr>
          <w:p w:rsidRPr="009A4FF2" w:rsidR="00040FAF" w:rsidP="00040FAF" w:rsidRDefault="00040FAF" w14:paraId="0E0C5B72" w14:textId="77777777">
            <w:pPr>
              <w:rPr>
                <w:b/>
                <w:bCs/>
                <w:sz w:val="18"/>
                <w:szCs w:val="18"/>
              </w:rPr>
            </w:pPr>
            <w:r w:rsidRPr="009A4FF2">
              <w:rPr>
                <w:b/>
                <w:bCs/>
                <w:sz w:val="18"/>
                <w:szCs w:val="18"/>
              </w:rPr>
              <w:t>Tabel 1: Kerngegevens macro-economische ontwikkelingen 2025-2031</w:t>
            </w:r>
          </w:p>
        </w:tc>
        <w:tc>
          <w:tcPr>
            <w:tcW w:w="594" w:type="dxa"/>
            <w:tcBorders>
              <w:top w:val="nil"/>
              <w:left w:val="nil"/>
              <w:bottom w:val="single" w:color="auto" w:sz="12" w:space="0"/>
              <w:right w:val="nil"/>
            </w:tcBorders>
            <w:noWrap/>
            <w:vAlign w:val="center"/>
            <w:hideMark/>
          </w:tcPr>
          <w:p w:rsidRPr="009A4FF2" w:rsidR="00040FAF" w:rsidP="00040FAF" w:rsidRDefault="00040FAF" w14:paraId="0B1CCF80" w14:textId="77777777">
            <w:pPr>
              <w:rPr>
                <w:sz w:val="18"/>
                <w:szCs w:val="18"/>
              </w:rPr>
            </w:pPr>
            <w:r w:rsidRPr="009A4FF2">
              <w:rPr>
                <w:sz w:val="18"/>
                <w:szCs w:val="18"/>
              </w:rPr>
              <w:t> </w:t>
            </w:r>
          </w:p>
        </w:tc>
        <w:tc>
          <w:tcPr>
            <w:tcW w:w="594" w:type="dxa"/>
            <w:tcBorders>
              <w:top w:val="nil"/>
              <w:left w:val="nil"/>
              <w:bottom w:val="single" w:color="auto" w:sz="12" w:space="0"/>
              <w:right w:val="nil"/>
            </w:tcBorders>
            <w:noWrap/>
            <w:vAlign w:val="center"/>
            <w:hideMark/>
          </w:tcPr>
          <w:p w:rsidRPr="009A4FF2" w:rsidR="00040FAF" w:rsidP="00040FAF" w:rsidRDefault="00040FAF" w14:paraId="6B5125FB" w14:textId="77777777">
            <w:pPr>
              <w:rPr>
                <w:sz w:val="18"/>
                <w:szCs w:val="18"/>
              </w:rPr>
            </w:pPr>
            <w:r w:rsidRPr="009A4FF2">
              <w:rPr>
                <w:sz w:val="18"/>
                <w:szCs w:val="18"/>
              </w:rPr>
              <w:t> </w:t>
            </w:r>
          </w:p>
        </w:tc>
        <w:tc>
          <w:tcPr>
            <w:tcW w:w="594" w:type="dxa"/>
            <w:tcBorders>
              <w:top w:val="nil"/>
              <w:left w:val="nil"/>
              <w:bottom w:val="single" w:color="auto" w:sz="12" w:space="0"/>
              <w:right w:val="nil"/>
            </w:tcBorders>
            <w:noWrap/>
            <w:vAlign w:val="center"/>
            <w:hideMark/>
          </w:tcPr>
          <w:p w:rsidRPr="009A4FF2" w:rsidR="00040FAF" w:rsidP="00040FAF" w:rsidRDefault="00040FAF" w14:paraId="232B0F23" w14:textId="77777777">
            <w:pPr>
              <w:rPr>
                <w:sz w:val="18"/>
                <w:szCs w:val="18"/>
              </w:rPr>
            </w:pPr>
            <w:r w:rsidRPr="009A4FF2">
              <w:rPr>
                <w:sz w:val="18"/>
                <w:szCs w:val="18"/>
              </w:rPr>
              <w:t> </w:t>
            </w:r>
          </w:p>
        </w:tc>
        <w:tc>
          <w:tcPr>
            <w:tcW w:w="594" w:type="dxa"/>
            <w:tcBorders>
              <w:top w:val="nil"/>
              <w:left w:val="nil"/>
              <w:bottom w:val="single" w:color="auto" w:sz="12" w:space="0"/>
              <w:right w:val="nil"/>
            </w:tcBorders>
            <w:noWrap/>
            <w:vAlign w:val="center"/>
            <w:hideMark/>
          </w:tcPr>
          <w:p w:rsidRPr="009A4FF2" w:rsidR="00040FAF" w:rsidP="00040FAF" w:rsidRDefault="00040FAF" w14:paraId="45F07C6B" w14:textId="77777777">
            <w:pPr>
              <w:rPr>
                <w:sz w:val="18"/>
                <w:szCs w:val="18"/>
              </w:rPr>
            </w:pPr>
            <w:r w:rsidRPr="009A4FF2">
              <w:rPr>
                <w:sz w:val="18"/>
                <w:szCs w:val="18"/>
              </w:rPr>
              <w:t> </w:t>
            </w:r>
          </w:p>
        </w:tc>
      </w:tr>
      <w:tr w:rsidRPr="00E354F9" w:rsidR="00040FAF" w:rsidTr="00040FAF" w14:paraId="2D1CEA9F" w14:textId="77777777">
        <w:trPr>
          <w:trHeight w:val="240"/>
        </w:trPr>
        <w:tc>
          <w:tcPr>
            <w:tcW w:w="4737" w:type="dxa"/>
            <w:tcBorders>
              <w:top w:val="single" w:color="auto" w:sz="12" w:space="0"/>
              <w:bottom w:val="single" w:color="auto" w:sz="8" w:space="0"/>
            </w:tcBorders>
            <w:noWrap/>
            <w:vAlign w:val="center"/>
            <w:hideMark/>
          </w:tcPr>
          <w:p w:rsidRPr="009A4FF2" w:rsidR="00040FAF" w:rsidP="00040FAF" w:rsidRDefault="00040FAF" w14:paraId="381C6774" w14:textId="77777777">
            <w:pPr>
              <w:rPr>
                <w:b/>
                <w:sz w:val="18"/>
                <w:szCs w:val="18"/>
              </w:rPr>
            </w:pPr>
            <w:r w:rsidRPr="009A4FF2">
              <w:rPr>
                <w:b/>
                <w:bCs/>
                <w:sz w:val="18"/>
                <w:szCs w:val="18"/>
              </w:rPr>
              <w:t>Macro-economische kernindicatoren (groei in %)</w:t>
            </w:r>
          </w:p>
        </w:tc>
        <w:tc>
          <w:tcPr>
            <w:tcW w:w="594" w:type="dxa"/>
            <w:tcBorders>
              <w:top w:val="single" w:color="auto" w:sz="12" w:space="0"/>
              <w:bottom w:val="single" w:color="auto" w:sz="8" w:space="0"/>
            </w:tcBorders>
            <w:noWrap/>
            <w:vAlign w:val="center"/>
            <w:hideMark/>
          </w:tcPr>
          <w:p w:rsidRPr="009A4FF2" w:rsidR="00040FAF" w:rsidP="00040FAF" w:rsidRDefault="00040FAF" w14:paraId="34B99C6A" w14:textId="77777777">
            <w:pPr>
              <w:jc w:val="right"/>
              <w:rPr>
                <w:b/>
                <w:sz w:val="18"/>
                <w:szCs w:val="18"/>
              </w:rPr>
            </w:pPr>
            <w:r w:rsidRPr="009A4FF2">
              <w:rPr>
                <w:b/>
                <w:sz w:val="18"/>
                <w:szCs w:val="18"/>
              </w:rPr>
              <w:t>2025</w:t>
            </w:r>
          </w:p>
        </w:tc>
        <w:tc>
          <w:tcPr>
            <w:tcW w:w="594" w:type="dxa"/>
            <w:tcBorders>
              <w:top w:val="single" w:color="auto" w:sz="12" w:space="0"/>
              <w:bottom w:val="single" w:color="auto" w:sz="8" w:space="0"/>
            </w:tcBorders>
            <w:noWrap/>
            <w:vAlign w:val="center"/>
            <w:hideMark/>
          </w:tcPr>
          <w:p w:rsidRPr="009A4FF2" w:rsidR="00040FAF" w:rsidP="00040FAF" w:rsidRDefault="00040FAF" w14:paraId="4FB26F17" w14:textId="77777777">
            <w:pPr>
              <w:jc w:val="right"/>
              <w:rPr>
                <w:b/>
                <w:sz w:val="18"/>
                <w:szCs w:val="18"/>
              </w:rPr>
            </w:pPr>
            <w:r w:rsidRPr="009A4FF2">
              <w:rPr>
                <w:b/>
                <w:sz w:val="18"/>
                <w:szCs w:val="18"/>
              </w:rPr>
              <w:t>2026</w:t>
            </w:r>
          </w:p>
        </w:tc>
        <w:tc>
          <w:tcPr>
            <w:tcW w:w="594" w:type="dxa"/>
            <w:tcBorders>
              <w:top w:val="single" w:color="auto" w:sz="12" w:space="0"/>
              <w:bottom w:val="single" w:color="auto" w:sz="8" w:space="0"/>
            </w:tcBorders>
            <w:noWrap/>
            <w:vAlign w:val="center"/>
            <w:hideMark/>
          </w:tcPr>
          <w:p w:rsidRPr="009A4FF2" w:rsidR="00040FAF" w:rsidP="00040FAF" w:rsidRDefault="00040FAF" w14:paraId="0B5CA45E" w14:textId="77777777">
            <w:pPr>
              <w:jc w:val="right"/>
              <w:rPr>
                <w:b/>
                <w:sz w:val="18"/>
                <w:szCs w:val="18"/>
              </w:rPr>
            </w:pPr>
            <w:r w:rsidRPr="009A4FF2">
              <w:rPr>
                <w:b/>
                <w:sz w:val="18"/>
                <w:szCs w:val="18"/>
              </w:rPr>
              <w:t>2027</w:t>
            </w:r>
          </w:p>
        </w:tc>
        <w:tc>
          <w:tcPr>
            <w:tcW w:w="594" w:type="dxa"/>
            <w:tcBorders>
              <w:top w:val="single" w:color="auto" w:sz="12" w:space="0"/>
              <w:bottom w:val="single" w:color="auto" w:sz="8" w:space="0"/>
            </w:tcBorders>
            <w:noWrap/>
            <w:vAlign w:val="center"/>
            <w:hideMark/>
          </w:tcPr>
          <w:p w:rsidRPr="009A4FF2" w:rsidR="00040FAF" w:rsidP="00040FAF" w:rsidRDefault="00040FAF" w14:paraId="7C1A69E9" w14:textId="77777777">
            <w:pPr>
              <w:jc w:val="right"/>
              <w:rPr>
                <w:b/>
                <w:sz w:val="18"/>
                <w:szCs w:val="18"/>
              </w:rPr>
            </w:pPr>
            <w:r w:rsidRPr="009A4FF2">
              <w:rPr>
                <w:b/>
                <w:sz w:val="18"/>
                <w:szCs w:val="18"/>
              </w:rPr>
              <w:t>2028</w:t>
            </w:r>
          </w:p>
        </w:tc>
        <w:tc>
          <w:tcPr>
            <w:tcW w:w="594" w:type="dxa"/>
            <w:tcBorders>
              <w:top w:val="single" w:color="auto" w:sz="12" w:space="0"/>
              <w:bottom w:val="single" w:color="auto" w:sz="8" w:space="0"/>
            </w:tcBorders>
            <w:noWrap/>
            <w:vAlign w:val="center"/>
            <w:hideMark/>
          </w:tcPr>
          <w:p w:rsidRPr="009A4FF2" w:rsidR="00040FAF" w:rsidP="00040FAF" w:rsidRDefault="00040FAF" w14:paraId="1C5DFF97" w14:textId="77777777">
            <w:pPr>
              <w:jc w:val="right"/>
              <w:rPr>
                <w:b/>
                <w:sz w:val="18"/>
                <w:szCs w:val="18"/>
              </w:rPr>
            </w:pPr>
            <w:r w:rsidRPr="009A4FF2">
              <w:rPr>
                <w:b/>
                <w:sz w:val="18"/>
                <w:szCs w:val="18"/>
              </w:rPr>
              <w:t>2029</w:t>
            </w:r>
          </w:p>
        </w:tc>
        <w:tc>
          <w:tcPr>
            <w:tcW w:w="594" w:type="dxa"/>
            <w:tcBorders>
              <w:top w:val="single" w:color="auto" w:sz="12" w:space="0"/>
              <w:bottom w:val="single" w:color="auto" w:sz="8" w:space="0"/>
            </w:tcBorders>
            <w:noWrap/>
            <w:vAlign w:val="center"/>
            <w:hideMark/>
          </w:tcPr>
          <w:p w:rsidRPr="009A4FF2" w:rsidR="00040FAF" w:rsidP="00040FAF" w:rsidRDefault="00040FAF" w14:paraId="5D2305B7" w14:textId="77777777">
            <w:pPr>
              <w:jc w:val="right"/>
              <w:rPr>
                <w:b/>
                <w:sz w:val="18"/>
                <w:szCs w:val="18"/>
              </w:rPr>
            </w:pPr>
            <w:r w:rsidRPr="009A4FF2">
              <w:rPr>
                <w:b/>
                <w:sz w:val="18"/>
                <w:szCs w:val="18"/>
              </w:rPr>
              <w:t>2030</w:t>
            </w:r>
          </w:p>
        </w:tc>
        <w:tc>
          <w:tcPr>
            <w:tcW w:w="594" w:type="dxa"/>
            <w:tcBorders>
              <w:top w:val="single" w:color="auto" w:sz="12" w:space="0"/>
              <w:bottom w:val="single" w:color="auto" w:sz="8" w:space="0"/>
            </w:tcBorders>
            <w:noWrap/>
            <w:vAlign w:val="center"/>
            <w:hideMark/>
          </w:tcPr>
          <w:p w:rsidRPr="009A4FF2" w:rsidR="00040FAF" w:rsidP="00040FAF" w:rsidRDefault="00040FAF" w14:paraId="239F30B9" w14:textId="77777777">
            <w:pPr>
              <w:jc w:val="right"/>
              <w:rPr>
                <w:b/>
                <w:sz w:val="18"/>
                <w:szCs w:val="18"/>
              </w:rPr>
            </w:pPr>
            <w:r w:rsidRPr="009A4FF2">
              <w:rPr>
                <w:b/>
                <w:sz w:val="18"/>
                <w:szCs w:val="18"/>
              </w:rPr>
              <w:t>2031</w:t>
            </w:r>
          </w:p>
        </w:tc>
      </w:tr>
      <w:tr w:rsidRPr="005F1ABE" w:rsidR="00040FAF" w:rsidTr="00040FAF" w14:paraId="5BB58E8D" w14:textId="77777777">
        <w:trPr>
          <w:trHeight w:val="240"/>
        </w:trPr>
        <w:tc>
          <w:tcPr>
            <w:tcW w:w="4737" w:type="dxa"/>
            <w:tcBorders>
              <w:top w:val="single" w:color="auto" w:sz="8" w:space="0"/>
              <w:left w:val="nil"/>
              <w:bottom w:val="nil"/>
              <w:right w:val="nil"/>
            </w:tcBorders>
            <w:noWrap/>
            <w:vAlign w:val="center"/>
            <w:hideMark/>
          </w:tcPr>
          <w:p w:rsidRPr="009A4FF2" w:rsidR="00040FAF" w:rsidP="00040FAF" w:rsidRDefault="00040FAF" w14:paraId="49619F31" w14:textId="77777777">
            <w:pPr>
              <w:rPr>
                <w:sz w:val="18"/>
                <w:szCs w:val="18"/>
              </w:rPr>
            </w:pPr>
            <w:r w:rsidRPr="009A4FF2">
              <w:rPr>
                <w:sz w:val="18"/>
                <w:szCs w:val="18"/>
              </w:rPr>
              <w:t>Bruto binnenlands product (bbp; economische groei)</w:t>
            </w:r>
          </w:p>
        </w:tc>
        <w:tc>
          <w:tcPr>
            <w:tcW w:w="594" w:type="dxa"/>
            <w:tcBorders>
              <w:top w:val="single" w:color="auto" w:sz="8" w:space="0"/>
              <w:left w:val="nil"/>
              <w:bottom w:val="nil"/>
              <w:right w:val="nil"/>
            </w:tcBorders>
            <w:noWrap/>
            <w:vAlign w:val="center"/>
            <w:hideMark/>
          </w:tcPr>
          <w:p w:rsidRPr="009A4FF2" w:rsidR="00040FAF" w:rsidP="00040FAF" w:rsidRDefault="00040FAF" w14:paraId="4124F4F1" w14:textId="77777777">
            <w:pPr>
              <w:jc w:val="right"/>
              <w:rPr>
                <w:sz w:val="18"/>
                <w:szCs w:val="18"/>
              </w:rPr>
            </w:pPr>
            <w:r w:rsidRPr="009A4FF2">
              <w:rPr>
                <w:sz w:val="18"/>
                <w:szCs w:val="18"/>
              </w:rPr>
              <w:t>1,9</w:t>
            </w:r>
          </w:p>
        </w:tc>
        <w:tc>
          <w:tcPr>
            <w:tcW w:w="594" w:type="dxa"/>
            <w:tcBorders>
              <w:top w:val="single" w:color="auto" w:sz="8" w:space="0"/>
              <w:left w:val="nil"/>
              <w:bottom w:val="nil"/>
              <w:right w:val="nil"/>
            </w:tcBorders>
            <w:noWrap/>
            <w:vAlign w:val="center"/>
            <w:hideMark/>
          </w:tcPr>
          <w:p w:rsidRPr="009A4FF2" w:rsidR="00040FAF" w:rsidP="00040FAF" w:rsidRDefault="00040FAF" w14:paraId="41D588BC" w14:textId="77777777">
            <w:pPr>
              <w:jc w:val="right"/>
              <w:rPr>
                <w:sz w:val="18"/>
                <w:szCs w:val="18"/>
              </w:rPr>
            </w:pPr>
            <w:r w:rsidRPr="009A4FF2">
              <w:rPr>
                <w:sz w:val="18"/>
                <w:szCs w:val="18"/>
              </w:rPr>
              <w:t>1,4</w:t>
            </w:r>
          </w:p>
        </w:tc>
        <w:tc>
          <w:tcPr>
            <w:tcW w:w="594" w:type="dxa"/>
            <w:tcBorders>
              <w:top w:val="single" w:color="auto" w:sz="8" w:space="0"/>
              <w:left w:val="nil"/>
              <w:bottom w:val="nil"/>
              <w:right w:val="nil"/>
            </w:tcBorders>
            <w:noWrap/>
            <w:vAlign w:val="center"/>
            <w:hideMark/>
          </w:tcPr>
          <w:p w:rsidRPr="009A4FF2" w:rsidR="00040FAF" w:rsidP="00040FAF" w:rsidRDefault="00040FAF" w14:paraId="37EB5D34" w14:textId="77777777">
            <w:pPr>
              <w:jc w:val="right"/>
              <w:rPr>
                <w:sz w:val="18"/>
                <w:szCs w:val="18"/>
              </w:rPr>
            </w:pPr>
            <w:r w:rsidRPr="009A4FF2">
              <w:rPr>
                <w:sz w:val="18"/>
                <w:szCs w:val="18"/>
              </w:rPr>
              <w:t>1,1</w:t>
            </w:r>
          </w:p>
        </w:tc>
        <w:tc>
          <w:tcPr>
            <w:tcW w:w="594" w:type="dxa"/>
            <w:tcBorders>
              <w:top w:val="single" w:color="auto" w:sz="8" w:space="0"/>
              <w:left w:val="nil"/>
              <w:bottom w:val="nil"/>
              <w:right w:val="nil"/>
            </w:tcBorders>
            <w:noWrap/>
            <w:vAlign w:val="center"/>
            <w:hideMark/>
          </w:tcPr>
          <w:p w:rsidRPr="009A4FF2" w:rsidR="00040FAF" w:rsidP="00040FAF" w:rsidRDefault="00040FAF" w14:paraId="5B63639D" w14:textId="77777777">
            <w:pPr>
              <w:jc w:val="right"/>
              <w:rPr>
                <w:sz w:val="18"/>
                <w:szCs w:val="18"/>
              </w:rPr>
            </w:pPr>
            <w:r w:rsidRPr="009A4FF2">
              <w:rPr>
                <w:sz w:val="18"/>
                <w:szCs w:val="18"/>
              </w:rPr>
              <w:t>1,3</w:t>
            </w:r>
          </w:p>
        </w:tc>
        <w:tc>
          <w:tcPr>
            <w:tcW w:w="594" w:type="dxa"/>
            <w:tcBorders>
              <w:top w:val="single" w:color="auto" w:sz="8" w:space="0"/>
              <w:left w:val="nil"/>
              <w:bottom w:val="nil"/>
              <w:right w:val="nil"/>
            </w:tcBorders>
            <w:noWrap/>
            <w:vAlign w:val="center"/>
            <w:hideMark/>
          </w:tcPr>
          <w:p w:rsidRPr="009A4FF2" w:rsidR="00040FAF" w:rsidP="00040FAF" w:rsidRDefault="00040FAF" w14:paraId="0EF16211" w14:textId="77777777">
            <w:pPr>
              <w:jc w:val="right"/>
              <w:rPr>
                <w:sz w:val="18"/>
                <w:szCs w:val="18"/>
              </w:rPr>
            </w:pPr>
            <w:r w:rsidRPr="009A4FF2">
              <w:rPr>
                <w:sz w:val="18"/>
                <w:szCs w:val="18"/>
              </w:rPr>
              <w:t>1,2</w:t>
            </w:r>
          </w:p>
        </w:tc>
        <w:tc>
          <w:tcPr>
            <w:tcW w:w="594" w:type="dxa"/>
            <w:tcBorders>
              <w:top w:val="single" w:color="auto" w:sz="8" w:space="0"/>
              <w:left w:val="nil"/>
              <w:bottom w:val="nil"/>
              <w:right w:val="nil"/>
            </w:tcBorders>
            <w:noWrap/>
            <w:vAlign w:val="center"/>
            <w:hideMark/>
          </w:tcPr>
          <w:p w:rsidRPr="009A4FF2" w:rsidR="00040FAF" w:rsidP="00040FAF" w:rsidRDefault="00040FAF" w14:paraId="5D4BEC75" w14:textId="77777777">
            <w:pPr>
              <w:jc w:val="right"/>
              <w:rPr>
                <w:sz w:val="18"/>
                <w:szCs w:val="18"/>
              </w:rPr>
            </w:pPr>
            <w:r w:rsidRPr="009A4FF2">
              <w:rPr>
                <w:sz w:val="18"/>
                <w:szCs w:val="18"/>
              </w:rPr>
              <w:t>1,1</w:t>
            </w:r>
          </w:p>
        </w:tc>
        <w:tc>
          <w:tcPr>
            <w:tcW w:w="594" w:type="dxa"/>
            <w:tcBorders>
              <w:top w:val="single" w:color="auto" w:sz="8" w:space="0"/>
              <w:left w:val="nil"/>
              <w:bottom w:val="nil"/>
              <w:right w:val="nil"/>
            </w:tcBorders>
            <w:noWrap/>
            <w:vAlign w:val="center"/>
            <w:hideMark/>
          </w:tcPr>
          <w:p w:rsidRPr="009A4FF2" w:rsidR="00040FAF" w:rsidP="00040FAF" w:rsidRDefault="00040FAF" w14:paraId="44BB2CE1" w14:textId="77777777">
            <w:pPr>
              <w:jc w:val="right"/>
              <w:rPr>
                <w:sz w:val="18"/>
                <w:szCs w:val="18"/>
              </w:rPr>
            </w:pPr>
            <w:r w:rsidRPr="009A4FF2">
              <w:rPr>
                <w:sz w:val="18"/>
                <w:szCs w:val="18"/>
              </w:rPr>
              <w:t>0,8</w:t>
            </w:r>
          </w:p>
        </w:tc>
      </w:tr>
      <w:tr w:rsidRPr="005F1ABE" w:rsidR="00040FAF" w:rsidTr="00040FAF" w14:paraId="14BFFB08" w14:textId="77777777">
        <w:trPr>
          <w:trHeight w:val="240"/>
        </w:trPr>
        <w:tc>
          <w:tcPr>
            <w:tcW w:w="4737" w:type="dxa"/>
            <w:noWrap/>
            <w:vAlign w:val="center"/>
            <w:hideMark/>
          </w:tcPr>
          <w:p w:rsidRPr="009A4FF2" w:rsidR="00040FAF" w:rsidP="00040FAF" w:rsidRDefault="00040FAF" w14:paraId="5F2A96C1" w14:textId="77777777">
            <w:pPr>
              <w:rPr>
                <w:sz w:val="18"/>
                <w:szCs w:val="18"/>
              </w:rPr>
            </w:pPr>
            <w:r w:rsidRPr="009A4FF2">
              <w:rPr>
                <w:sz w:val="18"/>
                <w:szCs w:val="18"/>
              </w:rPr>
              <w:t>Consumptie huishoudens</w:t>
            </w:r>
          </w:p>
        </w:tc>
        <w:tc>
          <w:tcPr>
            <w:tcW w:w="594" w:type="dxa"/>
            <w:noWrap/>
            <w:vAlign w:val="center"/>
            <w:hideMark/>
          </w:tcPr>
          <w:p w:rsidRPr="009A4FF2" w:rsidR="00040FAF" w:rsidP="00040FAF" w:rsidRDefault="00040FAF" w14:paraId="7FE65AA7" w14:textId="77777777">
            <w:pPr>
              <w:jc w:val="right"/>
              <w:rPr>
                <w:sz w:val="18"/>
                <w:szCs w:val="18"/>
              </w:rPr>
            </w:pPr>
            <w:r w:rsidRPr="009A4FF2">
              <w:rPr>
                <w:sz w:val="18"/>
                <w:szCs w:val="18"/>
              </w:rPr>
              <w:t>1,4</w:t>
            </w:r>
          </w:p>
        </w:tc>
        <w:tc>
          <w:tcPr>
            <w:tcW w:w="594" w:type="dxa"/>
            <w:noWrap/>
            <w:vAlign w:val="center"/>
            <w:hideMark/>
          </w:tcPr>
          <w:p w:rsidRPr="009A4FF2" w:rsidR="00040FAF" w:rsidP="00040FAF" w:rsidRDefault="00040FAF" w14:paraId="4330B220" w14:textId="77777777">
            <w:pPr>
              <w:jc w:val="right"/>
              <w:rPr>
                <w:sz w:val="18"/>
                <w:szCs w:val="18"/>
              </w:rPr>
            </w:pPr>
            <w:r w:rsidRPr="009A4FF2">
              <w:rPr>
                <w:sz w:val="18"/>
                <w:szCs w:val="18"/>
              </w:rPr>
              <w:t>1,5</w:t>
            </w:r>
          </w:p>
        </w:tc>
        <w:tc>
          <w:tcPr>
            <w:tcW w:w="594" w:type="dxa"/>
            <w:noWrap/>
            <w:vAlign w:val="center"/>
            <w:hideMark/>
          </w:tcPr>
          <w:p w:rsidRPr="009A4FF2" w:rsidR="00040FAF" w:rsidP="00040FAF" w:rsidRDefault="00040FAF" w14:paraId="3E2E6066" w14:textId="77777777">
            <w:pPr>
              <w:jc w:val="right"/>
              <w:rPr>
                <w:sz w:val="18"/>
                <w:szCs w:val="18"/>
              </w:rPr>
            </w:pPr>
            <w:r w:rsidRPr="009A4FF2">
              <w:rPr>
                <w:sz w:val="18"/>
                <w:szCs w:val="18"/>
              </w:rPr>
              <w:t>1,7</w:t>
            </w:r>
          </w:p>
        </w:tc>
        <w:tc>
          <w:tcPr>
            <w:tcW w:w="594" w:type="dxa"/>
            <w:noWrap/>
            <w:vAlign w:val="center"/>
            <w:hideMark/>
          </w:tcPr>
          <w:p w:rsidRPr="009A4FF2" w:rsidR="00040FAF" w:rsidP="00040FAF" w:rsidRDefault="00040FAF" w14:paraId="1434FCAD" w14:textId="77777777">
            <w:pPr>
              <w:jc w:val="right"/>
              <w:rPr>
                <w:sz w:val="18"/>
                <w:szCs w:val="18"/>
              </w:rPr>
            </w:pPr>
            <w:r w:rsidRPr="009A4FF2">
              <w:rPr>
                <w:sz w:val="18"/>
                <w:szCs w:val="18"/>
              </w:rPr>
              <w:t>1,3</w:t>
            </w:r>
          </w:p>
        </w:tc>
        <w:tc>
          <w:tcPr>
            <w:tcW w:w="594" w:type="dxa"/>
            <w:noWrap/>
            <w:vAlign w:val="center"/>
            <w:hideMark/>
          </w:tcPr>
          <w:p w:rsidRPr="009A4FF2" w:rsidR="00040FAF" w:rsidP="00040FAF" w:rsidRDefault="00040FAF" w14:paraId="4FCE4799" w14:textId="77777777">
            <w:pPr>
              <w:jc w:val="right"/>
              <w:rPr>
                <w:sz w:val="18"/>
                <w:szCs w:val="18"/>
              </w:rPr>
            </w:pPr>
            <w:r w:rsidRPr="009A4FF2">
              <w:rPr>
                <w:sz w:val="18"/>
                <w:szCs w:val="18"/>
              </w:rPr>
              <w:t>1,1</w:t>
            </w:r>
          </w:p>
        </w:tc>
        <w:tc>
          <w:tcPr>
            <w:tcW w:w="594" w:type="dxa"/>
            <w:noWrap/>
            <w:vAlign w:val="center"/>
            <w:hideMark/>
          </w:tcPr>
          <w:p w:rsidRPr="009A4FF2" w:rsidR="00040FAF" w:rsidP="00040FAF" w:rsidRDefault="00040FAF" w14:paraId="379D8EC0" w14:textId="77777777">
            <w:pPr>
              <w:jc w:val="right"/>
              <w:rPr>
                <w:sz w:val="18"/>
                <w:szCs w:val="18"/>
              </w:rPr>
            </w:pPr>
            <w:r w:rsidRPr="009A4FF2">
              <w:rPr>
                <w:sz w:val="18"/>
                <w:szCs w:val="18"/>
              </w:rPr>
              <w:t>1,1</w:t>
            </w:r>
          </w:p>
        </w:tc>
        <w:tc>
          <w:tcPr>
            <w:tcW w:w="594" w:type="dxa"/>
            <w:noWrap/>
            <w:vAlign w:val="center"/>
            <w:hideMark/>
          </w:tcPr>
          <w:p w:rsidRPr="009A4FF2" w:rsidR="00040FAF" w:rsidP="00040FAF" w:rsidRDefault="00040FAF" w14:paraId="327A313F" w14:textId="77777777">
            <w:pPr>
              <w:jc w:val="right"/>
              <w:rPr>
                <w:sz w:val="18"/>
                <w:szCs w:val="18"/>
              </w:rPr>
            </w:pPr>
            <w:r w:rsidRPr="009A4FF2">
              <w:rPr>
                <w:sz w:val="18"/>
                <w:szCs w:val="18"/>
              </w:rPr>
              <w:t>1,1</w:t>
            </w:r>
          </w:p>
        </w:tc>
      </w:tr>
      <w:tr w:rsidRPr="005F1ABE" w:rsidR="00040FAF" w:rsidTr="00040FAF" w14:paraId="72A77069" w14:textId="77777777">
        <w:trPr>
          <w:trHeight w:val="240"/>
        </w:trPr>
        <w:tc>
          <w:tcPr>
            <w:tcW w:w="4737" w:type="dxa"/>
            <w:noWrap/>
            <w:vAlign w:val="center"/>
            <w:hideMark/>
          </w:tcPr>
          <w:p w:rsidRPr="009A4FF2" w:rsidR="00040FAF" w:rsidP="00040FAF" w:rsidRDefault="00040FAF" w14:paraId="240E1DC7" w14:textId="77777777">
            <w:pPr>
              <w:rPr>
                <w:sz w:val="18"/>
                <w:szCs w:val="18"/>
              </w:rPr>
            </w:pPr>
            <w:r w:rsidRPr="009A4FF2">
              <w:rPr>
                <w:sz w:val="18"/>
                <w:szCs w:val="18"/>
              </w:rPr>
              <w:t>Consumptie overheid</w:t>
            </w:r>
          </w:p>
        </w:tc>
        <w:tc>
          <w:tcPr>
            <w:tcW w:w="594" w:type="dxa"/>
            <w:noWrap/>
            <w:vAlign w:val="center"/>
            <w:hideMark/>
          </w:tcPr>
          <w:p w:rsidRPr="009A4FF2" w:rsidR="00040FAF" w:rsidP="00040FAF" w:rsidRDefault="00040FAF" w14:paraId="4C9913CA" w14:textId="77777777">
            <w:pPr>
              <w:jc w:val="right"/>
              <w:rPr>
                <w:sz w:val="18"/>
                <w:szCs w:val="18"/>
              </w:rPr>
            </w:pPr>
            <w:r w:rsidRPr="009A4FF2">
              <w:rPr>
                <w:sz w:val="18"/>
                <w:szCs w:val="18"/>
              </w:rPr>
              <w:t>2,2</w:t>
            </w:r>
          </w:p>
        </w:tc>
        <w:tc>
          <w:tcPr>
            <w:tcW w:w="594" w:type="dxa"/>
            <w:noWrap/>
            <w:vAlign w:val="center"/>
            <w:hideMark/>
          </w:tcPr>
          <w:p w:rsidRPr="009A4FF2" w:rsidR="00040FAF" w:rsidP="00040FAF" w:rsidRDefault="00040FAF" w14:paraId="27990493" w14:textId="77777777">
            <w:pPr>
              <w:jc w:val="right"/>
              <w:rPr>
                <w:sz w:val="18"/>
                <w:szCs w:val="18"/>
              </w:rPr>
            </w:pPr>
            <w:r w:rsidRPr="009A4FF2">
              <w:rPr>
                <w:sz w:val="18"/>
                <w:szCs w:val="18"/>
              </w:rPr>
              <w:t>1,7</w:t>
            </w:r>
          </w:p>
        </w:tc>
        <w:tc>
          <w:tcPr>
            <w:tcW w:w="594" w:type="dxa"/>
            <w:noWrap/>
            <w:vAlign w:val="center"/>
            <w:hideMark/>
          </w:tcPr>
          <w:p w:rsidRPr="009A4FF2" w:rsidR="00040FAF" w:rsidP="00040FAF" w:rsidRDefault="00040FAF" w14:paraId="34514D3A" w14:textId="77777777">
            <w:pPr>
              <w:jc w:val="right"/>
              <w:rPr>
                <w:sz w:val="18"/>
                <w:szCs w:val="18"/>
              </w:rPr>
            </w:pPr>
            <w:r w:rsidRPr="009A4FF2">
              <w:rPr>
                <w:sz w:val="18"/>
                <w:szCs w:val="18"/>
              </w:rPr>
              <w:t>0,8</w:t>
            </w:r>
          </w:p>
        </w:tc>
        <w:tc>
          <w:tcPr>
            <w:tcW w:w="594" w:type="dxa"/>
            <w:noWrap/>
            <w:vAlign w:val="center"/>
            <w:hideMark/>
          </w:tcPr>
          <w:p w:rsidRPr="009A4FF2" w:rsidR="00040FAF" w:rsidP="00040FAF" w:rsidRDefault="00040FAF" w14:paraId="2E0C6B09" w14:textId="77777777">
            <w:pPr>
              <w:jc w:val="right"/>
              <w:rPr>
                <w:sz w:val="18"/>
                <w:szCs w:val="18"/>
              </w:rPr>
            </w:pPr>
            <w:r w:rsidRPr="009A4FF2">
              <w:rPr>
                <w:sz w:val="18"/>
                <w:szCs w:val="18"/>
              </w:rPr>
              <w:t>1,5</w:t>
            </w:r>
          </w:p>
        </w:tc>
        <w:tc>
          <w:tcPr>
            <w:tcW w:w="594" w:type="dxa"/>
            <w:noWrap/>
            <w:vAlign w:val="center"/>
            <w:hideMark/>
          </w:tcPr>
          <w:p w:rsidRPr="009A4FF2" w:rsidR="00040FAF" w:rsidP="00040FAF" w:rsidRDefault="00040FAF" w14:paraId="2D72FE41" w14:textId="77777777">
            <w:pPr>
              <w:jc w:val="right"/>
              <w:rPr>
                <w:sz w:val="18"/>
                <w:szCs w:val="18"/>
              </w:rPr>
            </w:pPr>
            <w:r w:rsidRPr="009A4FF2">
              <w:rPr>
                <w:sz w:val="18"/>
                <w:szCs w:val="18"/>
              </w:rPr>
              <w:t>1,7</w:t>
            </w:r>
          </w:p>
        </w:tc>
        <w:tc>
          <w:tcPr>
            <w:tcW w:w="594" w:type="dxa"/>
            <w:noWrap/>
            <w:vAlign w:val="center"/>
            <w:hideMark/>
          </w:tcPr>
          <w:p w:rsidRPr="009A4FF2" w:rsidR="00040FAF" w:rsidP="00040FAF" w:rsidRDefault="00040FAF" w14:paraId="2F90D01E" w14:textId="77777777">
            <w:pPr>
              <w:jc w:val="right"/>
              <w:rPr>
                <w:sz w:val="18"/>
                <w:szCs w:val="18"/>
              </w:rPr>
            </w:pPr>
            <w:r w:rsidRPr="009A4FF2">
              <w:rPr>
                <w:sz w:val="18"/>
                <w:szCs w:val="18"/>
              </w:rPr>
              <w:t>2,0</w:t>
            </w:r>
          </w:p>
        </w:tc>
        <w:tc>
          <w:tcPr>
            <w:tcW w:w="594" w:type="dxa"/>
            <w:noWrap/>
            <w:vAlign w:val="center"/>
            <w:hideMark/>
          </w:tcPr>
          <w:p w:rsidRPr="009A4FF2" w:rsidR="00040FAF" w:rsidP="00040FAF" w:rsidRDefault="00040FAF" w14:paraId="618CD3D5" w14:textId="77777777">
            <w:pPr>
              <w:jc w:val="right"/>
              <w:rPr>
                <w:sz w:val="18"/>
                <w:szCs w:val="18"/>
              </w:rPr>
            </w:pPr>
            <w:r w:rsidRPr="009A4FF2">
              <w:rPr>
                <w:sz w:val="18"/>
                <w:szCs w:val="18"/>
              </w:rPr>
              <w:t>1,3</w:t>
            </w:r>
          </w:p>
        </w:tc>
      </w:tr>
      <w:tr w:rsidRPr="005F1ABE" w:rsidR="00040FAF" w:rsidTr="00040FAF" w14:paraId="6028DDAB" w14:textId="77777777">
        <w:trPr>
          <w:trHeight w:val="240"/>
        </w:trPr>
        <w:tc>
          <w:tcPr>
            <w:tcW w:w="4737" w:type="dxa"/>
            <w:noWrap/>
            <w:vAlign w:val="center"/>
            <w:hideMark/>
          </w:tcPr>
          <w:p w:rsidRPr="009A4FF2" w:rsidR="00040FAF" w:rsidP="00040FAF" w:rsidRDefault="00040FAF" w14:paraId="1C906AC7" w14:textId="77777777">
            <w:pPr>
              <w:rPr>
                <w:sz w:val="18"/>
                <w:szCs w:val="18"/>
              </w:rPr>
            </w:pPr>
            <w:r w:rsidRPr="009A4FF2">
              <w:rPr>
                <w:sz w:val="18"/>
                <w:szCs w:val="18"/>
              </w:rPr>
              <w:t>Investeringen (inclusief voorraden)</w:t>
            </w:r>
          </w:p>
        </w:tc>
        <w:tc>
          <w:tcPr>
            <w:tcW w:w="594" w:type="dxa"/>
            <w:noWrap/>
            <w:vAlign w:val="center"/>
            <w:hideMark/>
          </w:tcPr>
          <w:p w:rsidRPr="009A4FF2" w:rsidR="00040FAF" w:rsidP="00040FAF" w:rsidRDefault="00040FAF" w14:paraId="6B5D06DE" w14:textId="77777777">
            <w:pPr>
              <w:jc w:val="right"/>
              <w:rPr>
                <w:sz w:val="18"/>
                <w:szCs w:val="18"/>
              </w:rPr>
            </w:pPr>
            <w:r w:rsidRPr="009A4FF2">
              <w:rPr>
                <w:sz w:val="18"/>
                <w:szCs w:val="18"/>
              </w:rPr>
              <w:t>1,6</w:t>
            </w:r>
          </w:p>
        </w:tc>
        <w:tc>
          <w:tcPr>
            <w:tcW w:w="594" w:type="dxa"/>
            <w:noWrap/>
            <w:vAlign w:val="center"/>
            <w:hideMark/>
          </w:tcPr>
          <w:p w:rsidRPr="009A4FF2" w:rsidR="00040FAF" w:rsidP="00040FAF" w:rsidRDefault="00040FAF" w14:paraId="6ADD63CA" w14:textId="77777777">
            <w:pPr>
              <w:jc w:val="right"/>
              <w:rPr>
                <w:sz w:val="18"/>
                <w:szCs w:val="18"/>
              </w:rPr>
            </w:pPr>
            <w:r w:rsidRPr="009A4FF2">
              <w:rPr>
                <w:sz w:val="18"/>
                <w:szCs w:val="18"/>
              </w:rPr>
              <w:t>1,1</w:t>
            </w:r>
          </w:p>
        </w:tc>
        <w:tc>
          <w:tcPr>
            <w:tcW w:w="594" w:type="dxa"/>
            <w:noWrap/>
            <w:vAlign w:val="center"/>
            <w:hideMark/>
          </w:tcPr>
          <w:p w:rsidRPr="009A4FF2" w:rsidR="00040FAF" w:rsidP="00040FAF" w:rsidRDefault="00040FAF" w14:paraId="4A4A2103" w14:textId="77777777">
            <w:pPr>
              <w:jc w:val="right"/>
              <w:rPr>
                <w:sz w:val="18"/>
                <w:szCs w:val="18"/>
              </w:rPr>
            </w:pPr>
            <w:r w:rsidRPr="009A4FF2">
              <w:rPr>
                <w:sz w:val="18"/>
                <w:szCs w:val="18"/>
              </w:rPr>
              <w:t>1,8</w:t>
            </w:r>
          </w:p>
        </w:tc>
        <w:tc>
          <w:tcPr>
            <w:tcW w:w="594" w:type="dxa"/>
            <w:noWrap/>
            <w:vAlign w:val="center"/>
            <w:hideMark/>
          </w:tcPr>
          <w:p w:rsidRPr="009A4FF2" w:rsidR="00040FAF" w:rsidP="00040FAF" w:rsidRDefault="00040FAF" w14:paraId="18E147D5" w14:textId="77777777">
            <w:pPr>
              <w:jc w:val="right"/>
              <w:rPr>
                <w:sz w:val="18"/>
                <w:szCs w:val="18"/>
              </w:rPr>
            </w:pPr>
            <w:r w:rsidRPr="009A4FF2">
              <w:rPr>
                <w:sz w:val="18"/>
                <w:szCs w:val="18"/>
              </w:rPr>
              <w:t>3,0</w:t>
            </w:r>
          </w:p>
        </w:tc>
        <w:tc>
          <w:tcPr>
            <w:tcW w:w="594" w:type="dxa"/>
            <w:noWrap/>
            <w:vAlign w:val="center"/>
            <w:hideMark/>
          </w:tcPr>
          <w:p w:rsidRPr="009A4FF2" w:rsidR="00040FAF" w:rsidP="00040FAF" w:rsidRDefault="00040FAF" w14:paraId="158D84C2" w14:textId="77777777">
            <w:pPr>
              <w:jc w:val="right"/>
              <w:rPr>
                <w:sz w:val="18"/>
                <w:szCs w:val="18"/>
              </w:rPr>
            </w:pPr>
            <w:r w:rsidRPr="009A4FF2">
              <w:rPr>
                <w:sz w:val="18"/>
                <w:szCs w:val="18"/>
              </w:rPr>
              <w:t>3,1</w:t>
            </w:r>
          </w:p>
        </w:tc>
        <w:tc>
          <w:tcPr>
            <w:tcW w:w="594" w:type="dxa"/>
            <w:noWrap/>
            <w:vAlign w:val="center"/>
            <w:hideMark/>
          </w:tcPr>
          <w:p w:rsidRPr="009A4FF2" w:rsidR="00040FAF" w:rsidP="00040FAF" w:rsidRDefault="00040FAF" w14:paraId="712AB9CD" w14:textId="77777777">
            <w:pPr>
              <w:jc w:val="right"/>
              <w:rPr>
                <w:sz w:val="18"/>
                <w:szCs w:val="18"/>
              </w:rPr>
            </w:pPr>
            <w:r w:rsidRPr="009A4FF2">
              <w:rPr>
                <w:sz w:val="18"/>
                <w:szCs w:val="18"/>
              </w:rPr>
              <w:t>2,1</w:t>
            </w:r>
          </w:p>
        </w:tc>
        <w:tc>
          <w:tcPr>
            <w:tcW w:w="594" w:type="dxa"/>
            <w:noWrap/>
            <w:vAlign w:val="center"/>
            <w:hideMark/>
          </w:tcPr>
          <w:p w:rsidRPr="009A4FF2" w:rsidR="00040FAF" w:rsidP="00040FAF" w:rsidRDefault="00040FAF" w14:paraId="0F26D793" w14:textId="77777777">
            <w:pPr>
              <w:jc w:val="right"/>
              <w:rPr>
                <w:sz w:val="18"/>
                <w:szCs w:val="18"/>
              </w:rPr>
            </w:pPr>
            <w:r w:rsidRPr="009A4FF2">
              <w:rPr>
                <w:sz w:val="18"/>
                <w:szCs w:val="18"/>
              </w:rPr>
              <w:t>1,9</w:t>
            </w:r>
          </w:p>
        </w:tc>
      </w:tr>
      <w:tr w:rsidRPr="005F1ABE" w:rsidR="00040FAF" w:rsidTr="00040FAF" w14:paraId="24C26CFC" w14:textId="77777777">
        <w:trPr>
          <w:trHeight w:val="240"/>
        </w:trPr>
        <w:tc>
          <w:tcPr>
            <w:tcW w:w="4737" w:type="dxa"/>
            <w:noWrap/>
            <w:vAlign w:val="center"/>
            <w:hideMark/>
          </w:tcPr>
          <w:p w:rsidRPr="009A4FF2" w:rsidR="00040FAF" w:rsidP="00040FAF" w:rsidRDefault="00040FAF" w14:paraId="1ACCDCF6" w14:textId="77777777">
            <w:pPr>
              <w:rPr>
                <w:sz w:val="18"/>
                <w:szCs w:val="18"/>
              </w:rPr>
            </w:pPr>
            <w:r w:rsidRPr="009A4FF2">
              <w:rPr>
                <w:sz w:val="18"/>
                <w:szCs w:val="18"/>
              </w:rPr>
              <w:t>Uitvoer van goederen en diensten</w:t>
            </w:r>
          </w:p>
        </w:tc>
        <w:tc>
          <w:tcPr>
            <w:tcW w:w="594" w:type="dxa"/>
            <w:noWrap/>
            <w:vAlign w:val="center"/>
            <w:hideMark/>
          </w:tcPr>
          <w:p w:rsidRPr="009A4FF2" w:rsidR="00040FAF" w:rsidP="00040FAF" w:rsidRDefault="00040FAF" w14:paraId="40459C2A" w14:textId="77777777">
            <w:pPr>
              <w:jc w:val="right"/>
              <w:rPr>
                <w:sz w:val="18"/>
                <w:szCs w:val="18"/>
              </w:rPr>
            </w:pPr>
            <w:r w:rsidRPr="009A4FF2">
              <w:rPr>
                <w:sz w:val="18"/>
                <w:szCs w:val="18"/>
              </w:rPr>
              <w:t>2,6</w:t>
            </w:r>
          </w:p>
        </w:tc>
        <w:tc>
          <w:tcPr>
            <w:tcW w:w="594" w:type="dxa"/>
            <w:noWrap/>
            <w:vAlign w:val="center"/>
            <w:hideMark/>
          </w:tcPr>
          <w:p w:rsidRPr="009A4FF2" w:rsidR="00040FAF" w:rsidP="00040FAF" w:rsidRDefault="00040FAF" w14:paraId="4984C615" w14:textId="77777777">
            <w:pPr>
              <w:jc w:val="right"/>
              <w:rPr>
                <w:sz w:val="18"/>
                <w:szCs w:val="18"/>
              </w:rPr>
            </w:pPr>
            <w:r w:rsidRPr="009A4FF2">
              <w:rPr>
                <w:sz w:val="18"/>
                <w:szCs w:val="18"/>
              </w:rPr>
              <w:t>2,3</w:t>
            </w:r>
          </w:p>
        </w:tc>
        <w:tc>
          <w:tcPr>
            <w:tcW w:w="594" w:type="dxa"/>
            <w:noWrap/>
            <w:vAlign w:val="center"/>
            <w:hideMark/>
          </w:tcPr>
          <w:p w:rsidRPr="009A4FF2" w:rsidR="00040FAF" w:rsidP="00040FAF" w:rsidRDefault="00040FAF" w14:paraId="05AFF0C5" w14:textId="77777777">
            <w:pPr>
              <w:jc w:val="right"/>
              <w:rPr>
                <w:sz w:val="18"/>
                <w:szCs w:val="18"/>
              </w:rPr>
            </w:pPr>
            <w:r w:rsidRPr="009A4FF2">
              <w:rPr>
                <w:sz w:val="18"/>
                <w:szCs w:val="18"/>
              </w:rPr>
              <w:t>1,5</w:t>
            </w:r>
          </w:p>
        </w:tc>
        <w:tc>
          <w:tcPr>
            <w:tcW w:w="594" w:type="dxa"/>
            <w:noWrap/>
            <w:vAlign w:val="center"/>
            <w:hideMark/>
          </w:tcPr>
          <w:p w:rsidRPr="009A4FF2" w:rsidR="00040FAF" w:rsidP="00040FAF" w:rsidRDefault="00040FAF" w14:paraId="49B46093" w14:textId="77777777">
            <w:pPr>
              <w:jc w:val="right"/>
              <w:rPr>
                <w:sz w:val="18"/>
                <w:szCs w:val="18"/>
              </w:rPr>
            </w:pPr>
            <w:r w:rsidRPr="009A4FF2">
              <w:rPr>
                <w:sz w:val="18"/>
                <w:szCs w:val="18"/>
              </w:rPr>
              <w:t>1,3</w:t>
            </w:r>
          </w:p>
        </w:tc>
        <w:tc>
          <w:tcPr>
            <w:tcW w:w="594" w:type="dxa"/>
            <w:noWrap/>
            <w:vAlign w:val="center"/>
            <w:hideMark/>
          </w:tcPr>
          <w:p w:rsidRPr="009A4FF2" w:rsidR="00040FAF" w:rsidP="00040FAF" w:rsidRDefault="00040FAF" w14:paraId="27E9CB49" w14:textId="77777777">
            <w:pPr>
              <w:jc w:val="right"/>
              <w:rPr>
                <w:sz w:val="18"/>
                <w:szCs w:val="18"/>
              </w:rPr>
            </w:pPr>
            <w:r w:rsidRPr="009A4FF2">
              <w:rPr>
                <w:sz w:val="18"/>
                <w:szCs w:val="18"/>
              </w:rPr>
              <w:t>1,3</w:t>
            </w:r>
          </w:p>
        </w:tc>
        <w:tc>
          <w:tcPr>
            <w:tcW w:w="594" w:type="dxa"/>
            <w:noWrap/>
            <w:vAlign w:val="center"/>
            <w:hideMark/>
          </w:tcPr>
          <w:p w:rsidRPr="009A4FF2" w:rsidR="00040FAF" w:rsidP="00040FAF" w:rsidRDefault="00040FAF" w14:paraId="4F2867DD" w14:textId="77777777">
            <w:pPr>
              <w:jc w:val="right"/>
              <w:rPr>
                <w:sz w:val="18"/>
                <w:szCs w:val="18"/>
              </w:rPr>
            </w:pPr>
            <w:r w:rsidRPr="009A4FF2">
              <w:rPr>
                <w:sz w:val="18"/>
                <w:szCs w:val="18"/>
              </w:rPr>
              <w:t>1,2</w:t>
            </w:r>
          </w:p>
        </w:tc>
        <w:tc>
          <w:tcPr>
            <w:tcW w:w="594" w:type="dxa"/>
            <w:noWrap/>
            <w:vAlign w:val="center"/>
            <w:hideMark/>
          </w:tcPr>
          <w:p w:rsidRPr="009A4FF2" w:rsidR="00040FAF" w:rsidP="00040FAF" w:rsidRDefault="00040FAF" w14:paraId="5C2579E7" w14:textId="77777777">
            <w:pPr>
              <w:jc w:val="right"/>
              <w:rPr>
                <w:sz w:val="18"/>
                <w:szCs w:val="18"/>
              </w:rPr>
            </w:pPr>
            <w:r w:rsidRPr="009A4FF2">
              <w:rPr>
                <w:sz w:val="18"/>
                <w:szCs w:val="18"/>
              </w:rPr>
              <w:t>1,2</w:t>
            </w:r>
          </w:p>
        </w:tc>
      </w:tr>
      <w:tr w:rsidRPr="005F1ABE" w:rsidR="00040FAF" w:rsidTr="00040FAF" w14:paraId="357047BC" w14:textId="77777777">
        <w:trPr>
          <w:trHeight w:val="240"/>
        </w:trPr>
        <w:tc>
          <w:tcPr>
            <w:tcW w:w="4737" w:type="dxa"/>
            <w:noWrap/>
            <w:vAlign w:val="center"/>
            <w:hideMark/>
          </w:tcPr>
          <w:p w:rsidRPr="009A4FF2" w:rsidR="00040FAF" w:rsidP="00040FAF" w:rsidRDefault="00040FAF" w14:paraId="51DBBFC2" w14:textId="77777777">
            <w:pPr>
              <w:rPr>
                <w:sz w:val="18"/>
                <w:szCs w:val="18"/>
              </w:rPr>
            </w:pPr>
            <w:r w:rsidRPr="009A4FF2">
              <w:rPr>
                <w:sz w:val="18"/>
                <w:szCs w:val="18"/>
              </w:rPr>
              <w:t>Invoer goederen en diensten</w:t>
            </w:r>
          </w:p>
        </w:tc>
        <w:tc>
          <w:tcPr>
            <w:tcW w:w="594" w:type="dxa"/>
            <w:noWrap/>
            <w:vAlign w:val="center"/>
            <w:hideMark/>
          </w:tcPr>
          <w:p w:rsidRPr="009A4FF2" w:rsidR="00040FAF" w:rsidP="00040FAF" w:rsidRDefault="00040FAF" w14:paraId="765868DD" w14:textId="77777777">
            <w:pPr>
              <w:jc w:val="right"/>
              <w:rPr>
                <w:sz w:val="18"/>
                <w:szCs w:val="18"/>
              </w:rPr>
            </w:pPr>
            <w:r w:rsidRPr="009A4FF2">
              <w:rPr>
                <w:sz w:val="18"/>
                <w:szCs w:val="18"/>
              </w:rPr>
              <w:t>2,5</w:t>
            </w:r>
          </w:p>
        </w:tc>
        <w:tc>
          <w:tcPr>
            <w:tcW w:w="594" w:type="dxa"/>
            <w:noWrap/>
            <w:vAlign w:val="center"/>
            <w:hideMark/>
          </w:tcPr>
          <w:p w:rsidRPr="009A4FF2" w:rsidR="00040FAF" w:rsidP="00040FAF" w:rsidRDefault="00040FAF" w14:paraId="38BBDC00" w14:textId="77777777">
            <w:pPr>
              <w:jc w:val="right"/>
              <w:rPr>
                <w:sz w:val="18"/>
                <w:szCs w:val="18"/>
              </w:rPr>
            </w:pPr>
            <w:r w:rsidRPr="009A4FF2">
              <w:rPr>
                <w:sz w:val="18"/>
                <w:szCs w:val="18"/>
              </w:rPr>
              <w:t>2,5</w:t>
            </w:r>
          </w:p>
        </w:tc>
        <w:tc>
          <w:tcPr>
            <w:tcW w:w="594" w:type="dxa"/>
            <w:noWrap/>
            <w:vAlign w:val="center"/>
            <w:hideMark/>
          </w:tcPr>
          <w:p w:rsidRPr="009A4FF2" w:rsidR="00040FAF" w:rsidP="00040FAF" w:rsidRDefault="00040FAF" w14:paraId="19F3AD44" w14:textId="77777777">
            <w:pPr>
              <w:jc w:val="right"/>
              <w:rPr>
                <w:sz w:val="18"/>
                <w:szCs w:val="18"/>
              </w:rPr>
            </w:pPr>
            <w:r w:rsidRPr="009A4FF2">
              <w:rPr>
                <w:sz w:val="18"/>
                <w:szCs w:val="18"/>
              </w:rPr>
              <w:t>2,0</w:t>
            </w:r>
          </w:p>
        </w:tc>
        <w:tc>
          <w:tcPr>
            <w:tcW w:w="594" w:type="dxa"/>
            <w:noWrap/>
            <w:vAlign w:val="center"/>
            <w:hideMark/>
          </w:tcPr>
          <w:p w:rsidRPr="009A4FF2" w:rsidR="00040FAF" w:rsidP="00040FAF" w:rsidRDefault="00040FAF" w14:paraId="344AC532" w14:textId="77777777">
            <w:pPr>
              <w:jc w:val="right"/>
              <w:rPr>
                <w:sz w:val="18"/>
                <w:szCs w:val="18"/>
              </w:rPr>
            </w:pPr>
            <w:r w:rsidRPr="009A4FF2">
              <w:rPr>
                <w:sz w:val="18"/>
                <w:szCs w:val="18"/>
              </w:rPr>
              <w:t>1,8</w:t>
            </w:r>
          </w:p>
        </w:tc>
        <w:tc>
          <w:tcPr>
            <w:tcW w:w="594" w:type="dxa"/>
            <w:noWrap/>
            <w:vAlign w:val="center"/>
            <w:hideMark/>
          </w:tcPr>
          <w:p w:rsidRPr="009A4FF2" w:rsidR="00040FAF" w:rsidP="00040FAF" w:rsidRDefault="00040FAF" w14:paraId="337BF18C" w14:textId="77777777">
            <w:pPr>
              <w:jc w:val="right"/>
              <w:rPr>
                <w:sz w:val="18"/>
                <w:szCs w:val="18"/>
              </w:rPr>
            </w:pPr>
            <w:r w:rsidRPr="009A4FF2">
              <w:rPr>
                <w:sz w:val="18"/>
                <w:szCs w:val="18"/>
              </w:rPr>
              <w:t>2,0</w:t>
            </w:r>
          </w:p>
        </w:tc>
        <w:tc>
          <w:tcPr>
            <w:tcW w:w="594" w:type="dxa"/>
            <w:noWrap/>
            <w:vAlign w:val="center"/>
            <w:hideMark/>
          </w:tcPr>
          <w:p w:rsidRPr="009A4FF2" w:rsidR="00040FAF" w:rsidP="00040FAF" w:rsidRDefault="00040FAF" w14:paraId="34EE4E4B" w14:textId="77777777">
            <w:pPr>
              <w:jc w:val="right"/>
              <w:rPr>
                <w:sz w:val="18"/>
                <w:szCs w:val="18"/>
              </w:rPr>
            </w:pPr>
            <w:r w:rsidRPr="009A4FF2">
              <w:rPr>
                <w:sz w:val="18"/>
                <w:szCs w:val="18"/>
              </w:rPr>
              <w:t>1,9</w:t>
            </w:r>
          </w:p>
        </w:tc>
        <w:tc>
          <w:tcPr>
            <w:tcW w:w="594" w:type="dxa"/>
            <w:noWrap/>
            <w:vAlign w:val="center"/>
            <w:hideMark/>
          </w:tcPr>
          <w:p w:rsidRPr="009A4FF2" w:rsidR="00040FAF" w:rsidP="00040FAF" w:rsidRDefault="00040FAF" w14:paraId="353E6332" w14:textId="77777777">
            <w:pPr>
              <w:jc w:val="right"/>
              <w:rPr>
                <w:sz w:val="18"/>
                <w:szCs w:val="18"/>
              </w:rPr>
            </w:pPr>
            <w:r w:rsidRPr="009A4FF2">
              <w:rPr>
                <w:sz w:val="18"/>
                <w:szCs w:val="18"/>
              </w:rPr>
              <w:t>2,0</w:t>
            </w:r>
          </w:p>
        </w:tc>
      </w:tr>
      <w:tr w:rsidRPr="005F1ABE" w:rsidR="00040FAF" w:rsidTr="00040FAF" w14:paraId="3D60060D" w14:textId="77777777">
        <w:trPr>
          <w:trHeight w:val="240"/>
        </w:trPr>
        <w:tc>
          <w:tcPr>
            <w:tcW w:w="4737" w:type="dxa"/>
            <w:noWrap/>
            <w:vAlign w:val="bottom"/>
            <w:hideMark/>
          </w:tcPr>
          <w:p w:rsidRPr="009A4FF2" w:rsidR="00040FAF" w:rsidP="00040FAF" w:rsidRDefault="00040FAF" w14:paraId="2F7CD795" w14:textId="77777777">
            <w:pPr>
              <w:rPr>
                <w:sz w:val="18"/>
                <w:szCs w:val="18"/>
              </w:rPr>
            </w:pPr>
          </w:p>
        </w:tc>
        <w:tc>
          <w:tcPr>
            <w:tcW w:w="594" w:type="dxa"/>
            <w:noWrap/>
            <w:vAlign w:val="bottom"/>
            <w:hideMark/>
          </w:tcPr>
          <w:p w:rsidRPr="009A4FF2" w:rsidR="00040FAF" w:rsidP="00040FAF" w:rsidRDefault="00040FAF" w14:paraId="63673243" w14:textId="77777777">
            <w:pPr>
              <w:jc w:val="right"/>
              <w:rPr>
                <w:sz w:val="18"/>
                <w:szCs w:val="18"/>
              </w:rPr>
            </w:pPr>
          </w:p>
        </w:tc>
        <w:tc>
          <w:tcPr>
            <w:tcW w:w="594" w:type="dxa"/>
            <w:noWrap/>
            <w:vAlign w:val="bottom"/>
            <w:hideMark/>
          </w:tcPr>
          <w:p w:rsidRPr="009A4FF2" w:rsidR="00040FAF" w:rsidP="00040FAF" w:rsidRDefault="00040FAF" w14:paraId="09002AF4" w14:textId="77777777">
            <w:pPr>
              <w:jc w:val="right"/>
              <w:rPr>
                <w:sz w:val="18"/>
                <w:szCs w:val="18"/>
              </w:rPr>
            </w:pPr>
          </w:p>
        </w:tc>
        <w:tc>
          <w:tcPr>
            <w:tcW w:w="594" w:type="dxa"/>
            <w:noWrap/>
            <w:vAlign w:val="bottom"/>
            <w:hideMark/>
          </w:tcPr>
          <w:p w:rsidRPr="009A4FF2" w:rsidR="00040FAF" w:rsidP="00040FAF" w:rsidRDefault="00040FAF" w14:paraId="667C9AB8" w14:textId="77777777">
            <w:pPr>
              <w:jc w:val="right"/>
              <w:rPr>
                <w:sz w:val="18"/>
                <w:szCs w:val="18"/>
              </w:rPr>
            </w:pPr>
          </w:p>
        </w:tc>
        <w:tc>
          <w:tcPr>
            <w:tcW w:w="594" w:type="dxa"/>
            <w:noWrap/>
            <w:vAlign w:val="bottom"/>
            <w:hideMark/>
          </w:tcPr>
          <w:p w:rsidRPr="009A4FF2" w:rsidR="00040FAF" w:rsidP="00040FAF" w:rsidRDefault="00040FAF" w14:paraId="55487B01" w14:textId="77777777">
            <w:pPr>
              <w:jc w:val="right"/>
              <w:rPr>
                <w:sz w:val="18"/>
                <w:szCs w:val="18"/>
              </w:rPr>
            </w:pPr>
          </w:p>
        </w:tc>
        <w:tc>
          <w:tcPr>
            <w:tcW w:w="594" w:type="dxa"/>
            <w:noWrap/>
            <w:vAlign w:val="bottom"/>
            <w:hideMark/>
          </w:tcPr>
          <w:p w:rsidRPr="009A4FF2" w:rsidR="00040FAF" w:rsidP="00040FAF" w:rsidRDefault="00040FAF" w14:paraId="58A3C05C" w14:textId="77777777">
            <w:pPr>
              <w:jc w:val="right"/>
              <w:rPr>
                <w:sz w:val="18"/>
                <w:szCs w:val="18"/>
              </w:rPr>
            </w:pPr>
          </w:p>
        </w:tc>
        <w:tc>
          <w:tcPr>
            <w:tcW w:w="594" w:type="dxa"/>
            <w:noWrap/>
            <w:vAlign w:val="bottom"/>
            <w:hideMark/>
          </w:tcPr>
          <w:p w:rsidRPr="009A4FF2" w:rsidR="00040FAF" w:rsidP="00040FAF" w:rsidRDefault="00040FAF" w14:paraId="1D1771F3" w14:textId="77777777">
            <w:pPr>
              <w:jc w:val="right"/>
              <w:rPr>
                <w:sz w:val="18"/>
                <w:szCs w:val="18"/>
              </w:rPr>
            </w:pPr>
          </w:p>
        </w:tc>
        <w:tc>
          <w:tcPr>
            <w:tcW w:w="594" w:type="dxa"/>
            <w:noWrap/>
            <w:vAlign w:val="bottom"/>
            <w:hideMark/>
          </w:tcPr>
          <w:p w:rsidRPr="009A4FF2" w:rsidR="00040FAF" w:rsidP="00040FAF" w:rsidRDefault="00040FAF" w14:paraId="277B39AA" w14:textId="77777777">
            <w:pPr>
              <w:jc w:val="right"/>
              <w:rPr>
                <w:sz w:val="18"/>
                <w:szCs w:val="18"/>
              </w:rPr>
            </w:pPr>
          </w:p>
        </w:tc>
      </w:tr>
      <w:tr w:rsidRPr="005F1ABE" w:rsidR="00040FAF" w:rsidTr="00040FAF" w14:paraId="4A3F3738" w14:textId="77777777">
        <w:trPr>
          <w:trHeight w:val="240"/>
        </w:trPr>
        <w:tc>
          <w:tcPr>
            <w:tcW w:w="4737" w:type="dxa"/>
            <w:noWrap/>
            <w:vAlign w:val="center"/>
            <w:hideMark/>
          </w:tcPr>
          <w:p w:rsidRPr="009A4FF2" w:rsidR="00040FAF" w:rsidP="00040FAF" w:rsidRDefault="00040FAF" w14:paraId="27D4EBA7" w14:textId="77777777">
            <w:pPr>
              <w:rPr>
                <w:sz w:val="18"/>
                <w:szCs w:val="18"/>
              </w:rPr>
            </w:pPr>
            <w:r w:rsidRPr="009A4FF2">
              <w:rPr>
                <w:sz w:val="18"/>
                <w:szCs w:val="18"/>
              </w:rPr>
              <w:t>Inflatie (</w:t>
            </w:r>
            <w:proofErr w:type="spellStart"/>
            <w:r w:rsidRPr="009A4FF2">
              <w:rPr>
                <w:sz w:val="18"/>
                <w:szCs w:val="18"/>
              </w:rPr>
              <w:t>hicp</w:t>
            </w:r>
            <w:proofErr w:type="spellEnd"/>
            <w:r w:rsidRPr="009A4FF2">
              <w:rPr>
                <w:sz w:val="18"/>
                <w:szCs w:val="18"/>
              </w:rPr>
              <w:t>)</w:t>
            </w:r>
          </w:p>
        </w:tc>
        <w:tc>
          <w:tcPr>
            <w:tcW w:w="594" w:type="dxa"/>
            <w:noWrap/>
            <w:vAlign w:val="center"/>
            <w:hideMark/>
          </w:tcPr>
          <w:p w:rsidRPr="009A4FF2" w:rsidR="00040FAF" w:rsidP="00040FAF" w:rsidRDefault="00040FAF" w14:paraId="2E6131B9" w14:textId="77777777">
            <w:pPr>
              <w:jc w:val="right"/>
              <w:rPr>
                <w:sz w:val="18"/>
                <w:szCs w:val="18"/>
              </w:rPr>
            </w:pPr>
            <w:r w:rsidRPr="009A4FF2">
              <w:rPr>
                <w:sz w:val="18"/>
                <w:szCs w:val="18"/>
              </w:rPr>
              <w:t>3,0</w:t>
            </w:r>
          </w:p>
        </w:tc>
        <w:tc>
          <w:tcPr>
            <w:tcW w:w="594" w:type="dxa"/>
            <w:noWrap/>
            <w:vAlign w:val="center"/>
            <w:hideMark/>
          </w:tcPr>
          <w:p w:rsidRPr="009A4FF2" w:rsidR="00040FAF" w:rsidP="00040FAF" w:rsidRDefault="00040FAF" w14:paraId="61BD47B1" w14:textId="77777777">
            <w:pPr>
              <w:jc w:val="right"/>
              <w:rPr>
                <w:sz w:val="18"/>
                <w:szCs w:val="18"/>
              </w:rPr>
            </w:pPr>
            <w:r w:rsidRPr="009A4FF2">
              <w:rPr>
                <w:sz w:val="18"/>
                <w:szCs w:val="18"/>
              </w:rPr>
              <w:t>2,1</w:t>
            </w:r>
          </w:p>
        </w:tc>
        <w:tc>
          <w:tcPr>
            <w:tcW w:w="594" w:type="dxa"/>
            <w:noWrap/>
            <w:vAlign w:val="center"/>
            <w:hideMark/>
          </w:tcPr>
          <w:p w:rsidRPr="009A4FF2" w:rsidR="00040FAF" w:rsidP="00040FAF" w:rsidRDefault="00040FAF" w14:paraId="35744810" w14:textId="77777777">
            <w:pPr>
              <w:jc w:val="right"/>
              <w:rPr>
                <w:sz w:val="18"/>
                <w:szCs w:val="18"/>
              </w:rPr>
            </w:pPr>
            <w:r w:rsidRPr="009A4FF2">
              <w:rPr>
                <w:sz w:val="18"/>
                <w:szCs w:val="18"/>
              </w:rPr>
              <w:t>1,9</w:t>
            </w:r>
          </w:p>
        </w:tc>
        <w:tc>
          <w:tcPr>
            <w:tcW w:w="594" w:type="dxa"/>
            <w:noWrap/>
            <w:vAlign w:val="center"/>
            <w:hideMark/>
          </w:tcPr>
          <w:p w:rsidRPr="009A4FF2" w:rsidR="00040FAF" w:rsidP="00040FAF" w:rsidRDefault="00040FAF" w14:paraId="48FD63D4" w14:textId="77777777">
            <w:pPr>
              <w:jc w:val="right"/>
              <w:rPr>
                <w:sz w:val="18"/>
                <w:szCs w:val="18"/>
              </w:rPr>
            </w:pPr>
            <w:r w:rsidRPr="009A4FF2">
              <w:rPr>
                <w:sz w:val="18"/>
                <w:szCs w:val="18"/>
              </w:rPr>
              <w:t>2,5</w:t>
            </w:r>
          </w:p>
        </w:tc>
        <w:tc>
          <w:tcPr>
            <w:tcW w:w="594" w:type="dxa"/>
            <w:noWrap/>
            <w:vAlign w:val="center"/>
            <w:hideMark/>
          </w:tcPr>
          <w:p w:rsidRPr="009A4FF2" w:rsidR="00040FAF" w:rsidP="00040FAF" w:rsidRDefault="00040FAF" w14:paraId="3BEBA9F0" w14:textId="77777777">
            <w:pPr>
              <w:jc w:val="right"/>
              <w:rPr>
                <w:sz w:val="18"/>
                <w:szCs w:val="18"/>
              </w:rPr>
            </w:pPr>
            <w:r w:rsidRPr="009A4FF2">
              <w:rPr>
                <w:sz w:val="18"/>
                <w:szCs w:val="18"/>
              </w:rPr>
              <w:t>2,0</w:t>
            </w:r>
          </w:p>
        </w:tc>
        <w:tc>
          <w:tcPr>
            <w:tcW w:w="594" w:type="dxa"/>
            <w:noWrap/>
            <w:vAlign w:val="center"/>
            <w:hideMark/>
          </w:tcPr>
          <w:p w:rsidRPr="009A4FF2" w:rsidR="00040FAF" w:rsidP="00040FAF" w:rsidRDefault="00040FAF" w14:paraId="5AE32192" w14:textId="77777777">
            <w:pPr>
              <w:jc w:val="right"/>
              <w:rPr>
                <w:sz w:val="18"/>
                <w:szCs w:val="18"/>
              </w:rPr>
            </w:pPr>
            <w:r w:rsidRPr="009A4FF2">
              <w:rPr>
                <w:sz w:val="18"/>
                <w:szCs w:val="18"/>
              </w:rPr>
              <w:t>2,2</w:t>
            </w:r>
          </w:p>
        </w:tc>
        <w:tc>
          <w:tcPr>
            <w:tcW w:w="594" w:type="dxa"/>
            <w:noWrap/>
            <w:vAlign w:val="center"/>
            <w:hideMark/>
          </w:tcPr>
          <w:p w:rsidRPr="009A4FF2" w:rsidR="00040FAF" w:rsidP="00040FAF" w:rsidRDefault="00040FAF" w14:paraId="568BBF85" w14:textId="77777777">
            <w:pPr>
              <w:jc w:val="right"/>
              <w:rPr>
                <w:sz w:val="18"/>
                <w:szCs w:val="18"/>
              </w:rPr>
            </w:pPr>
            <w:r w:rsidRPr="009A4FF2">
              <w:rPr>
                <w:sz w:val="18"/>
                <w:szCs w:val="18"/>
              </w:rPr>
              <w:t>2,0</w:t>
            </w:r>
          </w:p>
        </w:tc>
      </w:tr>
      <w:tr w:rsidRPr="005F1ABE" w:rsidR="00040FAF" w:rsidTr="00040FAF" w14:paraId="14B61FEE" w14:textId="77777777">
        <w:trPr>
          <w:trHeight w:val="240"/>
        </w:trPr>
        <w:tc>
          <w:tcPr>
            <w:tcW w:w="4737" w:type="dxa"/>
            <w:noWrap/>
            <w:vAlign w:val="center"/>
            <w:hideMark/>
          </w:tcPr>
          <w:p w:rsidRPr="009A4FF2" w:rsidR="00040FAF" w:rsidP="00040FAF" w:rsidRDefault="00040FAF" w14:paraId="76363A61" w14:textId="77777777">
            <w:pPr>
              <w:rPr>
                <w:sz w:val="18"/>
                <w:szCs w:val="18"/>
              </w:rPr>
            </w:pPr>
            <w:r w:rsidRPr="009A4FF2">
              <w:rPr>
                <w:sz w:val="18"/>
                <w:szCs w:val="18"/>
              </w:rPr>
              <w:t>Loonvoet bedrijven</w:t>
            </w:r>
            <w:r>
              <w:rPr>
                <w:sz w:val="18"/>
                <w:szCs w:val="18"/>
              </w:rPr>
              <w:t xml:space="preserve"> (per uur)</w:t>
            </w:r>
          </w:p>
        </w:tc>
        <w:tc>
          <w:tcPr>
            <w:tcW w:w="594" w:type="dxa"/>
            <w:noWrap/>
            <w:vAlign w:val="center"/>
            <w:hideMark/>
          </w:tcPr>
          <w:p w:rsidRPr="009A4FF2" w:rsidR="00040FAF" w:rsidP="00040FAF" w:rsidRDefault="00040FAF" w14:paraId="196A8FAE" w14:textId="77777777">
            <w:pPr>
              <w:jc w:val="right"/>
              <w:rPr>
                <w:sz w:val="18"/>
                <w:szCs w:val="18"/>
              </w:rPr>
            </w:pPr>
            <w:r w:rsidRPr="009A4FF2">
              <w:rPr>
                <w:sz w:val="18"/>
                <w:szCs w:val="18"/>
              </w:rPr>
              <w:t>6,3</w:t>
            </w:r>
          </w:p>
        </w:tc>
        <w:tc>
          <w:tcPr>
            <w:tcW w:w="594" w:type="dxa"/>
            <w:noWrap/>
            <w:vAlign w:val="center"/>
            <w:hideMark/>
          </w:tcPr>
          <w:p w:rsidRPr="009A4FF2" w:rsidR="00040FAF" w:rsidP="00040FAF" w:rsidRDefault="00040FAF" w14:paraId="2816C42E" w14:textId="77777777">
            <w:pPr>
              <w:jc w:val="right"/>
              <w:rPr>
                <w:sz w:val="18"/>
                <w:szCs w:val="18"/>
              </w:rPr>
            </w:pPr>
            <w:r w:rsidRPr="009A4FF2">
              <w:rPr>
                <w:sz w:val="18"/>
                <w:szCs w:val="18"/>
              </w:rPr>
              <w:t>4,1</w:t>
            </w:r>
          </w:p>
        </w:tc>
        <w:tc>
          <w:tcPr>
            <w:tcW w:w="594" w:type="dxa"/>
            <w:noWrap/>
            <w:vAlign w:val="center"/>
            <w:hideMark/>
          </w:tcPr>
          <w:p w:rsidRPr="009A4FF2" w:rsidR="00040FAF" w:rsidP="00040FAF" w:rsidRDefault="00040FAF" w14:paraId="0C70D482" w14:textId="77777777">
            <w:pPr>
              <w:jc w:val="right"/>
              <w:rPr>
                <w:sz w:val="18"/>
                <w:szCs w:val="18"/>
              </w:rPr>
            </w:pPr>
            <w:r w:rsidRPr="009A4FF2">
              <w:rPr>
                <w:sz w:val="18"/>
                <w:szCs w:val="18"/>
              </w:rPr>
              <w:t>3,9</w:t>
            </w:r>
          </w:p>
        </w:tc>
        <w:tc>
          <w:tcPr>
            <w:tcW w:w="594" w:type="dxa"/>
            <w:noWrap/>
            <w:vAlign w:val="center"/>
            <w:hideMark/>
          </w:tcPr>
          <w:p w:rsidRPr="009A4FF2" w:rsidR="00040FAF" w:rsidP="00040FAF" w:rsidRDefault="00040FAF" w14:paraId="5F9530C1" w14:textId="77777777">
            <w:pPr>
              <w:jc w:val="right"/>
              <w:rPr>
                <w:sz w:val="18"/>
                <w:szCs w:val="18"/>
              </w:rPr>
            </w:pPr>
            <w:r w:rsidRPr="009A4FF2">
              <w:rPr>
                <w:sz w:val="18"/>
                <w:szCs w:val="18"/>
              </w:rPr>
              <w:t>3,8</w:t>
            </w:r>
          </w:p>
        </w:tc>
        <w:tc>
          <w:tcPr>
            <w:tcW w:w="594" w:type="dxa"/>
            <w:noWrap/>
            <w:vAlign w:val="center"/>
            <w:hideMark/>
          </w:tcPr>
          <w:p w:rsidRPr="009A4FF2" w:rsidR="00040FAF" w:rsidP="00040FAF" w:rsidRDefault="00040FAF" w14:paraId="797C386C" w14:textId="77777777">
            <w:pPr>
              <w:jc w:val="right"/>
              <w:rPr>
                <w:sz w:val="18"/>
                <w:szCs w:val="18"/>
              </w:rPr>
            </w:pPr>
            <w:r w:rsidRPr="009A4FF2">
              <w:rPr>
                <w:sz w:val="18"/>
                <w:szCs w:val="18"/>
              </w:rPr>
              <w:t>3,3</w:t>
            </w:r>
          </w:p>
        </w:tc>
        <w:tc>
          <w:tcPr>
            <w:tcW w:w="594" w:type="dxa"/>
            <w:noWrap/>
            <w:vAlign w:val="center"/>
            <w:hideMark/>
          </w:tcPr>
          <w:p w:rsidRPr="009A4FF2" w:rsidR="00040FAF" w:rsidP="00040FAF" w:rsidRDefault="00040FAF" w14:paraId="2D8D7F0C" w14:textId="77777777">
            <w:pPr>
              <w:jc w:val="right"/>
              <w:rPr>
                <w:sz w:val="18"/>
                <w:szCs w:val="18"/>
              </w:rPr>
            </w:pPr>
            <w:r w:rsidRPr="009A4FF2">
              <w:rPr>
                <w:sz w:val="18"/>
                <w:szCs w:val="18"/>
              </w:rPr>
              <w:t>3,3</w:t>
            </w:r>
          </w:p>
        </w:tc>
        <w:tc>
          <w:tcPr>
            <w:tcW w:w="594" w:type="dxa"/>
            <w:noWrap/>
            <w:vAlign w:val="center"/>
            <w:hideMark/>
          </w:tcPr>
          <w:p w:rsidRPr="009A4FF2" w:rsidR="00040FAF" w:rsidP="00040FAF" w:rsidRDefault="00040FAF" w14:paraId="284FB3EC" w14:textId="77777777">
            <w:pPr>
              <w:jc w:val="right"/>
              <w:rPr>
                <w:sz w:val="18"/>
                <w:szCs w:val="18"/>
              </w:rPr>
            </w:pPr>
            <w:r w:rsidRPr="009A4FF2">
              <w:rPr>
                <w:sz w:val="18"/>
                <w:szCs w:val="18"/>
              </w:rPr>
              <w:t>3,3</w:t>
            </w:r>
          </w:p>
        </w:tc>
      </w:tr>
      <w:tr w:rsidRPr="005F1ABE" w:rsidR="00040FAF" w:rsidTr="00040FAF" w14:paraId="0FA97C03" w14:textId="77777777">
        <w:trPr>
          <w:trHeight w:val="240"/>
        </w:trPr>
        <w:tc>
          <w:tcPr>
            <w:tcW w:w="4737" w:type="dxa"/>
            <w:noWrap/>
            <w:vAlign w:val="center"/>
            <w:hideMark/>
          </w:tcPr>
          <w:p w:rsidRPr="009A4FF2" w:rsidR="00040FAF" w:rsidP="00040FAF" w:rsidRDefault="00040FAF" w14:paraId="29F3B3F8" w14:textId="77777777">
            <w:pPr>
              <w:rPr>
                <w:sz w:val="18"/>
                <w:szCs w:val="18"/>
              </w:rPr>
            </w:pPr>
            <w:r w:rsidRPr="009A4FF2">
              <w:rPr>
                <w:sz w:val="18"/>
                <w:szCs w:val="18"/>
              </w:rPr>
              <w:t>Werkloosheidspercentage beroepsbevolking (%)</w:t>
            </w:r>
          </w:p>
        </w:tc>
        <w:tc>
          <w:tcPr>
            <w:tcW w:w="594" w:type="dxa"/>
            <w:noWrap/>
            <w:vAlign w:val="center"/>
            <w:hideMark/>
          </w:tcPr>
          <w:p w:rsidRPr="009A4FF2" w:rsidR="00040FAF" w:rsidP="00040FAF" w:rsidRDefault="00040FAF" w14:paraId="054C0804" w14:textId="77777777">
            <w:pPr>
              <w:jc w:val="right"/>
              <w:rPr>
                <w:sz w:val="18"/>
                <w:szCs w:val="18"/>
              </w:rPr>
            </w:pPr>
            <w:r w:rsidRPr="009A4FF2">
              <w:rPr>
                <w:sz w:val="18"/>
                <w:szCs w:val="18"/>
              </w:rPr>
              <w:t>3,9</w:t>
            </w:r>
          </w:p>
        </w:tc>
        <w:tc>
          <w:tcPr>
            <w:tcW w:w="594" w:type="dxa"/>
            <w:noWrap/>
            <w:vAlign w:val="center"/>
            <w:hideMark/>
          </w:tcPr>
          <w:p w:rsidRPr="009A4FF2" w:rsidR="00040FAF" w:rsidP="00040FAF" w:rsidRDefault="00040FAF" w14:paraId="50DC298A" w14:textId="77777777">
            <w:pPr>
              <w:jc w:val="right"/>
              <w:rPr>
                <w:sz w:val="18"/>
                <w:szCs w:val="18"/>
              </w:rPr>
            </w:pPr>
            <w:r w:rsidRPr="009A4FF2">
              <w:rPr>
                <w:sz w:val="18"/>
                <w:szCs w:val="18"/>
              </w:rPr>
              <w:t>4,1</w:t>
            </w:r>
          </w:p>
        </w:tc>
        <w:tc>
          <w:tcPr>
            <w:tcW w:w="594" w:type="dxa"/>
            <w:noWrap/>
            <w:vAlign w:val="center"/>
            <w:hideMark/>
          </w:tcPr>
          <w:p w:rsidRPr="009A4FF2" w:rsidR="00040FAF" w:rsidP="00040FAF" w:rsidRDefault="00040FAF" w14:paraId="293273CB" w14:textId="77777777">
            <w:pPr>
              <w:jc w:val="right"/>
              <w:rPr>
                <w:sz w:val="18"/>
                <w:szCs w:val="18"/>
              </w:rPr>
            </w:pPr>
            <w:r w:rsidRPr="009A4FF2">
              <w:rPr>
                <w:sz w:val="18"/>
                <w:szCs w:val="18"/>
              </w:rPr>
              <w:t>4,3</w:t>
            </w:r>
          </w:p>
        </w:tc>
        <w:tc>
          <w:tcPr>
            <w:tcW w:w="594" w:type="dxa"/>
            <w:noWrap/>
            <w:vAlign w:val="center"/>
            <w:hideMark/>
          </w:tcPr>
          <w:p w:rsidRPr="009A4FF2" w:rsidR="00040FAF" w:rsidP="00040FAF" w:rsidRDefault="00040FAF" w14:paraId="0F90F25D" w14:textId="77777777">
            <w:pPr>
              <w:jc w:val="right"/>
              <w:rPr>
                <w:sz w:val="18"/>
                <w:szCs w:val="18"/>
              </w:rPr>
            </w:pPr>
            <w:r w:rsidRPr="009A4FF2">
              <w:rPr>
                <w:sz w:val="18"/>
                <w:szCs w:val="18"/>
              </w:rPr>
              <w:t>4,4</w:t>
            </w:r>
          </w:p>
        </w:tc>
        <w:tc>
          <w:tcPr>
            <w:tcW w:w="594" w:type="dxa"/>
            <w:noWrap/>
            <w:vAlign w:val="center"/>
            <w:hideMark/>
          </w:tcPr>
          <w:p w:rsidRPr="009A4FF2" w:rsidR="00040FAF" w:rsidP="00040FAF" w:rsidRDefault="00040FAF" w14:paraId="46AE956E" w14:textId="77777777">
            <w:pPr>
              <w:jc w:val="right"/>
              <w:rPr>
                <w:sz w:val="18"/>
                <w:szCs w:val="18"/>
              </w:rPr>
            </w:pPr>
            <w:r w:rsidRPr="009A4FF2">
              <w:rPr>
                <w:sz w:val="18"/>
                <w:szCs w:val="18"/>
              </w:rPr>
              <w:t>4,3</w:t>
            </w:r>
          </w:p>
        </w:tc>
        <w:tc>
          <w:tcPr>
            <w:tcW w:w="594" w:type="dxa"/>
            <w:noWrap/>
            <w:vAlign w:val="center"/>
            <w:hideMark/>
          </w:tcPr>
          <w:p w:rsidRPr="009A4FF2" w:rsidR="00040FAF" w:rsidP="00040FAF" w:rsidRDefault="00040FAF" w14:paraId="32A766EB" w14:textId="77777777">
            <w:pPr>
              <w:jc w:val="right"/>
              <w:rPr>
                <w:sz w:val="18"/>
                <w:szCs w:val="18"/>
              </w:rPr>
            </w:pPr>
            <w:r w:rsidRPr="009A4FF2">
              <w:rPr>
                <w:sz w:val="18"/>
                <w:szCs w:val="18"/>
              </w:rPr>
              <w:t>4,3</w:t>
            </w:r>
          </w:p>
        </w:tc>
        <w:tc>
          <w:tcPr>
            <w:tcW w:w="594" w:type="dxa"/>
            <w:noWrap/>
            <w:vAlign w:val="center"/>
            <w:hideMark/>
          </w:tcPr>
          <w:p w:rsidRPr="009A4FF2" w:rsidR="00040FAF" w:rsidP="00040FAF" w:rsidRDefault="00040FAF" w14:paraId="5B24038F" w14:textId="77777777">
            <w:pPr>
              <w:jc w:val="right"/>
              <w:rPr>
                <w:sz w:val="18"/>
                <w:szCs w:val="18"/>
              </w:rPr>
            </w:pPr>
            <w:r w:rsidRPr="009A4FF2">
              <w:rPr>
                <w:sz w:val="18"/>
                <w:szCs w:val="18"/>
              </w:rPr>
              <w:t>4,4</w:t>
            </w:r>
          </w:p>
        </w:tc>
      </w:tr>
      <w:tr w:rsidRPr="005F1ABE" w:rsidR="00040FAF" w:rsidTr="00040FAF" w14:paraId="2435CEE0" w14:textId="77777777">
        <w:trPr>
          <w:trHeight w:val="255"/>
        </w:trPr>
        <w:tc>
          <w:tcPr>
            <w:tcW w:w="4737" w:type="dxa"/>
            <w:tcBorders>
              <w:top w:val="nil"/>
              <w:left w:val="nil"/>
              <w:bottom w:val="single" w:color="auto" w:sz="12" w:space="0"/>
              <w:right w:val="nil"/>
            </w:tcBorders>
            <w:noWrap/>
            <w:vAlign w:val="center"/>
            <w:hideMark/>
          </w:tcPr>
          <w:p w:rsidRPr="009A4FF2" w:rsidR="00040FAF" w:rsidP="00040FAF" w:rsidRDefault="00040FAF" w14:paraId="74074A9D" w14:textId="77777777">
            <w:pPr>
              <w:rPr>
                <w:sz w:val="18"/>
                <w:szCs w:val="18"/>
              </w:rPr>
            </w:pPr>
            <w:r w:rsidRPr="009A4FF2">
              <w:rPr>
                <w:sz w:val="18"/>
                <w:szCs w:val="18"/>
              </w:rPr>
              <w:t>Arbeidsproductiviteit bedrijven</w:t>
            </w:r>
            <w:r>
              <w:rPr>
                <w:sz w:val="18"/>
                <w:szCs w:val="18"/>
              </w:rPr>
              <w:t xml:space="preserve"> (per uur)</w:t>
            </w:r>
          </w:p>
        </w:tc>
        <w:tc>
          <w:tcPr>
            <w:tcW w:w="594" w:type="dxa"/>
            <w:tcBorders>
              <w:top w:val="nil"/>
              <w:left w:val="nil"/>
              <w:bottom w:val="single" w:color="auto" w:sz="12" w:space="0"/>
              <w:right w:val="nil"/>
            </w:tcBorders>
            <w:noWrap/>
            <w:vAlign w:val="center"/>
            <w:hideMark/>
          </w:tcPr>
          <w:p w:rsidRPr="009A4FF2" w:rsidR="00040FAF" w:rsidP="00040FAF" w:rsidRDefault="00040FAF" w14:paraId="56C66CD5" w14:textId="77777777">
            <w:pPr>
              <w:jc w:val="right"/>
              <w:rPr>
                <w:sz w:val="18"/>
                <w:szCs w:val="18"/>
              </w:rPr>
            </w:pPr>
            <w:r w:rsidRPr="009A4FF2">
              <w:rPr>
                <w:sz w:val="18"/>
                <w:szCs w:val="18"/>
              </w:rPr>
              <w:t>3,2</w:t>
            </w:r>
          </w:p>
        </w:tc>
        <w:tc>
          <w:tcPr>
            <w:tcW w:w="594" w:type="dxa"/>
            <w:tcBorders>
              <w:top w:val="nil"/>
              <w:left w:val="nil"/>
              <w:bottom w:val="single" w:color="auto" w:sz="12" w:space="0"/>
              <w:right w:val="nil"/>
            </w:tcBorders>
            <w:noWrap/>
            <w:vAlign w:val="center"/>
            <w:hideMark/>
          </w:tcPr>
          <w:p w:rsidRPr="009A4FF2" w:rsidR="00040FAF" w:rsidP="00040FAF" w:rsidRDefault="00040FAF" w14:paraId="154A14B4" w14:textId="77777777">
            <w:pPr>
              <w:jc w:val="right"/>
              <w:rPr>
                <w:sz w:val="18"/>
                <w:szCs w:val="18"/>
              </w:rPr>
            </w:pPr>
            <w:r w:rsidRPr="009A4FF2">
              <w:rPr>
                <w:sz w:val="18"/>
                <w:szCs w:val="18"/>
              </w:rPr>
              <w:t>0,9</w:t>
            </w:r>
          </w:p>
        </w:tc>
        <w:tc>
          <w:tcPr>
            <w:tcW w:w="594" w:type="dxa"/>
            <w:tcBorders>
              <w:top w:val="nil"/>
              <w:left w:val="nil"/>
              <w:bottom w:val="single" w:color="auto" w:sz="12" w:space="0"/>
              <w:right w:val="nil"/>
            </w:tcBorders>
            <w:noWrap/>
            <w:vAlign w:val="center"/>
            <w:hideMark/>
          </w:tcPr>
          <w:p w:rsidRPr="009A4FF2" w:rsidR="00040FAF" w:rsidP="00040FAF" w:rsidRDefault="00040FAF" w14:paraId="5608F164" w14:textId="77777777">
            <w:pPr>
              <w:jc w:val="right"/>
              <w:rPr>
                <w:sz w:val="18"/>
                <w:szCs w:val="18"/>
              </w:rPr>
            </w:pPr>
            <w:r w:rsidRPr="009A4FF2">
              <w:rPr>
                <w:sz w:val="18"/>
                <w:szCs w:val="18"/>
              </w:rPr>
              <w:t>0,6</w:t>
            </w:r>
          </w:p>
        </w:tc>
        <w:tc>
          <w:tcPr>
            <w:tcW w:w="594" w:type="dxa"/>
            <w:tcBorders>
              <w:top w:val="nil"/>
              <w:left w:val="nil"/>
              <w:bottom w:val="single" w:color="auto" w:sz="12" w:space="0"/>
              <w:right w:val="nil"/>
            </w:tcBorders>
            <w:noWrap/>
            <w:vAlign w:val="center"/>
            <w:hideMark/>
          </w:tcPr>
          <w:p w:rsidRPr="009A4FF2" w:rsidR="00040FAF" w:rsidP="00040FAF" w:rsidRDefault="00040FAF" w14:paraId="3021656B" w14:textId="77777777">
            <w:pPr>
              <w:jc w:val="right"/>
              <w:rPr>
                <w:sz w:val="18"/>
                <w:szCs w:val="18"/>
              </w:rPr>
            </w:pPr>
            <w:r w:rsidRPr="009A4FF2">
              <w:rPr>
                <w:sz w:val="18"/>
                <w:szCs w:val="18"/>
              </w:rPr>
              <w:t>0,8</w:t>
            </w:r>
          </w:p>
        </w:tc>
        <w:tc>
          <w:tcPr>
            <w:tcW w:w="594" w:type="dxa"/>
            <w:tcBorders>
              <w:top w:val="nil"/>
              <w:left w:val="nil"/>
              <w:bottom w:val="single" w:color="auto" w:sz="12" w:space="0"/>
              <w:right w:val="nil"/>
            </w:tcBorders>
            <w:noWrap/>
            <w:vAlign w:val="center"/>
            <w:hideMark/>
          </w:tcPr>
          <w:p w:rsidRPr="009A4FF2" w:rsidR="00040FAF" w:rsidP="00040FAF" w:rsidRDefault="00040FAF" w14:paraId="0C3C766B" w14:textId="77777777">
            <w:pPr>
              <w:jc w:val="right"/>
              <w:rPr>
                <w:sz w:val="18"/>
                <w:szCs w:val="18"/>
              </w:rPr>
            </w:pPr>
            <w:r w:rsidRPr="009A4FF2">
              <w:rPr>
                <w:sz w:val="18"/>
                <w:szCs w:val="18"/>
              </w:rPr>
              <w:t>0,8</w:t>
            </w:r>
          </w:p>
        </w:tc>
        <w:tc>
          <w:tcPr>
            <w:tcW w:w="594" w:type="dxa"/>
            <w:tcBorders>
              <w:top w:val="nil"/>
              <w:left w:val="nil"/>
              <w:bottom w:val="single" w:color="auto" w:sz="12" w:space="0"/>
              <w:right w:val="nil"/>
            </w:tcBorders>
            <w:noWrap/>
            <w:vAlign w:val="center"/>
            <w:hideMark/>
          </w:tcPr>
          <w:p w:rsidRPr="009A4FF2" w:rsidR="00040FAF" w:rsidP="00040FAF" w:rsidRDefault="00040FAF" w14:paraId="0697915C" w14:textId="77777777">
            <w:pPr>
              <w:jc w:val="right"/>
              <w:rPr>
                <w:sz w:val="18"/>
                <w:szCs w:val="18"/>
              </w:rPr>
            </w:pPr>
            <w:r w:rsidRPr="009A4FF2">
              <w:rPr>
                <w:sz w:val="18"/>
                <w:szCs w:val="18"/>
              </w:rPr>
              <w:t>0,7</w:t>
            </w:r>
          </w:p>
        </w:tc>
        <w:tc>
          <w:tcPr>
            <w:tcW w:w="594" w:type="dxa"/>
            <w:tcBorders>
              <w:top w:val="nil"/>
              <w:left w:val="nil"/>
              <w:bottom w:val="single" w:color="auto" w:sz="12" w:space="0"/>
              <w:right w:val="nil"/>
            </w:tcBorders>
            <w:noWrap/>
            <w:vAlign w:val="center"/>
            <w:hideMark/>
          </w:tcPr>
          <w:p w:rsidRPr="009A4FF2" w:rsidR="00040FAF" w:rsidP="00040FAF" w:rsidRDefault="00040FAF" w14:paraId="7FB02985" w14:textId="77777777">
            <w:pPr>
              <w:jc w:val="right"/>
              <w:rPr>
                <w:sz w:val="18"/>
                <w:szCs w:val="18"/>
              </w:rPr>
            </w:pPr>
            <w:r w:rsidRPr="009A4FF2">
              <w:rPr>
                <w:sz w:val="18"/>
                <w:szCs w:val="18"/>
              </w:rPr>
              <w:t>0,8</w:t>
            </w:r>
          </w:p>
        </w:tc>
      </w:tr>
      <w:tr w:rsidRPr="005F1ABE" w:rsidR="00040FAF" w:rsidTr="00040FAF" w14:paraId="0428AF09" w14:textId="77777777">
        <w:trPr>
          <w:trHeight w:val="240"/>
        </w:trPr>
        <w:tc>
          <w:tcPr>
            <w:tcW w:w="4737" w:type="dxa"/>
            <w:tcBorders>
              <w:top w:val="single" w:color="auto" w:sz="12" w:space="0"/>
            </w:tcBorders>
            <w:noWrap/>
            <w:vAlign w:val="center"/>
            <w:hideMark/>
          </w:tcPr>
          <w:p w:rsidRPr="009A4FF2" w:rsidR="00040FAF" w:rsidP="00040FAF" w:rsidRDefault="00040FAF" w14:paraId="3F4E2F15" w14:textId="77777777">
            <w:pPr>
              <w:rPr>
                <w:i/>
                <w:iCs/>
                <w:sz w:val="18"/>
                <w:szCs w:val="18"/>
              </w:rPr>
            </w:pPr>
            <w:r w:rsidRPr="009A4FF2">
              <w:rPr>
                <w:i/>
                <w:iCs/>
                <w:sz w:val="18"/>
                <w:szCs w:val="18"/>
              </w:rPr>
              <w:t>Bron: CPB (Centraal Economisch Plan 2026)</w:t>
            </w:r>
          </w:p>
        </w:tc>
        <w:tc>
          <w:tcPr>
            <w:tcW w:w="594" w:type="dxa"/>
            <w:tcBorders>
              <w:top w:val="single" w:color="auto" w:sz="12" w:space="0"/>
            </w:tcBorders>
            <w:noWrap/>
            <w:vAlign w:val="bottom"/>
            <w:hideMark/>
          </w:tcPr>
          <w:p w:rsidRPr="009A4FF2" w:rsidR="00040FAF" w:rsidP="00040FAF" w:rsidRDefault="00040FAF" w14:paraId="35710BF3" w14:textId="77777777">
            <w:pPr>
              <w:rPr>
                <w:i/>
                <w:iCs/>
                <w:sz w:val="18"/>
                <w:szCs w:val="18"/>
              </w:rPr>
            </w:pPr>
          </w:p>
        </w:tc>
        <w:tc>
          <w:tcPr>
            <w:tcW w:w="594" w:type="dxa"/>
            <w:tcBorders>
              <w:top w:val="single" w:color="auto" w:sz="12" w:space="0"/>
            </w:tcBorders>
            <w:noWrap/>
            <w:vAlign w:val="bottom"/>
            <w:hideMark/>
          </w:tcPr>
          <w:p w:rsidRPr="009A4FF2" w:rsidR="00040FAF" w:rsidP="00040FAF" w:rsidRDefault="00040FAF" w14:paraId="4CE44284" w14:textId="77777777">
            <w:pPr>
              <w:rPr>
                <w:sz w:val="18"/>
                <w:szCs w:val="18"/>
              </w:rPr>
            </w:pPr>
          </w:p>
        </w:tc>
        <w:tc>
          <w:tcPr>
            <w:tcW w:w="594" w:type="dxa"/>
            <w:tcBorders>
              <w:top w:val="single" w:color="auto" w:sz="12" w:space="0"/>
            </w:tcBorders>
            <w:noWrap/>
            <w:vAlign w:val="bottom"/>
            <w:hideMark/>
          </w:tcPr>
          <w:p w:rsidRPr="009A4FF2" w:rsidR="00040FAF" w:rsidP="00040FAF" w:rsidRDefault="00040FAF" w14:paraId="6BD8A89A" w14:textId="77777777">
            <w:pPr>
              <w:rPr>
                <w:sz w:val="18"/>
                <w:szCs w:val="18"/>
              </w:rPr>
            </w:pPr>
          </w:p>
        </w:tc>
        <w:tc>
          <w:tcPr>
            <w:tcW w:w="594" w:type="dxa"/>
            <w:tcBorders>
              <w:top w:val="single" w:color="auto" w:sz="12" w:space="0"/>
            </w:tcBorders>
            <w:noWrap/>
            <w:vAlign w:val="bottom"/>
            <w:hideMark/>
          </w:tcPr>
          <w:p w:rsidRPr="009A4FF2" w:rsidR="00040FAF" w:rsidP="00040FAF" w:rsidRDefault="00040FAF" w14:paraId="71C9164D" w14:textId="77777777">
            <w:pPr>
              <w:rPr>
                <w:sz w:val="18"/>
                <w:szCs w:val="18"/>
              </w:rPr>
            </w:pPr>
          </w:p>
        </w:tc>
        <w:tc>
          <w:tcPr>
            <w:tcW w:w="594" w:type="dxa"/>
            <w:tcBorders>
              <w:top w:val="single" w:color="auto" w:sz="12" w:space="0"/>
            </w:tcBorders>
            <w:noWrap/>
            <w:vAlign w:val="bottom"/>
            <w:hideMark/>
          </w:tcPr>
          <w:p w:rsidRPr="009A4FF2" w:rsidR="00040FAF" w:rsidP="00040FAF" w:rsidRDefault="00040FAF" w14:paraId="4A6979A3" w14:textId="77777777">
            <w:pPr>
              <w:rPr>
                <w:sz w:val="18"/>
                <w:szCs w:val="18"/>
              </w:rPr>
            </w:pPr>
          </w:p>
        </w:tc>
        <w:tc>
          <w:tcPr>
            <w:tcW w:w="594" w:type="dxa"/>
            <w:tcBorders>
              <w:top w:val="single" w:color="auto" w:sz="12" w:space="0"/>
            </w:tcBorders>
            <w:noWrap/>
            <w:vAlign w:val="bottom"/>
            <w:hideMark/>
          </w:tcPr>
          <w:p w:rsidRPr="009A4FF2" w:rsidR="00040FAF" w:rsidP="00040FAF" w:rsidRDefault="00040FAF" w14:paraId="4B6C512F" w14:textId="77777777">
            <w:pPr>
              <w:rPr>
                <w:sz w:val="18"/>
                <w:szCs w:val="18"/>
              </w:rPr>
            </w:pPr>
          </w:p>
        </w:tc>
        <w:tc>
          <w:tcPr>
            <w:tcW w:w="594" w:type="dxa"/>
            <w:tcBorders>
              <w:top w:val="single" w:color="auto" w:sz="12" w:space="0"/>
            </w:tcBorders>
            <w:noWrap/>
            <w:vAlign w:val="bottom"/>
            <w:hideMark/>
          </w:tcPr>
          <w:p w:rsidRPr="009A4FF2" w:rsidR="00040FAF" w:rsidP="00040FAF" w:rsidRDefault="00040FAF" w14:paraId="1573524A" w14:textId="77777777">
            <w:pPr>
              <w:rPr>
                <w:sz w:val="18"/>
                <w:szCs w:val="18"/>
              </w:rPr>
            </w:pPr>
          </w:p>
        </w:tc>
      </w:tr>
    </w:tbl>
    <w:p w:rsidR="00040FAF" w:rsidP="00040FAF" w:rsidRDefault="00040FAF" w14:paraId="27CFB10E" w14:textId="77777777"/>
    <w:p w:rsidRPr="005F1ABE" w:rsidR="00040FAF" w:rsidP="00040FAF" w:rsidRDefault="00040FAF" w14:paraId="65C8362F" w14:textId="77777777">
      <w:r w:rsidRPr="005F1ABE">
        <w:t>De consequenties van de lage groei zijn wezenlijk, omdat de bestedingsruimte van de overheid en gezinnen wordt beperkt. De reële loongroei (loonvoetontwikkeling minus inflatie) daalt van gemiddeld 2,5% in de jaren 2023-2026 naar 1,3% in de jaren 2027-2030. Door lastenverzwaringen is er in deze jaren naar verwachting</w:t>
      </w:r>
      <w:r>
        <w:t xml:space="preserve"> </w:t>
      </w:r>
      <w:r w:rsidRPr="005F1ABE">
        <w:t>nauwelijks sprake van een toename van de koopkracht (0,1%), nog los van onzekerheden over de brandstof- en energieprijzen.</w:t>
      </w:r>
      <w:r w:rsidRPr="005F1ABE">
        <w:rPr>
          <w:vertAlign w:val="superscript"/>
        </w:rPr>
        <w:footnoteReference w:id="14"/>
      </w:r>
      <w:r w:rsidRPr="005F1ABE">
        <w:t xml:space="preserve"> </w:t>
      </w:r>
    </w:p>
    <w:p w:rsidR="00040FAF" w:rsidP="00040FAF" w:rsidRDefault="00040FAF" w14:paraId="4CD38995" w14:textId="77777777"/>
    <w:p w:rsidRPr="00461718" w:rsidR="00040FAF" w:rsidP="00040FAF" w:rsidRDefault="00040FAF" w14:paraId="6A51F12B" w14:textId="77777777">
      <w:pPr>
        <w:rPr>
          <w:i/>
        </w:rPr>
      </w:pPr>
      <w:r w:rsidRPr="00461718">
        <w:rPr>
          <w:i/>
        </w:rPr>
        <w:t xml:space="preserve">…bij een stapeling van onopgeloste economische </w:t>
      </w:r>
      <w:r>
        <w:rPr>
          <w:i/>
        </w:rPr>
        <w:t>knelpunten</w:t>
      </w:r>
      <w:r w:rsidRPr="00461718">
        <w:rPr>
          <w:i/>
        </w:rPr>
        <w:t>…</w:t>
      </w:r>
    </w:p>
    <w:p w:rsidRPr="005F1ABE" w:rsidR="00040FAF" w:rsidP="00040FAF" w:rsidRDefault="00040FAF" w14:paraId="649DE8DE" w14:textId="77777777">
      <w:r w:rsidRPr="005F1ABE">
        <w:t>Terwijl het groeipotentieel op middellange termijn achterblijft, wordt de economische ontwikkeling</w:t>
      </w:r>
      <w:r>
        <w:t>, zeker</w:t>
      </w:r>
      <w:r w:rsidRPr="005F1ABE">
        <w:t xml:space="preserve"> op korte termijn</w:t>
      </w:r>
      <w:r>
        <w:t>,</w:t>
      </w:r>
      <w:r w:rsidRPr="005F1ABE">
        <w:t xml:space="preserve"> beperkt doordat Nederland op veel terreinen tegen grenzen aan loopt. De personeelstekorten nemen de komende jaren weliswaar af, maar blijft hoog in specifieke bedrijfstakken zoals de zorg of voor gespecialiseerd personeel.</w:t>
      </w:r>
      <w:r w:rsidRPr="005F1ABE">
        <w:rPr>
          <w:vertAlign w:val="superscript"/>
        </w:rPr>
        <w:footnoteReference w:id="15"/>
      </w:r>
      <w:r w:rsidRPr="005F1ABE">
        <w:t xml:space="preserve"> Te hoge stikstofuitstoot beperkt de investeringen voor de bouwnijverheid en infrastructuur, terwijl ook de waterkwaliteit naar </w:t>
      </w:r>
      <w:r w:rsidRPr="00211604">
        <w:t>verwachting voor beperkingen zal zorgen. Verder zijn er aanzienlijke knelpunten in</w:t>
      </w:r>
      <w:r w:rsidRPr="005F1ABE">
        <w:t xml:space="preserve"> het elektriciteitsnetwerk.</w:t>
      </w:r>
      <w:r w:rsidRPr="005F1ABE">
        <w:rPr>
          <w:vertAlign w:val="superscript"/>
        </w:rPr>
        <w:footnoteReference w:id="16"/>
      </w:r>
      <w:r w:rsidRPr="005F1ABE">
        <w:t xml:space="preserve"> </w:t>
      </w:r>
    </w:p>
    <w:p w:rsidR="00040FAF" w:rsidP="00040FAF" w:rsidRDefault="00040FAF" w14:paraId="18FB7C38" w14:textId="77777777"/>
    <w:p w:rsidRPr="00404EAD" w:rsidR="00040FAF" w:rsidP="00040FAF" w:rsidRDefault="00040FAF" w14:paraId="02D93595" w14:textId="77777777">
      <w:pPr>
        <w:rPr>
          <w:i/>
          <w:iCs/>
        </w:rPr>
      </w:pPr>
      <w:r w:rsidRPr="00404EAD">
        <w:rPr>
          <w:i/>
          <w:iCs/>
        </w:rPr>
        <w:t>…</w:t>
      </w:r>
      <w:r w:rsidRPr="00211604">
        <w:rPr>
          <w:i/>
          <w:iCs/>
        </w:rPr>
        <w:t>bij grote financiële uitdagingen die geen uitstel dulden…</w:t>
      </w:r>
    </w:p>
    <w:p w:rsidRPr="00173596" w:rsidR="00040FAF" w:rsidP="00040FAF" w:rsidRDefault="00040FAF" w14:paraId="61E9424F" w14:textId="77777777">
      <w:r w:rsidRPr="005F1ABE">
        <w:t>Naast de al genoemde oplopende uitgaven door vergrijzing, stellen ook de weerbaarheid en de economische structuur de overheid voor uitdagingen</w:t>
      </w:r>
      <w:r w:rsidRPr="00173596">
        <w:t xml:space="preserve">. </w:t>
      </w:r>
      <w:r w:rsidRPr="00211604">
        <w:t>Beide lenen zich niet voor uitstel of afstel.</w:t>
      </w:r>
      <w:r w:rsidRPr="005F1ABE">
        <w:t xml:space="preserve"> De NAVO-landen, waaronder uitdrukkelijk ook Nederland, hebben afgesproken hun militaire uitgaven in 2035 te verhogen tot 5% van het bbp, waarvan 1,5% gereserveerd is voor defensie-gerelateerde infrastructuur. Een versnelde opbouw van meer energiebronnen op eigen bodem </w:t>
      </w:r>
      <w:r w:rsidRPr="005F1ABE">
        <w:lastRenderedPageBreak/>
        <w:t xml:space="preserve">vergt aanzienlijke investeringen. </w:t>
      </w:r>
      <w:r w:rsidRPr="00173596">
        <w:t>Als we de economische groei in Nederland willen verhogen, dan is bovendien een aanzienlijke verhoging van de private en publieke investeringen in Nederland noodzakelijk.</w:t>
      </w:r>
      <w:r w:rsidRPr="00173596">
        <w:rPr>
          <w:vertAlign w:val="superscript"/>
        </w:rPr>
        <w:footnoteReference w:id="17"/>
      </w:r>
      <w:r w:rsidRPr="00173596">
        <w:t xml:space="preserve"> </w:t>
      </w:r>
    </w:p>
    <w:p w:rsidRPr="00A06D3D" w:rsidR="00040FAF" w:rsidP="00040FAF" w:rsidRDefault="00040FAF" w14:paraId="4CA1BED8" w14:textId="77777777">
      <w:pPr>
        <w:rPr>
          <w:i/>
          <w:iCs/>
        </w:rPr>
      </w:pPr>
    </w:p>
    <w:p w:rsidRPr="00A06D3D" w:rsidR="00040FAF" w:rsidP="00040FAF" w:rsidRDefault="00040FAF" w14:paraId="742355C2" w14:textId="77777777">
      <w:pPr>
        <w:rPr>
          <w:i/>
          <w:iCs/>
        </w:rPr>
      </w:pPr>
      <w:r w:rsidRPr="00A06D3D">
        <w:rPr>
          <w:i/>
          <w:iCs/>
        </w:rPr>
        <w:t>…in tijden van ongewoon grote onzekerheid</w:t>
      </w:r>
    </w:p>
    <w:p w:rsidRPr="005F1ABE" w:rsidR="00040FAF" w:rsidP="00040FAF" w:rsidRDefault="00040FAF" w14:paraId="0A9DE5E5" w14:textId="77777777"/>
    <w:p w:rsidRPr="005F1ABE" w:rsidR="00040FAF" w:rsidP="00040FAF" w:rsidRDefault="00040FAF" w14:paraId="668943C0" w14:textId="77777777">
      <w:r w:rsidRPr="005F1ABE">
        <w:t>De grootste onzekerheid zit momenteel in de toenemende geopolitieke spanningen en met name de oorlog in het Midden-Oosten. D</w:t>
      </w:r>
      <w:r>
        <w:t>eze oorlog</w:t>
      </w:r>
      <w:r w:rsidRPr="005F1ABE">
        <w:t xml:space="preserve"> is slechts in zeer beperkte mate verwerkt in de raming van het CEP 2026. Op dit moment is niet in te schatten hoe d</w:t>
      </w:r>
      <w:r>
        <w:t>eze oorlog</w:t>
      </w:r>
      <w:r w:rsidRPr="005F1ABE">
        <w:t xml:space="preserve"> zich verder zal ontwikkelen, en dus ook niet wat de effecten zullen zijn. Analyses van verschillende instituten geven een partieel – en dus beperkt – inzicht in de effecten. Uitgaande van twee varianten schat het CPB het effect van </w:t>
      </w:r>
      <w:r>
        <w:t>de oorlog</w:t>
      </w:r>
      <w:r w:rsidRPr="005F1ABE">
        <w:t xml:space="preserve"> op de inflatie in 2026 op respectievelijk 0,6% en 1,5%.</w:t>
      </w:r>
      <w:r w:rsidRPr="005F1ABE">
        <w:rPr>
          <w:vertAlign w:val="superscript"/>
        </w:rPr>
        <w:footnoteReference w:id="18"/>
      </w:r>
      <w:r w:rsidRPr="005F1ABE">
        <w:t xml:space="preserve"> </w:t>
      </w:r>
      <w:r>
        <w:t>Ook de Nederlandsche Bank heeft recent weer gewezen op het neerwaartse risico als gevolgd van grotere onzekerheid.</w:t>
      </w:r>
      <w:r w:rsidRPr="005F1ABE">
        <w:rPr>
          <w:vertAlign w:val="superscript"/>
        </w:rPr>
        <w:footnoteReference w:id="19"/>
      </w:r>
      <w:r w:rsidRPr="005F1ABE">
        <w:t xml:space="preserve"> </w:t>
      </w:r>
    </w:p>
    <w:p w:rsidR="00040FAF" w:rsidP="00040FAF" w:rsidRDefault="00040FAF" w14:paraId="3AF91A7B" w14:textId="77777777"/>
    <w:p w:rsidRPr="005F1ABE" w:rsidR="00040FAF" w:rsidP="00040FAF" w:rsidRDefault="00040FAF" w14:paraId="0179B296" w14:textId="77777777">
      <w:r w:rsidRPr="005F1ABE">
        <w:t>Een langer durend</w:t>
      </w:r>
      <w:r>
        <w:t>e</w:t>
      </w:r>
      <w:r w:rsidRPr="005F1ABE">
        <w:t xml:space="preserve"> </w:t>
      </w:r>
      <w:r>
        <w:t>oorlog</w:t>
      </w:r>
      <w:r w:rsidRPr="005F1ABE">
        <w:t xml:space="preserve"> of een </w:t>
      </w:r>
      <w:r>
        <w:t>verdere</w:t>
      </w:r>
      <w:r w:rsidRPr="005F1ABE">
        <w:t xml:space="preserve"> uitschakeling van energiesystemen kunnen leiden tot een </w:t>
      </w:r>
      <w:r>
        <w:t>langjarig</w:t>
      </w:r>
      <w:r w:rsidRPr="005F1ABE">
        <w:t xml:space="preserve"> hogere olieprijs met daaruit voortvloeiende oplopende productiekosten met een drukkend effect op de economische groei, maar ook tot verstoringen van de wereldhandel en afnemende investeringen door de grotere onzekerheid. </w:t>
      </w:r>
    </w:p>
    <w:p w:rsidRPr="005F1ABE" w:rsidR="00040FAF" w:rsidP="00040FAF" w:rsidRDefault="00040FAF" w14:paraId="34C4C610" w14:textId="77777777"/>
    <w:p w:rsidRPr="005F1ABE" w:rsidR="00040FAF" w:rsidP="00040FAF" w:rsidRDefault="00040FAF" w14:paraId="7BEF15AC" w14:textId="77777777">
      <w:r w:rsidRPr="005F1ABE">
        <w:t>Bovendien blijft het handelsbeleid van de VS onvoorspelbaar, hoewel de wereldhandel vorig jaar op peil bleef ondanks de ingevoerde handelstarieven. Volgens het CPB was dit vooral toe te schrijven aan anticipatie-effecten, handelsverlegging en toegenomen dynamiek in Azië.</w:t>
      </w:r>
      <w:r w:rsidRPr="005F1ABE">
        <w:rPr>
          <w:vertAlign w:val="superscript"/>
        </w:rPr>
        <w:footnoteReference w:id="20"/>
      </w:r>
      <w:r w:rsidRPr="005F1ABE">
        <w:t xml:space="preserve"> Daarnaast is onzeker of de forse investeringen in </w:t>
      </w:r>
      <w:proofErr w:type="spellStart"/>
      <w:r w:rsidRPr="005F1ABE">
        <w:rPr>
          <w:i/>
          <w:iCs/>
        </w:rPr>
        <w:t>Artificial</w:t>
      </w:r>
      <w:proofErr w:type="spellEnd"/>
      <w:r w:rsidRPr="005F1ABE">
        <w:rPr>
          <w:i/>
          <w:iCs/>
        </w:rPr>
        <w:t xml:space="preserve"> Intelligence</w:t>
      </w:r>
      <w:r w:rsidRPr="005F1ABE">
        <w:t xml:space="preserve"> (AI) rendabel zullen zijn, wat kan leiden tot correcties op de aandelenmarkten of juist op de langere termijn grote effecten </w:t>
      </w:r>
      <w:r>
        <w:t>kan</w:t>
      </w:r>
      <w:r w:rsidRPr="005F1ABE">
        <w:t xml:space="preserve"> hebben voor bijvoorbeeld de arbeidsmarkt.</w:t>
      </w:r>
      <w:r w:rsidRPr="005F1ABE">
        <w:rPr>
          <w:vertAlign w:val="superscript"/>
        </w:rPr>
        <w:footnoteReference w:id="21"/>
      </w:r>
      <w:r w:rsidRPr="005F1ABE">
        <w:t xml:space="preserve"> </w:t>
      </w:r>
    </w:p>
    <w:p w:rsidRPr="005F1ABE" w:rsidR="00040FAF" w:rsidP="00040FAF" w:rsidRDefault="00040FAF" w14:paraId="1E1F663A" w14:textId="77777777"/>
    <w:p w:rsidR="00040FAF" w:rsidP="00040FAF" w:rsidRDefault="00040FAF" w14:paraId="35A18F2B" w14:textId="77777777">
      <w:r w:rsidRPr="005F1ABE">
        <w:t xml:space="preserve">Deze dreigingen kunnen zich gedurende deze kabinetsperiode manifesteren en </w:t>
      </w:r>
      <w:r>
        <w:t xml:space="preserve">kunnen </w:t>
      </w:r>
      <w:r w:rsidRPr="005F1ABE">
        <w:t xml:space="preserve">leiden tot schokken aan de inkomsten- en aan de uitgavenkant. </w:t>
      </w:r>
    </w:p>
    <w:p w:rsidR="00040FAF" w:rsidP="00040FAF" w:rsidRDefault="00040FAF" w14:paraId="11FE4522" w14:textId="77777777"/>
    <w:p w:rsidRPr="005B221D" w:rsidR="00040FAF" w:rsidP="00040FAF" w:rsidRDefault="00040FAF" w14:paraId="62AEDB07" w14:textId="444DA8C6">
      <w:r>
        <w:rPr>
          <w:iCs/>
          <w:noProof/>
        </w:rPr>
        <mc:AlternateContent>
          <mc:Choice Requires="wps">
            <w:drawing>
              <wp:inline distT="0" distB="0" distL="0" distR="0" wp14:anchorId="19612218" wp14:editId="3CFEAD3B">
                <wp:extent cx="5467350" cy="7058025"/>
                <wp:effectExtent l="0" t="0" r="19050" b="28575"/>
                <wp:docPr id="1692220113" name="Tekstvak 1"/>
                <wp:cNvGraphicFramePr/>
                <a:graphic xmlns:a="http://schemas.openxmlformats.org/drawingml/2006/main">
                  <a:graphicData uri="http://schemas.microsoft.com/office/word/2010/wordprocessingShape">
                    <wps:wsp>
                      <wps:cNvSpPr txBox="1"/>
                      <wps:spPr>
                        <a:xfrm>
                          <a:off x="0" y="0"/>
                          <a:ext cx="5467350" cy="7058025"/>
                        </a:xfrm>
                        <a:prstGeom prst="rect">
                          <a:avLst/>
                        </a:prstGeom>
                        <a:solidFill>
                          <a:sysClr val="window" lastClr="FFFFFF"/>
                        </a:solidFill>
                        <a:ln w="6350">
                          <a:solidFill>
                            <a:prstClr val="black"/>
                          </a:solidFill>
                        </a:ln>
                      </wps:spPr>
                      <wps:txbx>
                        <w:txbxContent>
                          <w:p w:rsidR="00040FAF" w:rsidP="00040FAF" w:rsidRDefault="00040FAF" w14:paraId="558674F8" w14:textId="77777777">
                            <w:pPr>
                              <w:rPr>
                                <w:b/>
                                <w:bCs/>
                              </w:rPr>
                            </w:pPr>
                            <w:r>
                              <w:rPr>
                                <w:b/>
                                <w:bCs/>
                              </w:rPr>
                              <w:t>Box 1: Oorlog Midden-Oosten en inflatie</w:t>
                            </w:r>
                          </w:p>
                          <w:p w:rsidR="00040FAF" w:rsidP="00040FAF" w:rsidRDefault="00040FAF" w14:paraId="22422E9B" w14:textId="77777777">
                            <w:pPr>
                              <w:rPr>
                                <w:b/>
                                <w:bCs/>
                              </w:rPr>
                            </w:pPr>
                          </w:p>
                          <w:p w:rsidRPr="002336BB" w:rsidR="00040FAF" w:rsidP="00040FAF" w:rsidRDefault="00040FAF" w14:paraId="6002A1FC" w14:textId="77777777">
                            <w:r w:rsidRPr="002336BB">
                              <w:t xml:space="preserve">De oorlog in het Midden-Oosten zal naar verwachting aanzienlijke gevolgen hebben voor </w:t>
                            </w:r>
                            <w:r>
                              <w:t xml:space="preserve">zowel de </w:t>
                            </w:r>
                            <w:r w:rsidRPr="002336BB">
                              <w:t>wereldwijde</w:t>
                            </w:r>
                            <w:r>
                              <w:t xml:space="preserve"> als de </w:t>
                            </w:r>
                            <w:r w:rsidRPr="002336BB">
                              <w:t xml:space="preserve">Nederlandse economie, al is het verloop van de oorlog, en daarmee het effect op de economie lastig te voorspellen. </w:t>
                            </w:r>
                          </w:p>
                          <w:p w:rsidRPr="002336BB" w:rsidR="00040FAF" w:rsidP="00040FAF" w:rsidRDefault="00040FAF" w14:paraId="600D2ACB" w14:textId="77777777"/>
                          <w:p w:rsidRPr="002336BB" w:rsidR="00040FAF" w:rsidP="00040FAF" w:rsidRDefault="00040FAF" w14:paraId="742F9D50" w14:textId="77777777">
                            <w:r w:rsidRPr="002336BB">
                              <w:t xml:space="preserve">De oorlog in het Midden-Oosten leidt tot een stijging van de internationale olie- en gasprijzen. </w:t>
                            </w:r>
                            <w:r>
                              <w:t xml:space="preserve">Hierdoor </w:t>
                            </w:r>
                            <w:r w:rsidRPr="002336BB">
                              <w:t>worden brandstoffen en energie duurder. Omdat brandstoffen en energie onderdeel zijn van de bestedingen van consumenten, leidt dit direct tot een hogere inflatie, zoals gemeten door de consumentenprijsindex. Deze hogere inflatie leidt in eerste instantie tot een lagere koopkracht van huishoudens – een effect dat, zolang de o</w:t>
                            </w:r>
                            <w:r>
                              <w:t>lie- en gasprijzen hoog blijven</w:t>
                            </w:r>
                            <w:r w:rsidRPr="002336BB">
                              <w:t xml:space="preserve">, breed voelbaar is en </w:t>
                            </w:r>
                            <w:r>
                              <w:t>maar deels</w:t>
                            </w:r>
                            <w:r w:rsidRPr="002336BB">
                              <w:t xml:space="preserve"> direct automatisch wordt gecompenseerd door meestijgende lonen. Bedrijven worden eveneens geconfronteerd met hogere energieprijzen en dus productiekosten. Dit leidt deels tot hogere prijzen van andere goederen en diensten – en </w:t>
                            </w:r>
                            <w:r>
                              <w:t xml:space="preserve">kan </w:t>
                            </w:r>
                            <w:r w:rsidRPr="002336BB">
                              <w:t>dus leiden tot extra inflatie</w:t>
                            </w:r>
                            <w:r>
                              <w:t xml:space="preserve"> </w:t>
                            </w:r>
                            <w:r w:rsidRPr="002336BB">
                              <w:t>– en deels tot lagere bedrijfswinsten. De lagere koopkracht en hogere kosten kunnen een drukkend effect op de economische groei hebben. Naast deze directe effecten kan de hogere inflatie leiden tot reacties van centrale banken, beleidsmakers en looneisen van werknemers. Ook de psychologische effecten zijn van belang: prijsschokken verminderen het vertrouwen van consumenten en bedrijven.</w:t>
                            </w:r>
                          </w:p>
                          <w:p w:rsidRPr="002336BB" w:rsidR="00040FAF" w:rsidP="00040FAF" w:rsidRDefault="00040FAF" w14:paraId="61B2F1A8" w14:textId="77777777"/>
                          <w:p w:rsidR="00040FAF" w:rsidP="00040FAF" w:rsidRDefault="00040FAF" w14:paraId="28EDB3F1" w14:textId="77777777">
                            <w:r w:rsidRPr="002336BB">
                              <w:t xml:space="preserve">Uit onderzoek van De Nederlandsche Bank blijkt dat de inflatoire effecten afhankelijk zijn van de duur en intensiteit van de oorlog en van de mate waarin tweede-orde-effecten via lonen en andere prijzen optreden; in het zwaarste scenario stijgt de inflatie met 2,8%-punt bovenop de al geraamde inflatie. </w:t>
                            </w:r>
                            <w:r>
                              <w:t xml:space="preserve">Onderzoeken van andere instituten zoals het CPB, ABN AMRO en de Rabobank komen tot soortgelijke conclusies, al kan het kwantitatieve effect aanzienlijk verschillen door andere aannames. De verschillen reflecteren de onzekere situatie. </w:t>
                            </w:r>
                          </w:p>
                          <w:p w:rsidR="00040FAF" w:rsidP="00040FAF" w:rsidRDefault="00040FAF" w14:paraId="421CEC55" w14:textId="77777777"/>
                          <w:p w:rsidR="00040FAF" w:rsidP="00040FAF" w:rsidRDefault="00040FAF" w14:paraId="6AA3532A" w14:textId="77777777">
                            <w:r w:rsidRPr="002336BB">
                              <w:t xml:space="preserve">Inflatie is als economisch verschijnsel meervoudig van aard. Zij kan worden veroorzaakt door externe aanbodschokken — zoals de energieprijsstijgingen na de Russische inval in Oekraïne in 2022 en, opnieuw, na het uitbreken van het conflict in het Midden-Oosten — maar ook door binnenlandse vraagdruk, loonkostenstijgingen of beleidsmaatregelen. </w:t>
                            </w:r>
                            <w:r w:rsidRPr="00A11ABF">
                              <w:t>De</w:t>
                            </w:r>
                            <w:r>
                              <w:t xml:space="preserve"> ontwikkeling van inflatie is op dit moment </w:t>
                            </w:r>
                            <w:r w:rsidRPr="00A11ABF">
                              <w:t>met veel onzekerheid omgeven</w:t>
                            </w:r>
                            <w:r>
                              <w:t>.</w:t>
                            </w:r>
                          </w:p>
                          <w:p w:rsidR="00D16038" w:rsidP="00040FAF" w:rsidRDefault="00D16038" w14:paraId="24DFC563" w14:textId="77777777"/>
                          <w:p w:rsidR="00D16038" w:rsidP="00040FAF" w:rsidRDefault="00D16038" w14:paraId="414CF586" w14:textId="77777777"/>
                          <w:p w:rsidR="00D16038" w:rsidP="00040FAF" w:rsidRDefault="00D16038" w14:paraId="38E40812" w14:textId="77777777"/>
                          <w:p w:rsidR="00D16038" w:rsidP="00040FAF" w:rsidRDefault="00D16038" w14:paraId="3898C0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19612218">
                <v:stroke joinstyle="miter"/>
                <v:path gradientshapeok="t" o:connecttype="rect"/>
              </v:shapetype>
              <v:shape id="Tekstvak 1" style="width:430.5pt;height:555.75pt;visibility:visible;mso-wrap-style:square;mso-left-percent:-10001;mso-top-percent:-10001;mso-position-horizontal:absolute;mso-position-horizontal-relative:char;mso-position-vertical:absolute;mso-position-vertical-relative:line;mso-left-percent:-10001;mso-top-percent:-10001;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">
                <v:textbox>
                  <w:txbxContent>
                    <w:p w:rsidR="00040FAF" w:rsidP="00040FAF" w:rsidRDefault="00040FAF" w14:paraId="558674F8" w14:textId="77777777">
                      <w:pPr>
                        <w:rPr>
                          <w:b/>
                          <w:bCs/>
                        </w:rPr>
                      </w:pPr>
                      <w:r>
                        <w:rPr>
                          <w:b/>
                          <w:bCs/>
                        </w:rPr>
                        <w:t>Box 1: Oorlog Midden-Oosten en inflatie</w:t>
                      </w:r>
                    </w:p>
                    <w:p w:rsidR="00040FAF" w:rsidP="00040FAF" w:rsidRDefault="00040FAF" w14:paraId="22422E9B" w14:textId="77777777">
                      <w:pPr>
                        <w:rPr>
                          <w:b/>
                          <w:bCs/>
                        </w:rPr>
                      </w:pPr>
                    </w:p>
                    <w:p w:rsidRPr="002336BB" w:rsidR="00040FAF" w:rsidP="00040FAF" w:rsidRDefault="00040FAF" w14:paraId="6002A1FC" w14:textId="77777777">
                      <w:r w:rsidRPr="002336BB">
                        <w:t xml:space="preserve">De oorlog in het Midden-Oosten zal naar verwachting aanzienlijke gevolgen hebben voor </w:t>
                      </w:r>
                      <w:r>
                        <w:t xml:space="preserve">zowel de </w:t>
                      </w:r>
                      <w:r w:rsidRPr="002336BB">
                        <w:t>wereldwijde</w:t>
                      </w:r>
                      <w:r>
                        <w:t xml:space="preserve"> als de </w:t>
                      </w:r>
                      <w:r w:rsidRPr="002336BB">
                        <w:t xml:space="preserve">Nederlandse economie, al is het verloop van de oorlog, en daarmee het effect op de economie lastig te voorspellen. </w:t>
                      </w:r>
                    </w:p>
                    <w:p w:rsidRPr="002336BB" w:rsidR="00040FAF" w:rsidP="00040FAF" w:rsidRDefault="00040FAF" w14:paraId="600D2ACB" w14:textId="77777777"/>
                    <w:p w:rsidRPr="002336BB" w:rsidR="00040FAF" w:rsidP="00040FAF" w:rsidRDefault="00040FAF" w14:paraId="742F9D50" w14:textId="77777777">
                      <w:r w:rsidRPr="002336BB">
                        <w:t xml:space="preserve">De oorlog in het Midden-Oosten leidt tot een stijging van de internationale olie- en gasprijzen. </w:t>
                      </w:r>
                      <w:r>
                        <w:t xml:space="preserve">Hierdoor </w:t>
                      </w:r>
                      <w:r w:rsidRPr="002336BB">
                        <w:t>worden brandstoffen en energie duurder. Omdat brandstoffen en energie onderdeel zijn van de bestedingen van consumenten, leidt dit direct tot een hogere inflatie, zoals gemeten door de consumentenprijsindex. Deze hogere inflatie leidt in eerste instantie tot een lagere koopkracht van huishoudens – een effect dat, zolang de o</w:t>
                      </w:r>
                      <w:r>
                        <w:t>lie- en gasprijzen hoog blijven</w:t>
                      </w:r>
                      <w:r w:rsidRPr="002336BB">
                        <w:t xml:space="preserve">, breed voelbaar is en </w:t>
                      </w:r>
                      <w:r>
                        <w:t>maar deels</w:t>
                      </w:r>
                      <w:r w:rsidRPr="002336BB">
                        <w:t xml:space="preserve"> direct automatisch wordt gecompenseerd door meestijgende lonen. Bedrijven worden eveneens geconfronteerd met hogere energieprijzen en dus productiekosten. Dit leidt deels tot hogere prijzen van andere goederen en diensten – en </w:t>
                      </w:r>
                      <w:r>
                        <w:t xml:space="preserve">kan </w:t>
                      </w:r>
                      <w:r w:rsidRPr="002336BB">
                        <w:t>dus leiden tot extra inflatie</w:t>
                      </w:r>
                      <w:r>
                        <w:t xml:space="preserve"> </w:t>
                      </w:r>
                      <w:r w:rsidRPr="002336BB">
                        <w:t>– en deels tot lagere bedrijfswinsten. De lagere koopkracht en hogere kosten kunnen een drukkend effect op de economische groei hebben. Naast deze directe effecten kan de hogere inflatie leiden tot reacties van centrale banken, beleidsmakers en looneisen van werknemers. Ook de psychologische effecten zijn van belang: prijsschokken verminderen het vertrouwen van consumenten en bedrijven.</w:t>
                      </w:r>
                    </w:p>
                    <w:p w:rsidRPr="002336BB" w:rsidR="00040FAF" w:rsidP="00040FAF" w:rsidRDefault="00040FAF" w14:paraId="61B2F1A8" w14:textId="77777777"/>
                    <w:p w:rsidR="00040FAF" w:rsidP="00040FAF" w:rsidRDefault="00040FAF" w14:paraId="28EDB3F1" w14:textId="77777777">
                      <w:r w:rsidRPr="002336BB">
                        <w:t xml:space="preserve">Uit onderzoek van De Nederlandsche Bank blijkt dat de inflatoire effecten afhankelijk zijn van de duur en intensiteit van de oorlog en van de mate waarin tweede-orde-effecten via lonen en andere prijzen optreden; in het zwaarste scenario stijgt de inflatie met 2,8%-punt bovenop de al geraamde inflatie. </w:t>
                      </w:r>
                      <w:r>
                        <w:t xml:space="preserve">Onderzoeken van andere instituten zoals het CPB, ABN AMRO en de Rabobank komen tot soortgelijke conclusies, al kan het kwantitatieve effect aanzienlijk verschillen door andere aannames. De verschillen reflecteren de onzekere situatie. </w:t>
                      </w:r>
                    </w:p>
                    <w:p w:rsidR="00040FAF" w:rsidP="00040FAF" w:rsidRDefault="00040FAF" w14:paraId="421CEC55" w14:textId="77777777"/>
                    <w:p w:rsidR="00040FAF" w:rsidP="00040FAF" w:rsidRDefault="00040FAF" w14:paraId="6AA3532A" w14:textId="77777777">
                      <w:r w:rsidRPr="002336BB">
                        <w:t xml:space="preserve">Inflatie is als economisch verschijnsel meervoudig van aard. Zij kan worden veroorzaakt door externe aanbodschokken — zoals de energieprijsstijgingen na de Russische inval in Oekraïne in 2022 en, opnieuw, na het uitbreken van het conflict in het Midden-Oosten — maar ook door binnenlandse vraagdruk, loonkostenstijgingen of beleidsmaatregelen. </w:t>
                      </w:r>
                      <w:r w:rsidRPr="00A11ABF">
                        <w:t>De</w:t>
                      </w:r>
                      <w:r>
                        <w:t xml:space="preserve"> ontwikkeling van inflatie is op dit moment </w:t>
                      </w:r>
                      <w:r w:rsidRPr="00A11ABF">
                        <w:t>met veel onzekerheid omgeven</w:t>
                      </w:r>
                      <w:r>
                        <w:t>.</w:t>
                      </w:r>
                    </w:p>
                    <w:p w:rsidR="00D16038" w:rsidP="00040FAF" w:rsidRDefault="00D16038" w14:paraId="24DFC563" w14:textId="77777777"/>
                    <w:p w:rsidR="00D16038" w:rsidP="00040FAF" w:rsidRDefault="00D16038" w14:paraId="414CF586" w14:textId="77777777"/>
                    <w:p w:rsidR="00D16038" w:rsidP="00040FAF" w:rsidRDefault="00D16038" w14:paraId="38E40812" w14:textId="77777777"/>
                    <w:p w:rsidR="00D16038" w:rsidP="00040FAF" w:rsidRDefault="00D16038" w14:paraId="3898C026" w14:textId="77777777"/>
                  </w:txbxContent>
                </v:textbox>
                <w10:anchorlock/>
              </v:shape>
            </w:pict>
          </mc:Fallback>
        </mc:AlternateContent>
      </w:r>
    </w:p>
    <w:p w:rsidR="00040FAF" w:rsidP="00040FAF" w:rsidRDefault="00040FAF" w14:paraId="691585CA" w14:textId="77777777">
      <w:r>
        <w:br w:type="page"/>
      </w:r>
    </w:p>
    <w:p w:rsidRPr="005F1ABE" w:rsidR="00040FAF" w:rsidP="00040FAF" w:rsidRDefault="00040FAF" w14:paraId="79BA85F3" w14:textId="77777777">
      <w:r w:rsidRPr="005F1ABE">
        <w:lastRenderedPageBreak/>
        <w:t xml:space="preserve">Deze omstandigheden – een stagnerend groeipotentieel op de middellange termijn, een cumulatie van economische </w:t>
      </w:r>
      <w:r>
        <w:t>knelpunten</w:t>
      </w:r>
      <w:r w:rsidRPr="005F1ABE">
        <w:t xml:space="preserve"> op korte termijn, noodzakelijke uitgaven en aanzienlijke onzekerheden op de korte termijn – geven in samenhang aanleiding tot zorg. </w:t>
      </w:r>
      <w:r>
        <w:t>Deze zorgen zijn weliswaar niet allen nieuw, maar houden in toenemende mate aan en geopolitieke spanningen en onzekerheden vergroten de urgentie zeker.</w:t>
      </w:r>
    </w:p>
    <w:p w:rsidRPr="005F1ABE" w:rsidR="00040FAF" w:rsidP="00040FAF" w:rsidRDefault="00040FAF" w14:paraId="03B1A6E1" w14:textId="77777777"/>
    <w:p w:rsidRPr="005F1ABE" w:rsidR="00040FAF" w:rsidP="00040FAF" w:rsidRDefault="00040FAF" w14:paraId="515BB2EB" w14:textId="77777777">
      <w:r>
        <w:t>Ongewijzigd</w:t>
      </w:r>
      <w:r w:rsidRPr="005F1ABE">
        <w:t xml:space="preserve"> beleid ligt daarom niet voor de hand</w:t>
      </w:r>
      <w:r>
        <w:t xml:space="preserve">. Politieke </w:t>
      </w:r>
      <w:r w:rsidRPr="005F1ABE">
        <w:t xml:space="preserve">keuzes </w:t>
      </w:r>
      <w:r>
        <w:t xml:space="preserve">zijn </w:t>
      </w:r>
      <w:r w:rsidRPr="005F1ABE">
        <w:t xml:space="preserve">noodzakelijk, waarbij onder meer aandacht moet worden besteed aan de verhouding tussen overheidsinvesteringen en consumptie (zie ook onderdeel D van deze rapportage). </w:t>
      </w:r>
    </w:p>
    <w:p w:rsidRPr="005F1ABE" w:rsidR="00040FAF" w:rsidP="00040FAF" w:rsidRDefault="00040FAF" w14:paraId="45EBCF84" w14:textId="77777777"/>
    <w:p w:rsidR="00040FAF" w:rsidP="00040FAF" w:rsidRDefault="00040FAF" w14:paraId="0284D53F" w14:textId="77777777">
      <w:r w:rsidRPr="005F1ABE">
        <w:t>Het Europese begrotingsraamwerk is in 2024 herzien</w:t>
      </w:r>
      <w:r>
        <w:t xml:space="preserve">. De huidige complexe problematiek kan in dit nieuwe kader beter worden opgenomen. </w:t>
      </w:r>
      <w:r w:rsidRPr="005F1ABE">
        <w:t>In het herziene raamwerk wordt de ontwikkeling van de overheidsfinanciën op de middellange en lange termijn nadrukkelijker meegewogen en worden eisen gesteld aan zowel de omvang als de samenstelling van de overheidsuitgaven. Daarmee wordt ook de economische structuur meegewogen.</w:t>
      </w:r>
    </w:p>
    <w:p w:rsidR="00040FAF" w:rsidP="00040FAF" w:rsidRDefault="00040FAF" w14:paraId="3CF580A4" w14:textId="77777777"/>
    <w:p w:rsidRPr="005F1ABE" w:rsidR="00040FAF" w:rsidP="00040FAF" w:rsidRDefault="00040FAF" w14:paraId="3154FA9C" w14:textId="77777777">
      <w:r w:rsidRPr="005F1ABE">
        <w:t>Vanuit d</w:t>
      </w:r>
      <w:r>
        <w:t>eze</w:t>
      </w:r>
      <w:r w:rsidRPr="005F1ABE">
        <w:t xml:space="preserve"> perspectie</w:t>
      </w:r>
      <w:r>
        <w:t>ven</w:t>
      </w:r>
      <w:r w:rsidRPr="005F1ABE">
        <w:t xml:space="preserve"> heeft de Afdeling de voornemens </w:t>
      </w:r>
      <w:r>
        <w:t>van het kabinet-</w:t>
      </w:r>
      <w:proofErr w:type="spellStart"/>
      <w:r>
        <w:t>Jetten</w:t>
      </w:r>
      <w:proofErr w:type="spellEnd"/>
      <w:r>
        <w:t xml:space="preserve"> als gepresenteerd in de Voorjaarsnota 2026 </w:t>
      </w:r>
      <w:r w:rsidRPr="005F1ABE">
        <w:t xml:space="preserve">bezien. </w:t>
      </w:r>
    </w:p>
    <w:p w:rsidR="00040FAF" w:rsidP="00040FAF" w:rsidRDefault="00040FAF" w14:paraId="241EF3C9" w14:textId="77777777"/>
    <w:p w:rsidR="00040FAF" w:rsidP="00040FAF" w:rsidRDefault="00040FAF" w14:paraId="527B39F0" w14:textId="77777777">
      <w:pPr>
        <w:pStyle w:val="Lijstalinea"/>
        <w:numPr>
          <w:ilvl w:val="0"/>
          <w:numId w:val="18"/>
        </w:numPr>
        <w:ind w:hanging="720"/>
        <w:rPr>
          <w:u w:val="single"/>
        </w:rPr>
      </w:pPr>
      <w:r w:rsidRPr="004E0C9F">
        <w:rPr>
          <w:u w:val="single"/>
        </w:rPr>
        <w:t>Een kabinet met vele uitdagingen</w:t>
      </w:r>
      <w:r>
        <w:rPr>
          <w:u w:val="single"/>
        </w:rPr>
        <w:t>: hoofdlijnen uit het coalitieakkoord</w:t>
      </w:r>
    </w:p>
    <w:p w:rsidR="00040FAF" w:rsidP="00040FAF" w:rsidRDefault="00040FAF" w14:paraId="5C6A96CF" w14:textId="77777777"/>
    <w:p w:rsidR="00040FAF" w:rsidP="00040FAF" w:rsidRDefault="00040FAF" w14:paraId="00286F40" w14:textId="77777777">
      <w:r w:rsidRPr="0062400D">
        <w:t>Tegen de achtergrond van deze omstandigheden heeft het nieuwe kabinet zijn plannen opgesteld. Het coalitieakkoord besteedt in beginsel aandacht aan de volle breedte van de hierboven beschreven problematiek. Zo stelt het kabinet voor om de uitgaven aan onderwijs, klimaat en milieu en bereikbaarheid te verhogen. Dit levert een positieve bijdrage aan het menselijk kapitaal van Nederland en levert een bijdrage aan een vermindering van de spanningen op het gebied van stikstof, netcongestie, het arbeidsaanbod en het woningaanbod. Daarnaast worden maatregelen aangekondigd om de uitgaven als gevolg van vergrijzing beter beheersbaar te maken. Ook het budget voor defensie wordt opgehoogd.</w:t>
      </w:r>
    </w:p>
    <w:p w:rsidR="00040FAF" w:rsidP="00040FAF" w:rsidRDefault="00040FAF" w14:paraId="2A409AE1" w14:textId="77777777"/>
    <w:p w:rsidRPr="005F1ABE" w:rsidR="00040FAF" w:rsidP="00040FAF" w:rsidRDefault="00040FAF" w14:paraId="0B827F29" w14:textId="77777777">
      <w:r w:rsidRPr="005F1ABE">
        <w:t>Het kabinet neemt een aantal maatregelen om de productiviteitsgroei te stimuleren. Zo worden een Nationale Investeringsinstelling en een Nationaal Agentschap voor Disruptieve Innovaties opgericht. Het budget voor de onderwijsuitgaven wordt in het coalitieakkoord met €</w:t>
      </w:r>
      <w:r>
        <w:t> </w:t>
      </w:r>
      <w:r w:rsidRPr="005F1ABE">
        <w:t>1,6 mld. verhoogd</w:t>
      </w:r>
      <w:r>
        <w:t xml:space="preserve"> in 2030</w:t>
      </w:r>
      <w:r w:rsidRPr="005F1ABE">
        <w:t xml:space="preserve">. </w:t>
      </w:r>
      <w:r>
        <w:t>Er wordt geïnvesteerd in de eigen energievoorziening, onder andere door intensivering van de Subsidie Duurzame Energie (SDE++) voor wind op zee. Door lange aanlooptijden zal een groot deel van de uitgaven plaatsvinden na de kabinetsperiode.</w:t>
      </w:r>
      <w:r>
        <w:rPr>
          <w:rStyle w:val="Voetnootmarkering"/>
        </w:rPr>
        <w:footnoteReference w:id="22"/>
      </w:r>
      <w:r>
        <w:t xml:space="preserve"> </w:t>
      </w:r>
    </w:p>
    <w:p w:rsidR="00040FAF" w:rsidP="00040FAF" w:rsidRDefault="00040FAF" w14:paraId="28550C75" w14:textId="77777777"/>
    <w:p w:rsidR="00040FAF" w:rsidP="00040FAF" w:rsidRDefault="00040FAF" w14:paraId="61CB9FB2" w14:textId="77777777">
      <w:r w:rsidRPr="005F1ABE">
        <w:lastRenderedPageBreak/>
        <w:t>Het kabinet wil de uitgaven als gevolg van vergrijzing meer beheersbaar maken door vooral de uitgaven aan zorg en sociale zekerheid te matigen</w:t>
      </w:r>
      <w:r>
        <w:t>.</w:t>
      </w:r>
      <w:r w:rsidRPr="005F1ABE">
        <w:t xml:space="preserve"> De maatregelen uit het coalitieakkoord voorzien in ombuigingen van respectievelijk €</w:t>
      </w:r>
      <w:r>
        <w:t> </w:t>
      </w:r>
      <w:r w:rsidRPr="005F1ABE">
        <w:t>7,9 mld. en €</w:t>
      </w:r>
      <w:r>
        <w:t> </w:t>
      </w:r>
      <w:r w:rsidRPr="005F1ABE">
        <w:t>2,5 mld</w:t>
      </w:r>
      <w:r>
        <w:t>.</w:t>
      </w:r>
      <w:r w:rsidRPr="005F1ABE">
        <w:t xml:space="preserve"> in 2030.</w:t>
      </w:r>
      <w:r>
        <w:t xml:space="preserve"> Ondanks die maatregelen nemen volgens het</w:t>
      </w:r>
      <w:r w:rsidRPr="005F1ABE">
        <w:t xml:space="preserve"> CEP 2026 de collectieve uitgaven aan zorg</w:t>
      </w:r>
      <w:r>
        <w:t xml:space="preserve"> in de kabinetsperiode nog steeds</w:t>
      </w:r>
      <w:r w:rsidRPr="005F1ABE">
        <w:t xml:space="preserve"> toe van €</w:t>
      </w:r>
      <w:r>
        <w:t> </w:t>
      </w:r>
      <w:r w:rsidRPr="005F1ABE">
        <w:t xml:space="preserve">119,1 mld. naar </w:t>
      </w:r>
      <w:r w:rsidRPr="00E73AED">
        <w:t>€</w:t>
      </w:r>
      <w:r>
        <w:t> </w:t>
      </w:r>
      <w:r w:rsidRPr="00A016E7">
        <w:t>139,5</w:t>
      </w:r>
      <w:r>
        <w:rPr>
          <w:b/>
        </w:rPr>
        <w:t xml:space="preserve"> </w:t>
      </w:r>
      <w:r w:rsidRPr="005F1ABE">
        <w:t>en die aan sociale zekerheid van €</w:t>
      </w:r>
      <w:r>
        <w:t> </w:t>
      </w:r>
      <w:r w:rsidRPr="005F1ABE">
        <w:t>156,9 mld. tot €</w:t>
      </w:r>
      <w:r>
        <w:t> </w:t>
      </w:r>
      <w:r w:rsidRPr="005F1ABE">
        <w:t>177,1</w:t>
      </w:r>
      <w:r>
        <w:t> </w:t>
      </w:r>
      <w:r w:rsidRPr="005F1ABE">
        <w:t>mld.</w:t>
      </w:r>
      <w:r w:rsidRPr="005F1ABE">
        <w:rPr>
          <w:vertAlign w:val="superscript"/>
        </w:rPr>
        <w:footnoteReference w:id="23"/>
      </w:r>
      <w:r w:rsidRPr="005F1ABE">
        <w:t xml:space="preserve"> De defensie-uitgaven worden in het coalitieakkoord volgens de inschattingen van het CPB met €</w:t>
      </w:r>
      <w:r>
        <w:t> </w:t>
      </w:r>
      <w:r w:rsidRPr="005F1ABE">
        <w:t>8,1 mld</w:t>
      </w:r>
      <w:r>
        <w:t>.</w:t>
      </w:r>
      <w:r>
        <w:rPr>
          <w:b/>
          <w:bCs/>
        </w:rPr>
        <w:t xml:space="preserve"> </w:t>
      </w:r>
      <w:r w:rsidRPr="005F1ABE">
        <w:t>verhoogd</w:t>
      </w:r>
      <w:r>
        <w:t xml:space="preserve"> in 2030, een toename van ongeveer 40% ten opzichte van 2025</w:t>
      </w:r>
      <w:r w:rsidRPr="005F1ABE">
        <w:t>.</w:t>
      </w:r>
      <w:r>
        <w:rPr>
          <w:rStyle w:val="Voetnootmarkering"/>
        </w:rPr>
        <w:footnoteReference w:id="24"/>
      </w:r>
      <w:r w:rsidRPr="005F1ABE">
        <w:t xml:space="preserve"> Volgens </w:t>
      </w:r>
      <w:r>
        <w:t xml:space="preserve">het </w:t>
      </w:r>
      <w:r w:rsidRPr="005F1ABE">
        <w:t xml:space="preserve">CEP 2026 wordt </w:t>
      </w:r>
      <w:r>
        <w:t xml:space="preserve">daarmee </w:t>
      </w:r>
      <w:r w:rsidRPr="005F1ABE">
        <w:t xml:space="preserve">in 2030 2,5% van het bbp besteed aan defensie. </w:t>
      </w:r>
      <w:r>
        <w:t>Daarna</w:t>
      </w:r>
      <w:r w:rsidRPr="005F1ABE">
        <w:t xml:space="preserve"> is een verdere stijging van de defensie-uitgaven voorzien om te voldoen aan de afgesproken NAVO-norm van 5%.</w:t>
      </w:r>
      <w:r w:rsidRPr="005F1ABE">
        <w:rPr>
          <w:vertAlign w:val="superscript"/>
        </w:rPr>
        <w:footnoteReference w:id="25"/>
      </w:r>
    </w:p>
    <w:p w:rsidR="00040FAF" w:rsidP="00040FAF" w:rsidRDefault="00040FAF" w14:paraId="5BBA5C89" w14:textId="77777777"/>
    <w:p w:rsidRPr="00685277" w:rsidR="00040FAF" w:rsidP="00040FAF" w:rsidRDefault="00040FAF" w14:paraId="177CCAB0" w14:textId="77777777">
      <w:pPr>
        <w:rPr>
          <w:b/>
        </w:rPr>
      </w:pPr>
      <w:r w:rsidRPr="005F1ABE">
        <w:t xml:space="preserve">Het coalitieakkoord bevat verschillende maatregelen om </w:t>
      </w:r>
      <w:r>
        <w:t>knelpunten</w:t>
      </w:r>
      <w:r w:rsidRPr="005F1ABE">
        <w:t xml:space="preserve"> aan te pakken. Om de </w:t>
      </w:r>
      <w:r>
        <w:t>stikstof</w:t>
      </w:r>
      <w:r w:rsidRPr="005F1ABE">
        <w:t>doelen te halen wordt tot en met 2035 €</w:t>
      </w:r>
      <w:r>
        <w:t> </w:t>
      </w:r>
      <w:r w:rsidRPr="005F1ABE">
        <w:t xml:space="preserve">20 mld. besteed aan maatregelen om emissies te verkleinen en bij te dragen aan natuurherstel. De koppeling van de AOW-leeftijd aan de levensverwachting </w:t>
      </w:r>
      <w:r>
        <w:t>vergroot</w:t>
      </w:r>
      <w:r w:rsidRPr="005F1ABE">
        <w:t xml:space="preserve"> het arbeidsaanbod.</w:t>
      </w:r>
      <w:r>
        <w:rPr>
          <w:rStyle w:val="Voetnootmarkering"/>
        </w:rPr>
        <w:footnoteReference w:id="26"/>
      </w:r>
      <w:r w:rsidRPr="005F1ABE">
        <w:t xml:space="preserve"> Verder wordt ingezet op verbetering van de waterkwaliteit, onder andere door middelen vrij te maken voor het behalen van de doelen uit de Kaderrichtlijn Water.</w:t>
      </w:r>
    </w:p>
    <w:p w:rsidR="00040FAF" w:rsidP="00040FAF" w:rsidRDefault="00040FAF" w14:paraId="29789064" w14:textId="77777777"/>
    <w:p w:rsidRPr="005F1ABE" w:rsidR="00040FAF" w:rsidP="00040FAF" w:rsidRDefault="00040FAF" w14:paraId="114806A0" w14:textId="77777777">
      <w:r>
        <w:t xml:space="preserve">Resultaat is een begroting waarin collectieve uitgaven als aandeel van het bruto binnenlands product blijven toenemen, zowel ten opzichte van het vroegere </w:t>
      </w:r>
      <w:proofErr w:type="spellStart"/>
      <w:r>
        <w:t>basispad</w:t>
      </w:r>
      <w:proofErr w:type="spellEnd"/>
      <w:r>
        <w:t xml:space="preserve"> als op de langere termijn. </w:t>
      </w:r>
      <w:r w:rsidRPr="005F1ABE">
        <w:t xml:space="preserve">De oploop van de </w:t>
      </w:r>
      <w:r>
        <w:t xml:space="preserve">overheidsuitgaven </w:t>
      </w:r>
      <w:r w:rsidRPr="005F1ABE">
        <w:t xml:space="preserve">tussen 2026 en 2030 wordt vooral gedreven </w:t>
      </w:r>
      <w:r>
        <w:t>door</w:t>
      </w:r>
      <w:r w:rsidRPr="005F1ABE">
        <w:t xml:space="preserve"> oplopende uitgaven aan zorg en sociale zekerheid, hogere rentelasten en hogere uitgaven aan defensie. De collectieve lasten als aandeel van het bruto binnenlands product nemen in de jaren 2026 en 2027 toe. In 2028 stijgen de lasten door de verwachte invoering van het Europese emissiehandelssysteem ETS2. Daarna blijven de collectieve lasten als aandeel van het bruto binnenlands product in de raming stabiel. </w:t>
      </w:r>
    </w:p>
    <w:p w:rsidRPr="005F1ABE" w:rsidR="00040FAF" w:rsidP="00040FAF" w:rsidRDefault="00040FAF" w14:paraId="1332E7BE" w14:textId="77777777"/>
    <w:p w:rsidR="00040FAF" w:rsidP="00040FAF" w:rsidRDefault="00040FAF" w14:paraId="22F11FAB" w14:textId="77777777">
      <w:r w:rsidRPr="005F1ABE">
        <w:lastRenderedPageBreak/>
        <w:t>Per saldo heeft het coalitieakkoord een drukkend effect op het overheidstekort van 0,2% bbp in 2030, vooral door de lasten meer te verhogen dan de uitgaven.</w:t>
      </w:r>
      <w:r w:rsidRPr="005F1ABE">
        <w:rPr>
          <w:vertAlign w:val="superscript"/>
        </w:rPr>
        <w:footnoteReference w:id="27"/>
      </w:r>
      <w:r w:rsidRPr="005F1ABE">
        <w:t xml:space="preserve"> Mede daardoor blijft het overheidstekort in de jaren 2025-2031 onder de 3%, maar </w:t>
      </w:r>
      <w:r>
        <w:t>loopt op langere termijn wel op</w:t>
      </w:r>
      <w:r w:rsidRPr="005F1ABE">
        <w:t>. Het overheidstekort verslechtert na de kabinetsperiode verder tot 3,1% bbp in 2034, doordat de uitgaven meer stijgen dan de inkomsten. Dit vertaalt zich in een EMU-schuld die oploopt tot 47,8% in 2031 tot 52,5% in 2034.</w:t>
      </w:r>
    </w:p>
    <w:p w:rsidRPr="005F1ABE" w:rsidR="00040FAF" w:rsidP="00040FAF" w:rsidRDefault="00040FAF" w14:paraId="1758AD14" w14:textId="77777777"/>
    <w:p w:rsidRPr="005F1ABE" w:rsidR="00040FAF" w:rsidP="00040FAF" w:rsidRDefault="00040FAF" w14:paraId="3FF49675" w14:textId="77777777">
      <w:r w:rsidRPr="005F1ABE">
        <w:t>De plannen van de coalitie leiden tot een cumulatieve lastenverzwaring van €</w:t>
      </w:r>
      <w:r>
        <w:t> </w:t>
      </w:r>
      <w:r w:rsidRPr="005F1ABE">
        <w:t>5,8</w:t>
      </w:r>
      <w:r>
        <w:t> </w:t>
      </w:r>
      <w:r w:rsidRPr="005F1ABE">
        <w:t>mld.</w:t>
      </w:r>
      <w:r>
        <w:t xml:space="preserve"> in 2030</w:t>
      </w:r>
      <w:r w:rsidRPr="005F1ABE">
        <w:t>, waarvan het grootste deel neerslaat bij de lasten op (vroegere) arbeid</w:t>
      </w:r>
      <w:r>
        <w:t>.</w:t>
      </w:r>
      <w:r w:rsidRPr="005F1ABE">
        <w:rPr>
          <w:vertAlign w:val="superscript"/>
        </w:rPr>
        <w:footnoteReference w:id="28"/>
      </w:r>
      <w:r w:rsidRPr="005F1ABE">
        <w:t xml:space="preserve"> Dit komt vooral doordat de hogere defensie-uitgaven grotendeels worden gefinancierd door het niet volledig toepassen van de inflatiecorrectie (de tabelcorrectiefactor) in de inkomstenbelasting, waardoor onder meer de grenzen van de belastingschijven niet volledig meestijgen met de inflatie. Daarnaast worden ter compensatie van de lagere zorgpremies door het hogere eigen risico alleen </w:t>
      </w:r>
      <w:r>
        <w:t>inkomstenbelastingta</w:t>
      </w:r>
      <w:r w:rsidRPr="005F1ABE">
        <w:t xml:space="preserve">rieven in de </w:t>
      </w:r>
      <w:r>
        <w:t>eerste en tweede schijven van box 1</w:t>
      </w:r>
      <w:r w:rsidRPr="005F1ABE">
        <w:t xml:space="preserve"> verhoogd, de box die vooral uit werknemers, gepensioneerden en zelfstandigen bestaat.</w:t>
      </w:r>
      <w:r w:rsidRPr="005F1ABE">
        <w:rPr>
          <w:vertAlign w:val="superscript"/>
        </w:rPr>
        <w:footnoteReference w:id="29"/>
      </w:r>
      <w:r w:rsidRPr="005F1ABE">
        <w:t xml:space="preserve"> De tarieven van box 2</w:t>
      </w:r>
      <w:r>
        <w:t xml:space="preserve"> blijven gelijk. In deze box valt het inkomen uit </w:t>
      </w:r>
      <w:r w:rsidRPr="005F1ABE">
        <w:t>aanmerkelijk belang</w:t>
      </w:r>
      <w:r>
        <w:t xml:space="preserve"> (grofweg aandelenbelangen van minimaal 5%), </w:t>
      </w:r>
      <w:r w:rsidRPr="005F1ABE">
        <w:t>zoals dividend</w:t>
      </w:r>
      <w:r>
        <w:t>en en verkoopwinsten</w:t>
      </w:r>
      <w:r w:rsidRPr="005F1ABE">
        <w:t>.</w:t>
      </w:r>
    </w:p>
    <w:p w:rsidRPr="005F1ABE" w:rsidR="00040FAF" w:rsidP="00040FAF" w:rsidRDefault="00040FAF" w14:paraId="253CD734" w14:textId="77777777"/>
    <w:p w:rsidRPr="002E25B1" w:rsidR="00040FAF" w:rsidP="00040FAF" w:rsidRDefault="00040FAF" w14:paraId="2A18B16C" w14:textId="77777777">
      <w:pPr>
        <w:rPr>
          <w:i/>
        </w:rPr>
      </w:pPr>
      <w:r w:rsidRPr="005F1ABE">
        <w:t xml:space="preserve">Net als in voorgaande jaren wordt het uitgavenbeeld beïnvloed door </w:t>
      </w:r>
      <w:proofErr w:type="spellStart"/>
      <w:r w:rsidRPr="005F1ABE">
        <w:t>onderuitputting</w:t>
      </w:r>
      <w:proofErr w:type="spellEnd"/>
      <w:r w:rsidRPr="005F1ABE">
        <w:t xml:space="preserve"> (daadwerkelijke uitgaven zijn kleiner dan de gereserveerde uitgaven). De </w:t>
      </w:r>
      <w:proofErr w:type="spellStart"/>
      <w:r w:rsidRPr="005F1ABE">
        <w:t>onderuitputting</w:t>
      </w:r>
      <w:proofErr w:type="spellEnd"/>
      <w:r w:rsidRPr="005F1ABE">
        <w:t xml:space="preserve"> is vooral sinds </w:t>
      </w:r>
      <w:r>
        <w:t>2020 hoog</w:t>
      </w:r>
      <w:r w:rsidRPr="005F1ABE">
        <w:t>, mede door een ambitieuze beleidsagenda met aanzienlijke intensiveringen.</w:t>
      </w:r>
      <w:r w:rsidRPr="005F1ABE">
        <w:rPr>
          <w:vertAlign w:val="superscript"/>
        </w:rPr>
        <w:footnoteReference w:id="30"/>
      </w:r>
      <w:r w:rsidRPr="005F1ABE">
        <w:t xml:space="preserve"> De CEP-raming van de </w:t>
      </w:r>
      <w:proofErr w:type="spellStart"/>
      <w:r w:rsidRPr="005F1ABE">
        <w:t>onderuitputting</w:t>
      </w:r>
      <w:proofErr w:type="spellEnd"/>
      <w:r w:rsidRPr="005F1ABE">
        <w:t xml:space="preserve"> komt in zowel 2026 </w:t>
      </w:r>
      <w:r>
        <w:t>als</w:t>
      </w:r>
      <w:r w:rsidRPr="005F1ABE">
        <w:t xml:space="preserve"> 2027 uit op €</w:t>
      </w:r>
      <w:r>
        <w:t> </w:t>
      </w:r>
      <w:r w:rsidRPr="005F1ABE">
        <w:t>13,9 mld</w:t>
      </w:r>
      <w:r>
        <w:t>.</w:t>
      </w:r>
      <w:r w:rsidRPr="005F1ABE">
        <w:t xml:space="preserve"> </w:t>
      </w:r>
      <w:r>
        <w:t>D</w:t>
      </w:r>
      <w:r w:rsidRPr="005F1ABE">
        <w:t xml:space="preserve">at </w:t>
      </w:r>
      <w:r>
        <w:t xml:space="preserve">komt </w:t>
      </w:r>
      <w:r w:rsidRPr="005F1ABE">
        <w:t xml:space="preserve">voor een deel voor rekening van het defensiebudget, dat niet helemaal tot besteding komt. Deze vorm van </w:t>
      </w:r>
      <w:proofErr w:type="spellStart"/>
      <w:r w:rsidRPr="005F1ABE">
        <w:t>onderuitputting</w:t>
      </w:r>
      <w:proofErr w:type="spellEnd"/>
      <w:r w:rsidRPr="005F1ABE">
        <w:t xml:space="preserve"> kan niet worden gebruikt als financieringsbron van extra beleid (zie paragraaf D). </w:t>
      </w:r>
      <w:r>
        <w:t xml:space="preserve">In het CEP wordt een hogere </w:t>
      </w:r>
      <w:proofErr w:type="spellStart"/>
      <w:r>
        <w:t>onderuitputting</w:t>
      </w:r>
      <w:proofErr w:type="spellEnd"/>
      <w:r>
        <w:t xml:space="preserve"> geraamd dan in de Voorjaarsnota; dat verschil verklaart voor een groot deel dat de raming van het EMU-saldo in het CEP in de eerstkomende jaren iets gunstiger is dan in de Voorjaarsnota. </w:t>
      </w:r>
    </w:p>
    <w:p w:rsidRPr="005F1ABE" w:rsidR="00040FAF" w:rsidP="00040FAF" w:rsidRDefault="00040FAF" w14:paraId="105B334F" w14:textId="77777777">
      <w:pPr>
        <w:rPr>
          <w:i/>
          <w:iCs/>
        </w:rPr>
      </w:pPr>
    </w:p>
    <w:tbl>
      <w:tblPr>
        <w:tblW w:w="8532" w:type="dxa"/>
        <w:tblCellMar>
          <w:left w:w="70" w:type="dxa"/>
          <w:right w:w="70" w:type="dxa"/>
        </w:tblCellMar>
        <w:tblLook w:val="04A0" w:firstRow="1" w:lastRow="0" w:firstColumn="1" w:lastColumn="0" w:noHBand="0" w:noVBand="1"/>
      </w:tblPr>
      <w:tblGrid>
        <w:gridCol w:w="3571"/>
        <w:gridCol w:w="844"/>
        <w:gridCol w:w="694"/>
        <w:gridCol w:w="694"/>
        <w:gridCol w:w="694"/>
        <w:gridCol w:w="733"/>
        <w:gridCol w:w="708"/>
        <w:gridCol w:w="594"/>
      </w:tblGrid>
      <w:tr w:rsidRPr="005F1ABE" w:rsidR="00040FAF" w:rsidTr="00040FAF" w14:paraId="53A43B86" w14:textId="77777777">
        <w:trPr>
          <w:trHeight w:val="255"/>
        </w:trPr>
        <w:tc>
          <w:tcPr>
            <w:tcW w:w="8532" w:type="dxa"/>
            <w:gridSpan w:val="8"/>
            <w:tcBorders>
              <w:top w:val="nil"/>
              <w:left w:val="nil"/>
              <w:bottom w:val="single" w:color="auto" w:sz="12" w:space="0"/>
              <w:right w:val="nil"/>
            </w:tcBorders>
            <w:noWrap/>
            <w:vAlign w:val="center"/>
            <w:hideMark/>
          </w:tcPr>
          <w:p w:rsidRPr="00BC5936" w:rsidR="00040FAF" w:rsidP="00040FAF" w:rsidRDefault="00040FAF" w14:paraId="15CC2496" w14:textId="77777777">
            <w:pPr>
              <w:rPr>
                <w:b/>
                <w:sz w:val="18"/>
                <w:szCs w:val="18"/>
              </w:rPr>
            </w:pPr>
            <w:r w:rsidRPr="00BC5936">
              <w:rPr>
                <w:b/>
                <w:bCs/>
                <w:sz w:val="18"/>
                <w:szCs w:val="18"/>
              </w:rPr>
              <w:t>Tabel 2: Kerngegevens overheidsfinanciën 2025-2031</w:t>
            </w:r>
            <w:r w:rsidRPr="00BC5936">
              <w:rPr>
                <w:sz w:val="18"/>
                <w:szCs w:val="18"/>
              </w:rPr>
              <w:t> </w:t>
            </w:r>
          </w:p>
        </w:tc>
      </w:tr>
      <w:tr w:rsidRPr="005F1ABE" w:rsidR="00040FAF" w:rsidTr="00040FAF" w14:paraId="084F19E3" w14:textId="77777777">
        <w:trPr>
          <w:trHeight w:val="240"/>
        </w:trPr>
        <w:tc>
          <w:tcPr>
            <w:tcW w:w="3571" w:type="dxa"/>
            <w:tcBorders>
              <w:top w:val="single" w:color="auto" w:sz="12" w:space="0"/>
              <w:left w:val="nil"/>
              <w:bottom w:val="single" w:color="auto" w:sz="8" w:space="0"/>
              <w:right w:val="nil"/>
            </w:tcBorders>
            <w:noWrap/>
            <w:vAlign w:val="center"/>
            <w:hideMark/>
          </w:tcPr>
          <w:p w:rsidRPr="00BC5936" w:rsidR="00040FAF" w:rsidP="00040FAF" w:rsidRDefault="00040FAF" w14:paraId="5E8C63E3" w14:textId="77777777">
            <w:pPr>
              <w:rPr>
                <w:b/>
                <w:bCs/>
                <w:sz w:val="18"/>
                <w:szCs w:val="18"/>
              </w:rPr>
            </w:pPr>
            <w:r w:rsidRPr="00BC5936">
              <w:rPr>
                <w:b/>
                <w:bCs/>
                <w:sz w:val="18"/>
                <w:szCs w:val="18"/>
              </w:rPr>
              <w:t>(</w:t>
            </w:r>
            <w:proofErr w:type="gramStart"/>
            <w:r w:rsidRPr="00BC5936">
              <w:rPr>
                <w:b/>
                <w:bCs/>
                <w:sz w:val="18"/>
                <w:szCs w:val="18"/>
              </w:rPr>
              <w:t>in</w:t>
            </w:r>
            <w:proofErr w:type="gramEnd"/>
            <w:r w:rsidRPr="00BC5936">
              <w:rPr>
                <w:b/>
                <w:bCs/>
                <w:sz w:val="18"/>
                <w:szCs w:val="18"/>
              </w:rPr>
              <w:t xml:space="preserve"> % bbp)</w:t>
            </w:r>
          </w:p>
        </w:tc>
        <w:tc>
          <w:tcPr>
            <w:tcW w:w="844" w:type="dxa"/>
            <w:tcBorders>
              <w:top w:val="single" w:color="auto" w:sz="12" w:space="0"/>
              <w:left w:val="nil"/>
              <w:bottom w:val="single" w:color="auto" w:sz="8" w:space="0"/>
              <w:right w:val="nil"/>
            </w:tcBorders>
            <w:noWrap/>
            <w:vAlign w:val="center"/>
            <w:hideMark/>
          </w:tcPr>
          <w:p w:rsidRPr="00BC5936" w:rsidR="00040FAF" w:rsidP="00040FAF" w:rsidRDefault="00040FAF" w14:paraId="4AE0DDFF" w14:textId="77777777">
            <w:pPr>
              <w:jc w:val="right"/>
              <w:rPr>
                <w:b/>
                <w:sz w:val="18"/>
                <w:szCs w:val="18"/>
              </w:rPr>
            </w:pPr>
            <w:r w:rsidRPr="00BC5936">
              <w:rPr>
                <w:b/>
                <w:sz w:val="18"/>
                <w:szCs w:val="18"/>
              </w:rPr>
              <w:t>2025</w:t>
            </w:r>
          </w:p>
        </w:tc>
        <w:tc>
          <w:tcPr>
            <w:tcW w:w="694" w:type="dxa"/>
            <w:tcBorders>
              <w:top w:val="single" w:color="auto" w:sz="12" w:space="0"/>
              <w:left w:val="nil"/>
              <w:bottom w:val="single" w:color="auto" w:sz="8" w:space="0"/>
              <w:right w:val="nil"/>
            </w:tcBorders>
            <w:noWrap/>
            <w:vAlign w:val="center"/>
            <w:hideMark/>
          </w:tcPr>
          <w:p w:rsidRPr="00BC5936" w:rsidR="00040FAF" w:rsidP="00040FAF" w:rsidRDefault="00040FAF" w14:paraId="2FB15402" w14:textId="77777777">
            <w:pPr>
              <w:jc w:val="right"/>
              <w:rPr>
                <w:b/>
                <w:sz w:val="18"/>
                <w:szCs w:val="18"/>
              </w:rPr>
            </w:pPr>
            <w:r w:rsidRPr="00BC5936">
              <w:rPr>
                <w:b/>
                <w:sz w:val="18"/>
                <w:szCs w:val="18"/>
              </w:rPr>
              <w:t>2026</w:t>
            </w:r>
          </w:p>
        </w:tc>
        <w:tc>
          <w:tcPr>
            <w:tcW w:w="694" w:type="dxa"/>
            <w:tcBorders>
              <w:top w:val="single" w:color="auto" w:sz="12" w:space="0"/>
              <w:left w:val="nil"/>
              <w:bottom w:val="single" w:color="auto" w:sz="8" w:space="0"/>
              <w:right w:val="nil"/>
            </w:tcBorders>
            <w:noWrap/>
            <w:vAlign w:val="center"/>
            <w:hideMark/>
          </w:tcPr>
          <w:p w:rsidRPr="00BC5936" w:rsidR="00040FAF" w:rsidP="00040FAF" w:rsidRDefault="00040FAF" w14:paraId="40F0986F" w14:textId="77777777">
            <w:pPr>
              <w:jc w:val="right"/>
              <w:rPr>
                <w:b/>
                <w:sz w:val="18"/>
                <w:szCs w:val="18"/>
              </w:rPr>
            </w:pPr>
            <w:r w:rsidRPr="00BC5936">
              <w:rPr>
                <w:b/>
                <w:sz w:val="18"/>
                <w:szCs w:val="18"/>
              </w:rPr>
              <w:t>2027</w:t>
            </w:r>
          </w:p>
        </w:tc>
        <w:tc>
          <w:tcPr>
            <w:tcW w:w="694" w:type="dxa"/>
            <w:tcBorders>
              <w:top w:val="single" w:color="auto" w:sz="12" w:space="0"/>
              <w:left w:val="nil"/>
              <w:bottom w:val="single" w:color="auto" w:sz="8" w:space="0"/>
              <w:right w:val="nil"/>
            </w:tcBorders>
            <w:noWrap/>
            <w:vAlign w:val="center"/>
            <w:hideMark/>
          </w:tcPr>
          <w:p w:rsidRPr="00BC5936" w:rsidR="00040FAF" w:rsidP="00040FAF" w:rsidRDefault="00040FAF" w14:paraId="6914ADA4" w14:textId="77777777">
            <w:pPr>
              <w:jc w:val="right"/>
              <w:rPr>
                <w:b/>
                <w:sz w:val="18"/>
                <w:szCs w:val="18"/>
              </w:rPr>
            </w:pPr>
            <w:r w:rsidRPr="00BC5936">
              <w:rPr>
                <w:b/>
                <w:sz w:val="18"/>
                <w:szCs w:val="18"/>
              </w:rPr>
              <w:t>2028</w:t>
            </w:r>
          </w:p>
        </w:tc>
        <w:tc>
          <w:tcPr>
            <w:tcW w:w="733" w:type="dxa"/>
            <w:tcBorders>
              <w:top w:val="single" w:color="auto" w:sz="12" w:space="0"/>
              <w:left w:val="nil"/>
              <w:bottom w:val="single" w:color="auto" w:sz="8" w:space="0"/>
              <w:right w:val="nil"/>
            </w:tcBorders>
            <w:noWrap/>
            <w:vAlign w:val="center"/>
            <w:hideMark/>
          </w:tcPr>
          <w:p w:rsidRPr="00BC5936" w:rsidR="00040FAF" w:rsidP="00040FAF" w:rsidRDefault="00040FAF" w14:paraId="59566C2E" w14:textId="77777777">
            <w:pPr>
              <w:jc w:val="right"/>
              <w:rPr>
                <w:b/>
                <w:sz w:val="18"/>
                <w:szCs w:val="18"/>
              </w:rPr>
            </w:pPr>
            <w:r w:rsidRPr="00BC5936">
              <w:rPr>
                <w:b/>
                <w:sz w:val="18"/>
                <w:szCs w:val="18"/>
              </w:rPr>
              <w:t>2029</w:t>
            </w:r>
          </w:p>
        </w:tc>
        <w:tc>
          <w:tcPr>
            <w:tcW w:w="708" w:type="dxa"/>
            <w:tcBorders>
              <w:top w:val="single" w:color="auto" w:sz="12" w:space="0"/>
              <w:left w:val="nil"/>
              <w:bottom w:val="single" w:color="auto" w:sz="8" w:space="0"/>
              <w:right w:val="nil"/>
            </w:tcBorders>
            <w:noWrap/>
            <w:vAlign w:val="center"/>
            <w:hideMark/>
          </w:tcPr>
          <w:p w:rsidRPr="00BC5936" w:rsidR="00040FAF" w:rsidP="00040FAF" w:rsidRDefault="00040FAF" w14:paraId="6381075C" w14:textId="77777777">
            <w:pPr>
              <w:jc w:val="right"/>
              <w:rPr>
                <w:b/>
                <w:sz w:val="18"/>
                <w:szCs w:val="18"/>
              </w:rPr>
            </w:pPr>
            <w:r w:rsidRPr="00BC5936">
              <w:rPr>
                <w:b/>
                <w:sz w:val="18"/>
                <w:szCs w:val="18"/>
              </w:rPr>
              <w:t>2030</w:t>
            </w:r>
          </w:p>
        </w:tc>
        <w:tc>
          <w:tcPr>
            <w:tcW w:w="594" w:type="dxa"/>
            <w:tcBorders>
              <w:top w:val="single" w:color="auto" w:sz="12" w:space="0"/>
              <w:left w:val="nil"/>
              <w:bottom w:val="single" w:color="auto" w:sz="8" w:space="0"/>
              <w:right w:val="nil"/>
            </w:tcBorders>
            <w:noWrap/>
            <w:vAlign w:val="center"/>
            <w:hideMark/>
          </w:tcPr>
          <w:p w:rsidRPr="00BC5936" w:rsidR="00040FAF" w:rsidP="00040FAF" w:rsidRDefault="00040FAF" w14:paraId="68044EC7" w14:textId="77777777">
            <w:pPr>
              <w:jc w:val="right"/>
              <w:rPr>
                <w:b/>
                <w:sz w:val="18"/>
                <w:szCs w:val="18"/>
              </w:rPr>
            </w:pPr>
            <w:r w:rsidRPr="00BC5936">
              <w:rPr>
                <w:b/>
                <w:sz w:val="18"/>
                <w:szCs w:val="18"/>
              </w:rPr>
              <w:t>2031</w:t>
            </w:r>
          </w:p>
        </w:tc>
      </w:tr>
      <w:tr w:rsidRPr="005F1ABE" w:rsidR="00040FAF" w:rsidTr="00040FAF" w14:paraId="187F04E4" w14:textId="77777777">
        <w:trPr>
          <w:trHeight w:val="240"/>
        </w:trPr>
        <w:tc>
          <w:tcPr>
            <w:tcW w:w="3571" w:type="dxa"/>
            <w:tcBorders>
              <w:top w:val="single" w:color="auto" w:sz="8" w:space="0"/>
            </w:tcBorders>
            <w:noWrap/>
            <w:vAlign w:val="center"/>
            <w:hideMark/>
          </w:tcPr>
          <w:p w:rsidRPr="00BC5936" w:rsidR="00040FAF" w:rsidP="00040FAF" w:rsidRDefault="00040FAF" w14:paraId="5DA0DB07" w14:textId="77777777">
            <w:pPr>
              <w:rPr>
                <w:sz w:val="18"/>
                <w:szCs w:val="18"/>
              </w:rPr>
            </w:pPr>
            <w:r w:rsidRPr="00BC5936">
              <w:rPr>
                <w:sz w:val="18"/>
                <w:szCs w:val="18"/>
              </w:rPr>
              <w:t>Feitelijk EMU-saldo</w:t>
            </w:r>
          </w:p>
        </w:tc>
        <w:tc>
          <w:tcPr>
            <w:tcW w:w="844" w:type="dxa"/>
            <w:tcBorders>
              <w:top w:val="single" w:color="auto" w:sz="8" w:space="0"/>
            </w:tcBorders>
            <w:noWrap/>
            <w:vAlign w:val="center"/>
            <w:hideMark/>
          </w:tcPr>
          <w:p w:rsidRPr="00BC5936" w:rsidR="00040FAF" w:rsidP="00040FAF" w:rsidRDefault="00040FAF" w14:paraId="7EFF72E8" w14:textId="77777777">
            <w:pPr>
              <w:jc w:val="right"/>
              <w:rPr>
                <w:sz w:val="18"/>
                <w:szCs w:val="18"/>
              </w:rPr>
            </w:pPr>
            <w:r w:rsidRPr="00BC5936">
              <w:rPr>
                <w:sz w:val="18"/>
                <w:szCs w:val="18"/>
              </w:rPr>
              <w:t>-1,6</w:t>
            </w:r>
          </w:p>
        </w:tc>
        <w:tc>
          <w:tcPr>
            <w:tcW w:w="694" w:type="dxa"/>
            <w:tcBorders>
              <w:top w:val="single" w:color="auto" w:sz="8" w:space="0"/>
            </w:tcBorders>
            <w:noWrap/>
            <w:vAlign w:val="center"/>
            <w:hideMark/>
          </w:tcPr>
          <w:p w:rsidRPr="00BC5936" w:rsidR="00040FAF" w:rsidP="00040FAF" w:rsidRDefault="00040FAF" w14:paraId="28E8268B" w14:textId="77777777">
            <w:pPr>
              <w:jc w:val="right"/>
              <w:rPr>
                <w:sz w:val="18"/>
                <w:szCs w:val="18"/>
              </w:rPr>
            </w:pPr>
            <w:r w:rsidRPr="00BC5936">
              <w:rPr>
                <w:sz w:val="18"/>
                <w:szCs w:val="18"/>
              </w:rPr>
              <w:t>-2,6</w:t>
            </w:r>
          </w:p>
        </w:tc>
        <w:tc>
          <w:tcPr>
            <w:tcW w:w="694" w:type="dxa"/>
            <w:tcBorders>
              <w:top w:val="single" w:color="auto" w:sz="8" w:space="0"/>
            </w:tcBorders>
            <w:noWrap/>
            <w:vAlign w:val="center"/>
            <w:hideMark/>
          </w:tcPr>
          <w:p w:rsidRPr="00BC5936" w:rsidR="00040FAF" w:rsidP="00040FAF" w:rsidRDefault="00040FAF" w14:paraId="6D1B6A80" w14:textId="77777777">
            <w:pPr>
              <w:jc w:val="right"/>
              <w:rPr>
                <w:sz w:val="18"/>
                <w:szCs w:val="18"/>
              </w:rPr>
            </w:pPr>
            <w:r w:rsidRPr="00BC5936">
              <w:rPr>
                <w:sz w:val="18"/>
                <w:szCs w:val="18"/>
              </w:rPr>
              <w:t>-1,9</w:t>
            </w:r>
          </w:p>
        </w:tc>
        <w:tc>
          <w:tcPr>
            <w:tcW w:w="694" w:type="dxa"/>
            <w:tcBorders>
              <w:top w:val="single" w:color="auto" w:sz="8" w:space="0"/>
            </w:tcBorders>
            <w:noWrap/>
            <w:vAlign w:val="center"/>
            <w:hideMark/>
          </w:tcPr>
          <w:p w:rsidRPr="00BC5936" w:rsidR="00040FAF" w:rsidP="00040FAF" w:rsidRDefault="00040FAF" w14:paraId="4FD19FB1" w14:textId="77777777">
            <w:pPr>
              <w:jc w:val="right"/>
              <w:rPr>
                <w:sz w:val="18"/>
                <w:szCs w:val="18"/>
              </w:rPr>
            </w:pPr>
            <w:r w:rsidRPr="00BC5936">
              <w:rPr>
                <w:sz w:val="18"/>
                <w:szCs w:val="18"/>
              </w:rPr>
              <w:t>-1,7</w:t>
            </w:r>
          </w:p>
        </w:tc>
        <w:tc>
          <w:tcPr>
            <w:tcW w:w="733" w:type="dxa"/>
            <w:tcBorders>
              <w:top w:val="single" w:color="auto" w:sz="8" w:space="0"/>
            </w:tcBorders>
            <w:noWrap/>
            <w:vAlign w:val="center"/>
            <w:hideMark/>
          </w:tcPr>
          <w:p w:rsidRPr="00BC5936" w:rsidR="00040FAF" w:rsidP="00040FAF" w:rsidRDefault="00040FAF" w14:paraId="37E8386C" w14:textId="77777777">
            <w:pPr>
              <w:jc w:val="right"/>
              <w:rPr>
                <w:sz w:val="18"/>
                <w:szCs w:val="18"/>
              </w:rPr>
            </w:pPr>
            <w:r w:rsidRPr="00BC5936">
              <w:rPr>
                <w:sz w:val="18"/>
                <w:szCs w:val="18"/>
              </w:rPr>
              <w:t>-2,0</w:t>
            </w:r>
          </w:p>
        </w:tc>
        <w:tc>
          <w:tcPr>
            <w:tcW w:w="708" w:type="dxa"/>
            <w:tcBorders>
              <w:top w:val="single" w:color="auto" w:sz="8" w:space="0"/>
            </w:tcBorders>
            <w:noWrap/>
            <w:vAlign w:val="center"/>
            <w:hideMark/>
          </w:tcPr>
          <w:p w:rsidRPr="00BC5936" w:rsidR="00040FAF" w:rsidP="00040FAF" w:rsidRDefault="00040FAF" w14:paraId="62C94905" w14:textId="77777777">
            <w:pPr>
              <w:jc w:val="right"/>
              <w:rPr>
                <w:sz w:val="18"/>
                <w:szCs w:val="18"/>
              </w:rPr>
            </w:pPr>
            <w:r w:rsidRPr="00BC5936">
              <w:rPr>
                <w:sz w:val="18"/>
                <w:szCs w:val="18"/>
              </w:rPr>
              <w:t>-2,2</w:t>
            </w:r>
          </w:p>
        </w:tc>
        <w:tc>
          <w:tcPr>
            <w:tcW w:w="594" w:type="dxa"/>
            <w:tcBorders>
              <w:top w:val="single" w:color="auto" w:sz="8" w:space="0"/>
            </w:tcBorders>
            <w:noWrap/>
            <w:vAlign w:val="center"/>
            <w:hideMark/>
          </w:tcPr>
          <w:p w:rsidRPr="00BC5936" w:rsidR="00040FAF" w:rsidP="00040FAF" w:rsidRDefault="00040FAF" w14:paraId="5F033116" w14:textId="77777777">
            <w:pPr>
              <w:jc w:val="right"/>
              <w:rPr>
                <w:sz w:val="18"/>
                <w:szCs w:val="18"/>
              </w:rPr>
            </w:pPr>
            <w:r w:rsidRPr="00BC5936">
              <w:rPr>
                <w:sz w:val="18"/>
                <w:szCs w:val="18"/>
              </w:rPr>
              <w:t>-2,4</w:t>
            </w:r>
          </w:p>
        </w:tc>
      </w:tr>
      <w:tr w:rsidRPr="005F1ABE" w:rsidR="00040FAF" w:rsidTr="00040FAF" w14:paraId="0A82202A" w14:textId="77777777">
        <w:trPr>
          <w:trHeight w:val="240"/>
        </w:trPr>
        <w:tc>
          <w:tcPr>
            <w:tcW w:w="3571" w:type="dxa"/>
            <w:noWrap/>
            <w:vAlign w:val="center"/>
            <w:hideMark/>
          </w:tcPr>
          <w:p w:rsidRPr="00BC5936" w:rsidR="00040FAF" w:rsidP="00040FAF" w:rsidRDefault="00040FAF" w14:paraId="5BEB67E2" w14:textId="77777777">
            <w:pPr>
              <w:rPr>
                <w:sz w:val="18"/>
                <w:szCs w:val="18"/>
              </w:rPr>
            </w:pPr>
            <w:r w:rsidRPr="00BC5936">
              <w:rPr>
                <w:sz w:val="18"/>
                <w:szCs w:val="18"/>
              </w:rPr>
              <w:t xml:space="preserve">  </w:t>
            </w:r>
            <w:proofErr w:type="gramStart"/>
            <w:r w:rsidRPr="00BC5936">
              <w:rPr>
                <w:sz w:val="18"/>
                <w:szCs w:val="18"/>
              </w:rPr>
              <w:t>w</w:t>
            </w:r>
            <w:r>
              <w:rPr>
                <w:sz w:val="18"/>
                <w:szCs w:val="18"/>
              </w:rPr>
              <w:t>aarvan</w:t>
            </w:r>
            <w:proofErr w:type="gramEnd"/>
            <w:r w:rsidRPr="00BC5936">
              <w:rPr>
                <w:sz w:val="18"/>
                <w:szCs w:val="18"/>
              </w:rPr>
              <w:t xml:space="preserve"> saldo </w:t>
            </w:r>
            <w:proofErr w:type="spellStart"/>
            <w:r w:rsidRPr="00BC5936">
              <w:rPr>
                <w:sz w:val="18"/>
                <w:szCs w:val="18"/>
              </w:rPr>
              <w:t>mede-overheden</w:t>
            </w:r>
            <w:proofErr w:type="spellEnd"/>
          </w:p>
        </w:tc>
        <w:tc>
          <w:tcPr>
            <w:tcW w:w="844" w:type="dxa"/>
            <w:noWrap/>
            <w:vAlign w:val="center"/>
            <w:hideMark/>
          </w:tcPr>
          <w:p w:rsidRPr="00BC5936" w:rsidR="00040FAF" w:rsidP="00040FAF" w:rsidRDefault="00040FAF" w14:paraId="70FD26C2" w14:textId="77777777">
            <w:pPr>
              <w:jc w:val="right"/>
              <w:rPr>
                <w:sz w:val="18"/>
                <w:szCs w:val="18"/>
              </w:rPr>
            </w:pPr>
            <w:r w:rsidRPr="00BC5936">
              <w:rPr>
                <w:sz w:val="18"/>
                <w:szCs w:val="18"/>
              </w:rPr>
              <w:t>-0,2</w:t>
            </w:r>
          </w:p>
        </w:tc>
        <w:tc>
          <w:tcPr>
            <w:tcW w:w="694" w:type="dxa"/>
            <w:noWrap/>
            <w:vAlign w:val="center"/>
            <w:hideMark/>
          </w:tcPr>
          <w:p w:rsidRPr="00BC5936" w:rsidR="00040FAF" w:rsidP="00040FAF" w:rsidRDefault="00040FAF" w14:paraId="3AC4E2A1" w14:textId="77777777">
            <w:pPr>
              <w:jc w:val="right"/>
              <w:rPr>
                <w:sz w:val="18"/>
                <w:szCs w:val="18"/>
              </w:rPr>
            </w:pPr>
            <w:r w:rsidRPr="00BC5936">
              <w:rPr>
                <w:sz w:val="18"/>
                <w:szCs w:val="18"/>
              </w:rPr>
              <w:t>-0,3</w:t>
            </w:r>
          </w:p>
        </w:tc>
        <w:tc>
          <w:tcPr>
            <w:tcW w:w="694" w:type="dxa"/>
            <w:noWrap/>
            <w:vAlign w:val="center"/>
            <w:hideMark/>
          </w:tcPr>
          <w:p w:rsidRPr="00BC5936" w:rsidR="00040FAF" w:rsidP="00040FAF" w:rsidRDefault="00040FAF" w14:paraId="2E370199" w14:textId="77777777">
            <w:pPr>
              <w:jc w:val="right"/>
              <w:rPr>
                <w:sz w:val="18"/>
                <w:szCs w:val="18"/>
              </w:rPr>
            </w:pPr>
            <w:r w:rsidRPr="00BC5936">
              <w:rPr>
                <w:sz w:val="18"/>
                <w:szCs w:val="18"/>
              </w:rPr>
              <w:t>-0,2</w:t>
            </w:r>
          </w:p>
        </w:tc>
        <w:tc>
          <w:tcPr>
            <w:tcW w:w="694" w:type="dxa"/>
            <w:noWrap/>
            <w:vAlign w:val="center"/>
            <w:hideMark/>
          </w:tcPr>
          <w:p w:rsidRPr="00BC5936" w:rsidR="00040FAF" w:rsidP="00040FAF" w:rsidRDefault="00040FAF" w14:paraId="0F450C86" w14:textId="77777777">
            <w:pPr>
              <w:jc w:val="right"/>
              <w:rPr>
                <w:sz w:val="18"/>
                <w:szCs w:val="18"/>
              </w:rPr>
            </w:pPr>
            <w:r w:rsidRPr="00BC5936">
              <w:rPr>
                <w:sz w:val="18"/>
                <w:szCs w:val="18"/>
              </w:rPr>
              <w:t>-0,2</w:t>
            </w:r>
          </w:p>
        </w:tc>
        <w:tc>
          <w:tcPr>
            <w:tcW w:w="733" w:type="dxa"/>
            <w:noWrap/>
            <w:vAlign w:val="center"/>
            <w:hideMark/>
          </w:tcPr>
          <w:p w:rsidRPr="00BC5936" w:rsidR="00040FAF" w:rsidP="00040FAF" w:rsidRDefault="00040FAF" w14:paraId="66FE1E29" w14:textId="77777777">
            <w:pPr>
              <w:jc w:val="right"/>
              <w:rPr>
                <w:sz w:val="18"/>
                <w:szCs w:val="18"/>
              </w:rPr>
            </w:pPr>
            <w:r w:rsidRPr="00BC5936">
              <w:rPr>
                <w:sz w:val="18"/>
                <w:szCs w:val="18"/>
              </w:rPr>
              <w:t>-0,1</w:t>
            </w:r>
          </w:p>
        </w:tc>
        <w:tc>
          <w:tcPr>
            <w:tcW w:w="708" w:type="dxa"/>
            <w:noWrap/>
            <w:vAlign w:val="center"/>
            <w:hideMark/>
          </w:tcPr>
          <w:p w:rsidRPr="00BC5936" w:rsidR="00040FAF" w:rsidP="00040FAF" w:rsidRDefault="00040FAF" w14:paraId="3DD7EE8D" w14:textId="77777777">
            <w:pPr>
              <w:jc w:val="right"/>
              <w:rPr>
                <w:sz w:val="18"/>
                <w:szCs w:val="18"/>
              </w:rPr>
            </w:pPr>
            <w:r w:rsidRPr="00BC5936">
              <w:rPr>
                <w:sz w:val="18"/>
                <w:szCs w:val="18"/>
              </w:rPr>
              <w:t>-0,1</w:t>
            </w:r>
          </w:p>
        </w:tc>
        <w:tc>
          <w:tcPr>
            <w:tcW w:w="594" w:type="dxa"/>
            <w:noWrap/>
            <w:vAlign w:val="center"/>
            <w:hideMark/>
          </w:tcPr>
          <w:p w:rsidRPr="00BC5936" w:rsidR="00040FAF" w:rsidP="00040FAF" w:rsidRDefault="00040FAF" w14:paraId="1FE76108" w14:textId="77777777">
            <w:pPr>
              <w:jc w:val="right"/>
              <w:rPr>
                <w:sz w:val="18"/>
                <w:szCs w:val="18"/>
              </w:rPr>
            </w:pPr>
            <w:r w:rsidRPr="00BC5936">
              <w:rPr>
                <w:sz w:val="18"/>
                <w:szCs w:val="18"/>
              </w:rPr>
              <w:t>-0,1</w:t>
            </w:r>
          </w:p>
        </w:tc>
      </w:tr>
      <w:tr w:rsidRPr="005F1ABE" w:rsidR="00040FAF" w:rsidTr="00040FAF" w14:paraId="26231FE2" w14:textId="77777777">
        <w:trPr>
          <w:trHeight w:val="240"/>
        </w:trPr>
        <w:tc>
          <w:tcPr>
            <w:tcW w:w="3571" w:type="dxa"/>
            <w:noWrap/>
            <w:vAlign w:val="center"/>
            <w:hideMark/>
          </w:tcPr>
          <w:p w:rsidRPr="00BC5936" w:rsidR="00040FAF" w:rsidP="00040FAF" w:rsidRDefault="00040FAF" w14:paraId="3D189DD6" w14:textId="77777777">
            <w:pPr>
              <w:rPr>
                <w:sz w:val="18"/>
                <w:szCs w:val="18"/>
              </w:rPr>
            </w:pPr>
            <w:r w:rsidRPr="00BC5936">
              <w:rPr>
                <w:sz w:val="18"/>
                <w:szCs w:val="18"/>
              </w:rPr>
              <w:t>EMU-saldo (structureel)</w:t>
            </w:r>
          </w:p>
        </w:tc>
        <w:tc>
          <w:tcPr>
            <w:tcW w:w="844" w:type="dxa"/>
            <w:noWrap/>
            <w:vAlign w:val="center"/>
            <w:hideMark/>
          </w:tcPr>
          <w:p w:rsidRPr="00BC5936" w:rsidR="00040FAF" w:rsidP="00040FAF" w:rsidRDefault="00040FAF" w14:paraId="746BE585" w14:textId="77777777">
            <w:pPr>
              <w:jc w:val="right"/>
              <w:rPr>
                <w:sz w:val="18"/>
                <w:szCs w:val="18"/>
              </w:rPr>
            </w:pPr>
            <w:r w:rsidRPr="00BC5936">
              <w:rPr>
                <w:sz w:val="18"/>
                <w:szCs w:val="18"/>
              </w:rPr>
              <w:t>-1,0</w:t>
            </w:r>
          </w:p>
        </w:tc>
        <w:tc>
          <w:tcPr>
            <w:tcW w:w="694" w:type="dxa"/>
            <w:noWrap/>
            <w:vAlign w:val="center"/>
            <w:hideMark/>
          </w:tcPr>
          <w:p w:rsidRPr="00BC5936" w:rsidR="00040FAF" w:rsidP="00040FAF" w:rsidRDefault="00040FAF" w14:paraId="6A5103CB" w14:textId="77777777">
            <w:pPr>
              <w:jc w:val="right"/>
              <w:rPr>
                <w:sz w:val="18"/>
                <w:szCs w:val="18"/>
              </w:rPr>
            </w:pPr>
            <w:r w:rsidRPr="00BC5936">
              <w:rPr>
                <w:sz w:val="18"/>
                <w:szCs w:val="18"/>
              </w:rPr>
              <w:t>-1,4</w:t>
            </w:r>
          </w:p>
        </w:tc>
        <w:tc>
          <w:tcPr>
            <w:tcW w:w="694" w:type="dxa"/>
            <w:noWrap/>
            <w:vAlign w:val="center"/>
            <w:hideMark/>
          </w:tcPr>
          <w:p w:rsidRPr="00BC5936" w:rsidR="00040FAF" w:rsidP="00040FAF" w:rsidRDefault="00040FAF" w14:paraId="410B72EA" w14:textId="77777777">
            <w:pPr>
              <w:jc w:val="right"/>
              <w:rPr>
                <w:sz w:val="18"/>
                <w:szCs w:val="18"/>
              </w:rPr>
            </w:pPr>
            <w:r w:rsidRPr="00BC5936">
              <w:rPr>
                <w:sz w:val="18"/>
                <w:szCs w:val="18"/>
              </w:rPr>
              <w:t>-1,3</w:t>
            </w:r>
          </w:p>
        </w:tc>
        <w:tc>
          <w:tcPr>
            <w:tcW w:w="694" w:type="dxa"/>
            <w:noWrap/>
            <w:vAlign w:val="center"/>
            <w:hideMark/>
          </w:tcPr>
          <w:p w:rsidRPr="00BC5936" w:rsidR="00040FAF" w:rsidP="00040FAF" w:rsidRDefault="00040FAF" w14:paraId="6F44519F" w14:textId="77777777">
            <w:pPr>
              <w:jc w:val="right"/>
              <w:rPr>
                <w:sz w:val="18"/>
                <w:szCs w:val="18"/>
              </w:rPr>
            </w:pPr>
            <w:r w:rsidRPr="00BC5936">
              <w:rPr>
                <w:sz w:val="18"/>
                <w:szCs w:val="18"/>
              </w:rPr>
              <w:t>-1,2</w:t>
            </w:r>
          </w:p>
        </w:tc>
        <w:tc>
          <w:tcPr>
            <w:tcW w:w="733" w:type="dxa"/>
            <w:noWrap/>
            <w:vAlign w:val="center"/>
            <w:hideMark/>
          </w:tcPr>
          <w:p w:rsidRPr="00BC5936" w:rsidR="00040FAF" w:rsidP="00040FAF" w:rsidRDefault="00040FAF" w14:paraId="2AFC4011" w14:textId="77777777">
            <w:pPr>
              <w:jc w:val="right"/>
              <w:rPr>
                <w:sz w:val="18"/>
                <w:szCs w:val="18"/>
              </w:rPr>
            </w:pPr>
            <w:r w:rsidRPr="00BC5936">
              <w:rPr>
                <w:sz w:val="18"/>
                <w:szCs w:val="18"/>
              </w:rPr>
              <w:t>-1,4</w:t>
            </w:r>
          </w:p>
        </w:tc>
        <w:tc>
          <w:tcPr>
            <w:tcW w:w="708" w:type="dxa"/>
            <w:noWrap/>
            <w:vAlign w:val="center"/>
            <w:hideMark/>
          </w:tcPr>
          <w:p w:rsidRPr="00BC5936" w:rsidR="00040FAF" w:rsidP="00040FAF" w:rsidRDefault="00040FAF" w14:paraId="2A329708" w14:textId="77777777">
            <w:pPr>
              <w:jc w:val="right"/>
              <w:rPr>
                <w:sz w:val="18"/>
                <w:szCs w:val="18"/>
              </w:rPr>
            </w:pPr>
            <w:r w:rsidRPr="00BC5936">
              <w:rPr>
                <w:sz w:val="18"/>
                <w:szCs w:val="18"/>
              </w:rPr>
              <w:t>-1,7</w:t>
            </w:r>
          </w:p>
        </w:tc>
        <w:tc>
          <w:tcPr>
            <w:tcW w:w="594" w:type="dxa"/>
            <w:noWrap/>
            <w:vAlign w:val="center"/>
            <w:hideMark/>
          </w:tcPr>
          <w:p w:rsidRPr="00BC5936" w:rsidR="00040FAF" w:rsidP="00040FAF" w:rsidRDefault="00040FAF" w14:paraId="71D8D2FD" w14:textId="77777777">
            <w:pPr>
              <w:jc w:val="right"/>
              <w:rPr>
                <w:sz w:val="18"/>
                <w:szCs w:val="18"/>
              </w:rPr>
            </w:pPr>
            <w:r w:rsidRPr="00BC5936">
              <w:rPr>
                <w:sz w:val="18"/>
                <w:szCs w:val="18"/>
              </w:rPr>
              <w:t>-1,8</w:t>
            </w:r>
          </w:p>
        </w:tc>
      </w:tr>
      <w:tr w:rsidRPr="005F1ABE" w:rsidR="00040FAF" w:rsidTr="00040FAF" w14:paraId="42CA3C46" w14:textId="77777777">
        <w:trPr>
          <w:trHeight w:val="240"/>
        </w:trPr>
        <w:tc>
          <w:tcPr>
            <w:tcW w:w="3571" w:type="dxa"/>
            <w:noWrap/>
            <w:vAlign w:val="center"/>
            <w:hideMark/>
          </w:tcPr>
          <w:p w:rsidRPr="00BC5936" w:rsidR="00040FAF" w:rsidP="00040FAF" w:rsidRDefault="00040FAF" w14:paraId="2C8AF134" w14:textId="77777777">
            <w:pPr>
              <w:rPr>
                <w:sz w:val="18"/>
                <w:szCs w:val="18"/>
              </w:rPr>
            </w:pPr>
            <w:r w:rsidRPr="00BC5936">
              <w:rPr>
                <w:sz w:val="18"/>
                <w:szCs w:val="18"/>
              </w:rPr>
              <w:t>EMU-schuld</w:t>
            </w:r>
          </w:p>
        </w:tc>
        <w:tc>
          <w:tcPr>
            <w:tcW w:w="844" w:type="dxa"/>
            <w:noWrap/>
            <w:vAlign w:val="center"/>
            <w:hideMark/>
          </w:tcPr>
          <w:p w:rsidRPr="00BC5936" w:rsidR="00040FAF" w:rsidP="00040FAF" w:rsidRDefault="00040FAF" w14:paraId="69541208" w14:textId="77777777">
            <w:pPr>
              <w:jc w:val="right"/>
              <w:rPr>
                <w:sz w:val="18"/>
                <w:szCs w:val="18"/>
              </w:rPr>
            </w:pPr>
            <w:r w:rsidRPr="00BC5936">
              <w:rPr>
                <w:sz w:val="18"/>
                <w:szCs w:val="18"/>
              </w:rPr>
              <w:t>42,6</w:t>
            </w:r>
          </w:p>
        </w:tc>
        <w:tc>
          <w:tcPr>
            <w:tcW w:w="694" w:type="dxa"/>
            <w:noWrap/>
            <w:vAlign w:val="center"/>
            <w:hideMark/>
          </w:tcPr>
          <w:p w:rsidRPr="00BC5936" w:rsidR="00040FAF" w:rsidP="00040FAF" w:rsidRDefault="00040FAF" w14:paraId="5944BB4F" w14:textId="77777777">
            <w:pPr>
              <w:jc w:val="right"/>
              <w:rPr>
                <w:sz w:val="18"/>
                <w:szCs w:val="18"/>
              </w:rPr>
            </w:pPr>
            <w:r w:rsidRPr="00BC5936">
              <w:rPr>
                <w:sz w:val="18"/>
                <w:szCs w:val="18"/>
              </w:rPr>
              <w:t>45,3</w:t>
            </w:r>
          </w:p>
        </w:tc>
        <w:tc>
          <w:tcPr>
            <w:tcW w:w="694" w:type="dxa"/>
            <w:noWrap/>
            <w:vAlign w:val="center"/>
            <w:hideMark/>
          </w:tcPr>
          <w:p w:rsidRPr="00BC5936" w:rsidR="00040FAF" w:rsidP="00040FAF" w:rsidRDefault="00040FAF" w14:paraId="3CD2AFF3" w14:textId="77777777">
            <w:pPr>
              <w:jc w:val="right"/>
              <w:rPr>
                <w:sz w:val="18"/>
                <w:szCs w:val="18"/>
              </w:rPr>
            </w:pPr>
            <w:r w:rsidRPr="00BC5936">
              <w:rPr>
                <w:sz w:val="18"/>
                <w:szCs w:val="18"/>
              </w:rPr>
              <w:t>45,3</w:t>
            </w:r>
          </w:p>
        </w:tc>
        <w:tc>
          <w:tcPr>
            <w:tcW w:w="694" w:type="dxa"/>
            <w:noWrap/>
            <w:vAlign w:val="center"/>
            <w:hideMark/>
          </w:tcPr>
          <w:p w:rsidRPr="00BC5936" w:rsidR="00040FAF" w:rsidP="00040FAF" w:rsidRDefault="00040FAF" w14:paraId="79B4C67B" w14:textId="77777777">
            <w:pPr>
              <w:jc w:val="right"/>
              <w:rPr>
                <w:sz w:val="18"/>
                <w:szCs w:val="18"/>
              </w:rPr>
            </w:pPr>
            <w:r w:rsidRPr="00BC5936">
              <w:rPr>
                <w:sz w:val="18"/>
                <w:szCs w:val="18"/>
              </w:rPr>
              <w:t>45,6</w:t>
            </w:r>
          </w:p>
        </w:tc>
        <w:tc>
          <w:tcPr>
            <w:tcW w:w="733" w:type="dxa"/>
            <w:noWrap/>
            <w:vAlign w:val="center"/>
            <w:hideMark/>
          </w:tcPr>
          <w:p w:rsidRPr="00BC5936" w:rsidR="00040FAF" w:rsidP="00040FAF" w:rsidRDefault="00040FAF" w14:paraId="272F4848" w14:textId="77777777">
            <w:pPr>
              <w:jc w:val="right"/>
              <w:rPr>
                <w:sz w:val="18"/>
                <w:szCs w:val="18"/>
              </w:rPr>
            </w:pPr>
            <w:r w:rsidRPr="00BC5936">
              <w:rPr>
                <w:sz w:val="18"/>
                <w:szCs w:val="18"/>
              </w:rPr>
              <w:t>46,0</w:t>
            </w:r>
          </w:p>
        </w:tc>
        <w:tc>
          <w:tcPr>
            <w:tcW w:w="708" w:type="dxa"/>
            <w:noWrap/>
            <w:vAlign w:val="center"/>
            <w:hideMark/>
          </w:tcPr>
          <w:p w:rsidRPr="00BC5936" w:rsidR="00040FAF" w:rsidP="00040FAF" w:rsidRDefault="00040FAF" w14:paraId="5BF4C5B3" w14:textId="77777777">
            <w:pPr>
              <w:jc w:val="right"/>
              <w:rPr>
                <w:sz w:val="18"/>
                <w:szCs w:val="18"/>
              </w:rPr>
            </w:pPr>
            <w:r w:rsidRPr="00BC5936">
              <w:rPr>
                <w:sz w:val="18"/>
                <w:szCs w:val="18"/>
              </w:rPr>
              <w:t>46,8</w:t>
            </w:r>
          </w:p>
        </w:tc>
        <w:tc>
          <w:tcPr>
            <w:tcW w:w="594" w:type="dxa"/>
            <w:noWrap/>
            <w:vAlign w:val="center"/>
            <w:hideMark/>
          </w:tcPr>
          <w:p w:rsidRPr="00BC5936" w:rsidR="00040FAF" w:rsidP="00040FAF" w:rsidRDefault="00040FAF" w14:paraId="5851522C" w14:textId="77777777">
            <w:pPr>
              <w:jc w:val="right"/>
              <w:rPr>
                <w:sz w:val="18"/>
                <w:szCs w:val="18"/>
              </w:rPr>
            </w:pPr>
            <w:r w:rsidRPr="00BC5936">
              <w:rPr>
                <w:sz w:val="18"/>
                <w:szCs w:val="18"/>
              </w:rPr>
              <w:t>47,8</w:t>
            </w:r>
          </w:p>
        </w:tc>
      </w:tr>
      <w:tr w:rsidRPr="005F1ABE" w:rsidR="00040FAF" w:rsidTr="00040FAF" w14:paraId="31A7235F" w14:textId="77777777">
        <w:trPr>
          <w:trHeight w:val="240"/>
        </w:trPr>
        <w:tc>
          <w:tcPr>
            <w:tcW w:w="3571" w:type="dxa"/>
            <w:noWrap/>
            <w:vAlign w:val="bottom"/>
            <w:hideMark/>
          </w:tcPr>
          <w:p w:rsidRPr="00BC5936" w:rsidR="00040FAF" w:rsidP="00040FAF" w:rsidRDefault="00040FAF" w14:paraId="63771E8C" w14:textId="77777777">
            <w:pPr>
              <w:rPr>
                <w:sz w:val="18"/>
                <w:szCs w:val="18"/>
              </w:rPr>
            </w:pPr>
          </w:p>
        </w:tc>
        <w:tc>
          <w:tcPr>
            <w:tcW w:w="844" w:type="dxa"/>
            <w:noWrap/>
            <w:vAlign w:val="bottom"/>
            <w:hideMark/>
          </w:tcPr>
          <w:p w:rsidRPr="00BC5936" w:rsidR="00040FAF" w:rsidP="00040FAF" w:rsidRDefault="00040FAF" w14:paraId="6BDBC7E2" w14:textId="77777777">
            <w:pPr>
              <w:jc w:val="right"/>
              <w:rPr>
                <w:sz w:val="18"/>
                <w:szCs w:val="18"/>
              </w:rPr>
            </w:pPr>
          </w:p>
        </w:tc>
        <w:tc>
          <w:tcPr>
            <w:tcW w:w="694" w:type="dxa"/>
            <w:noWrap/>
            <w:vAlign w:val="bottom"/>
            <w:hideMark/>
          </w:tcPr>
          <w:p w:rsidRPr="00BC5936" w:rsidR="00040FAF" w:rsidP="00040FAF" w:rsidRDefault="00040FAF" w14:paraId="69901FF0" w14:textId="77777777">
            <w:pPr>
              <w:jc w:val="right"/>
              <w:rPr>
                <w:sz w:val="18"/>
                <w:szCs w:val="18"/>
              </w:rPr>
            </w:pPr>
          </w:p>
        </w:tc>
        <w:tc>
          <w:tcPr>
            <w:tcW w:w="694" w:type="dxa"/>
            <w:noWrap/>
            <w:vAlign w:val="bottom"/>
            <w:hideMark/>
          </w:tcPr>
          <w:p w:rsidRPr="00BC5936" w:rsidR="00040FAF" w:rsidP="00040FAF" w:rsidRDefault="00040FAF" w14:paraId="59261752" w14:textId="77777777">
            <w:pPr>
              <w:jc w:val="right"/>
              <w:rPr>
                <w:sz w:val="18"/>
                <w:szCs w:val="18"/>
              </w:rPr>
            </w:pPr>
          </w:p>
        </w:tc>
        <w:tc>
          <w:tcPr>
            <w:tcW w:w="694" w:type="dxa"/>
            <w:noWrap/>
            <w:vAlign w:val="bottom"/>
            <w:hideMark/>
          </w:tcPr>
          <w:p w:rsidRPr="00BC5936" w:rsidR="00040FAF" w:rsidP="00040FAF" w:rsidRDefault="00040FAF" w14:paraId="25599C87" w14:textId="77777777">
            <w:pPr>
              <w:jc w:val="right"/>
              <w:rPr>
                <w:sz w:val="18"/>
                <w:szCs w:val="18"/>
              </w:rPr>
            </w:pPr>
          </w:p>
        </w:tc>
        <w:tc>
          <w:tcPr>
            <w:tcW w:w="733" w:type="dxa"/>
            <w:noWrap/>
            <w:vAlign w:val="bottom"/>
            <w:hideMark/>
          </w:tcPr>
          <w:p w:rsidRPr="00BC5936" w:rsidR="00040FAF" w:rsidP="00040FAF" w:rsidRDefault="00040FAF" w14:paraId="79D6A48E" w14:textId="77777777">
            <w:pPr>
              <w:jc w:val="right"/>
              <w:rPr>
                <w:sz w:val="18"/>
                <w:szCs w:val="18"/>
              </w:rPr>
            </w:pPr>
          </w:p>
        </w:tc>
        <w:tc>
          <w:tcPr>
            <w:tcW w:w="708" w:type="dxa"/>
            <w:noWrap/>
            <w:vAlign w:val="bottom"/>
            <w:hideMark/>
          </w:tcPr>
          <w:p w:rsidRPr="00BC5936" w:rsidR="00040FAF" w:rsidP="00040FAF" w:rsidRDefault="00040FAF" w14:paraId="3A73E0A9" w14:textId="77777777">
            <w:pPr>
              <w:jc w:val="right"/>
              <w:rPr>
                <w:sz w:val="18"/>
                <w:szCs w:val="18"/>
              </w:rPr>
            </w:pPr>
          </w:p>
        </w:tc>
        <w:tc>
          <w:tcPr>
            <w:tcW w:w="594" w:type="dxa"/>
            <w:noWrap/>
            <w:vAlign w:val="bottom"/>
            <w:hideMark/>
          </w:tcPr>
          <w:p w:rsidRPr="00BC5936" w:rsidR="00040FAF" w:rsidP="00040FAF" w:rsidRDefault="00040FAF" w14:paraId="0A7E7DA7" w14:textId="77777777">
            <w:pPr>
              <w:jc w:val="right"/>
              <w:rPr>
                <w:sz w:val="18"/>
                <w:szCs w:val="18"/>
              </w:rPr>
            </w:pPr>
          </w:p>
        </w:tc>
      </w:tr>
      <w:tr w:rsidRPr="005F1ABE" w:rsidR="00040FAF" w:rsidTr="00040FAF" w14:paraId="7F877E38" w14:textId="77777777">
        <w:trPr>
          <w:trHeight w:val="240"/>
        </w:trPr>
        <w:tc>
          <w:tcPr>
            <w:tcW w:w="3571" w:type="dxa"/>
            <w:noWrap/>
            <w:vAlign w:val="center"/>
            <w:hideMark/>
          </w:tcPr>
          <w:p w:rsidRPr="00BC5936" w:rsidR="00040FAF" w:rsidP="00040FAF" w:rsidRDefault="00040FAF" w14:paraId="7404B3B9" w14:textId="77777777">
            <w:pPr>
              <w:rPr>
                <w:sz w:val="18"/>
                <w:szCs w:val="18"/>
              </w:rPr>
            </w:pPr>
            <w:r w:rsidRPr="00BC5936">
              <w:rPr>
                <w:sz w:val="18"/>
                <w:szCs w:val="18"/>
              </w:rPr>
              <w:lastRenderedPageBreak/>
              <w:t>Collectieve uitgaven</w:t>
            </w:r>
          </w:p>
        </w:tc>
        <w:tc>
          <w:tcPr>
            <w:tcW w:w="844" w:type="dxa"/>
            <w:noWrap/>
            <w:vAlign w:val="center"/>
            <w:hideMark/>
          </w:tcPr>
          <w:p w:rsidRPr="00BC5936" w:rsidR="00040FAF" w:rsidP="00040FAF" w:rsidRDefault="00040FAF" w14:paraId="736FB398" w14:textId="77777777">
            <w:pPr>
              <w:jc w:val="right"/>
              <w:rPr>
                <w:sz w:val="18"/>
                <w:szCs w:val="18"/>
              </w:rPr>
            </w:pPr>
            <w:r w:rsidRPr="00BC5936">
              <w:rPr>
                <w:sz w:val="18"/>
                <w:szCs w:val="18"/>
              </w:rPr>
              <w:t>44,8</w:t>
            </w:r>
          </w:p>
        </w:tc>
        <w:tc>
          <w:tcPr>
            <w:tcW w:w="694" w:type="dxa"/>
            <w:noWrap/>
            <w:vAlign w:val="center"/>
            <w:hideMark/>
          </w:tcPr>
          <w:p w:rsidRPr="00BC5936" w:rsidR="00040FAF" w:rsidP="00040FAF" w:rsidRDefault="00040FAF" w14:paraId="1F49C3EF" w14:textId="77777777">
            <w:pPr>
              <w:jc w:val="right"/>
              <w:rPr>
                <w:sz w:val="18"/>
                <w:szCs w:val="18"/>
              </w:rPr>
            </w:pPr>
            <w:r w:rsidRPr="00BC5936">
              <w:rPr>
                <w:sz w:val="18"/>
                <w:szCs w:val="18"/>
              </w:rPr>
              <w:t>46,0</w:t>
            </w:r>
          </w:p>
        </w:tc>
        <w:tc>
          <w:tcPr>
            <w:tcW w:w="694" w:type="dxa"/>
            <w:noWrap/>
            <w:vAlign w:val="center"/>
            <w:hideMark/>
          </w:tcPr>
          <w:p w:rsidRPr="00BC5936" w:rsidR="00040FAF" w:rsidP="00040FAF" w:rsidRDefault="00040FAF" w14:paraId="6BEE6916" w14:textId="77777777">
            <w:pPr>
              <w:jc w:val="right"/>
              <w:rPr>
                <w:sz w:val="18"/>
                <w:szCs w:val="18"/>
              </w:rPr>
            </w:pPr>
            <w:r w:rsidRPr="00BC5936">
              <w:rPr>
                <w:sz w:val="18"/>
                <w:szCs w:val="18"/>
              </w:rPr>
              <w:t>46,0</w:t>
            </w:r>
          </w:p>
        </w:tc>
        <w:tc>
          <w:tcPr>
            <w:tcW w:w="694" w:type="dxa"/>
            <w:noWrap/>
            <w:vAlign w:val="center"/>
            <w:hideMark/>
          </w:tcPr>
          <w:p w:rsidRPr="00BC5936" w:rsidR="00040FAF" w:rsidP="00040FAF" w:rsidRDefault="00040FAF" w14:paraId="344252D9" w14:textId="77777777">
            <w:pPr>
              <w:jc w:val="right"/>
              <w:rPr>
                <w:sz w:val="18"/>
                <w:szCs w:val="18"/>
              </w:rPr>
            </w:pPr>
            <w:r w:rsidRPr="00BC5936">
              <w:rPr>
                <w:sz w:val="18"/>
                <w:szCs w:val="18"/>
              </w:rPr>
              <w:t>46,2</w:t>
            </w:r>
          </w:p>
        </w:tc>
        <w:tc>
          <w:tcPr>
            <w:tcW w:w="733" w:type="dxa"/>
            <w:noWrap/>
            <w:vAlign w:val="center"/>
            <w:hideMark/>
          </w:tcPr>
          <w:p w:rsidRPr="00BC5936" w:rsidR="00040FAF" w:rsidP="00040FAF" w:rsidRDefault="00040FAF" w14:paraId="6F71315C" w14:textId="77777777">
            <w:pPr>
              <w:jc w:val="right"/>
              <w:rPr>
                <w:sz w:val="18"/>
                <w:szCs w:val="18"/>
              </w:rPr>
            </w:pPr>
            <w:r w:rsidRPr="00BC5936">
              <w:rPr>
                <w:sz w:val="18"/>
                <w:szCs w:val="18"/>
              </w:rPr>
              <w:t>46,4</w:t>
            </w:r>
          </w:p>
        </w:tc>
        <w:tc>
          <w:tcPr>
            <w:tcW w:w="708" w:type="dxa"/>
            <w:noWrap/>
            <w:vAlign w:val="center"/>
            <w:hideMark/>
          </w:tcPr>
          <w:p w:rsidRPr="00BC5936" w:rsidR="00040FAF" w:rsidP="00040FAF" w:rsidRDefault="00040FAF" w14:paraId="647F9127" w14:textId="77777777">
            <w:pPr>
              <w:jc w:val="right"/>
              <w:rPr>
                <w:sz w:val="18"/>
                <w:szCs w:val="18"/>
              </w:rPr>
            </w:pPr>
            <w:r w:rsidRPr="00BC5936">
              <w:rPr>
                <w:sz w:val="18"/>
                <w:szCs w:val="18"/>
              </w:rPr>
              <w:t>46,5</w:t>
            </w:r>
          </w:p>
        </w:tc>
        <w:tc>
          <w:tcPr>
            <w:tcW w:w="594" w:type="dxa"/>
            <w:noWrap/>
            <w:vAlign w:val="center"/>
            <w:hideMark/>
          </w:tcPr>
          <w:p w:rsidRPr="00BC5936" w:rsidR="00040FAF" w:rsidP="00040FAF" w:rsidRDefault="00040FAF" w14:paraId="0CF07364" w14:textId="77777777">
            <w:pPr>
              <w:jc w:val="right"/>
              <w:rPr>
                <w:sz w:val="18"/>
                <w:szCs w:val="18"/>
              </w:rPr>
            </w:pPr>
            <w:r w:rsidRPr="00BC5936">
              <w:rPr>
                <w:sz w:val="18"/>
                <w:szCs w:val="18"/>
              </w:rPr>
              <w:t>46,7</w:t>
            </w:r>
          </w:p>
        </w:tc>
      </w:tr>
      <w:tr w:rsidRPr="005F1ABE" w:rsidR="00040FAF" w:rsidTr="00040FAF" w14:paraId="12BB9581" w14:textId="77777777">
        <w:trPr>
          <w:trHeight w:val="255"/>
        </w:trPr>
        <w:tc>
          <w:tcPr>
            <w:tcW w:w="3571" w:type="dxa"/>
            <w:tcBorders>
              <w:top w:val="nil"/>
              <w:left w:val="nil"/>
              <w:bottom w:val="single" w:color="auto" w:sz="12" w:space="0"/>
              <w:right w:val="nil"/>
            </w:tcBorders>
            <w:noWrap/>
            <w:vAlign w:val="center"/>
            <w:hideMark/>
          </w:tcPr>
          <w:p w:rsidRPr="00BC5936" w:rsidR="00040FAF" w:rsidP="00040FAF" w:rsidRDefault="00040FAF" w14:paraId="0C0221B5" w14:textId="77777777">
            <w:pPr>
              <w:rPr>
                <w:sz w:val="18"/>
                <w:szCs w:val="18"/>
              </w:rPr>
            </w:pPr>
            <w:r w:rsidRPr="00BC5936">
              <w:rPr>
                <w:sz w:val="18"/>
                <w:szCs w:val="18"/>
              </w:rPr>
              <w:t>Collectieve lasten</w:t>
            </w:r>
          </w:p>
        </w:tc>
        <w:tc>
          <w:tcPr>
            <w:tcW w:w="844" w:type="dxa"/>
            <w:tcBorders>
              <w:top w:val="nil"/>
              <w:left w:val="nil"/>
              <w:bottom w:val="single" w:color="auto" w:sz="12" w:space="0"/>
              <w:right w:val="nil"/>
            </w:tcBorders>
            <w:noWrap/>
            <w:vAlign w:val="center"/>
            <w:hideMark/>
          </w:tcPr>
          <w:p w:rsidRPr="00BC5936" w:rsidR="00040FAF" w:rsidP="00040FAF" w:rsidRDefault="00040FAF" w14:paraId="48D3DDDE" w14:textId="77777777">
            <w:pPr>
              <w:jc w:val="right"/>
              <w:rPr>
                <w:sz w:val="18"/>
                <w:szCs w:val="18"/>
              </w:rPr>
            </w:pPr>
            <w:r w:rsidRPr="00BC5936">
              <w:rPr>
                <w:sz w:val="18"/>
                <w:szCs w:val="18"/>
              </w:rPr>
              <w:t>38,7</w:t>
            </w:r>
          </w:p>
        </w:tc>
        <w:tc>
          <w:tcPr>
            <w:tcW w:w="694" w:type="dxa"/>
            <w:tcBorders>
              <w:top w:val="nil"/>
              <w:left w:val="nil"/>
              <w:bottom w:val="single" w:color="auto" w:sz="12" w:space="0"/>
              <w:right w:val="nil"/>
            </w:tcBorders>
            <w:noWrap/>
            <w:vAlign w:val="center"/>
            <w:hideMark/>
          </w:tcPr>
          <w:p w:rsidRPr="00BC5936" w:rsidR="00040FAF" w:rsidP="00040FAF" w:rsidRDefault="00040FAF" w14:paraId="02F36192" w14:textId="77777777">
            <w:pPr>
              <w:jc w:val="right"/>
              <w:rPr>
                <w:sz w:val="18"/>
                <w:szCs w:val="18"/>
              </w:rPr>
            </w:pPr>
            <w:r w:rsidRPr="00BC5936">
              <w:rPr>
                <w:sz w:val="18"/>
                <w:szCs w:val="18"/>
              </w:rPr>
              <w:t>39,0</w:t>
            </w:r>
          </w:p>
        </w:tc>
        <w:tc>
          <w:tcPr>
            <w:tcW w:w="694" w:type="dxa"/>
            <w:tcBorders>
              <w:top w:val="nil"/>
              <w:left w:val="nil"/>
              <w:bottom w:val="single" w:color="auto" w:sz="12" w:space="0"/>
              <w:right w:val="nil"/>
            </w:tcBorders>
            <w:noWrap/>
            <w:vAlign w:val="center"/>
            <w:hideMark/>
          </w:tcPr>
          <w:p w:rsidRPr="00BC5936" w:rsidR="00040FAF" w:rsidP="00040FAF" w:rsidRDefault="00040FAF" w14:paraId="4DF2E24C" w14:textId="77777777">
            <w:pPr>
              <w:jc w:val="right"/>
              <w:rPr>
                <w:sz w:val="18"/>
                <w:szCs w:val="18"/>
              </w:rPr>
            </w:pPr>
            <w:r w:rsidRPr="00BC5936">
              <w:rPr>
                <w:sz w:val="18"/>
                <w:szCs w:val="18"/>
              </w:rPr>
              <w:t>39,7</w:t>
            </w:r>
          </w:p>
        </w:tc>
        <w:tc>
          <w:tcPr>
            <w:tcW w:w="694" w:type="dxa"/>
            <w:tcBorders>
              <w:top w:val="nil"/>
              <w:left w:val="nil"/>
              <w:bottom w:val="single" w:color="auto" w:sz="12" w:space="0"/>
              <w:right w:val="nil"/>
            </w:tcBorders>
            <w:noWrap/>
            <w:vAlign w:val="center"/>
            <w:hideMark/>
          </w:tcPr>
          <w:p w:rsidRPr="00BC5936" w:rsidR="00040FAF" w:rsidP="00040FAF" w:rsidRDefault="00040FAF" w14:paraId="79E069A8" w14:textId="77777777">
            <w:pPr>
              <w:jc w:val="right"/>
              <w:rPr>
                <w:sz w:val="18"/>
                <w:szCs w:val="18"/>
              </w:rPr>
            </w:pPr>
            <w:r w:rsidRPr="00BC5936">
              <w:rPr>
                <w:sz w:val="18"/>
                <w:szCs w:val="18"/>
              </w:rPr>
              <w:t>40,1</w:t>
            </w:r>
          </w:p>
        </w:tc>
        <w:tc>
          <w:tcPr>
            <w:tcW w:w="733" w:type="dxa"/>
            <w:tcBorders>
              <w:top w:val="nil"/>
              <w:left w:val="nil"/>
              <w:bottom w:val="single" w:color="auto" w:sz="12" w:space="0"/>
              <w:right w:val="nil"/>
            </w:tcBorders>
            <w:noWrap/>
            <w:vAlign w:val="center"/>
            <w:hideMark/>
          </w:tcPr>
          <w:p w:rsidRPr="00BC5936" w:rsidR="00040FAF" w:rsidP="00040FAF" w:rsidRDefault="00040FAF" w14:paraId="31424007" w14:textId="77777777">
            <w:pPr>
              <w:jc w:val="right"/>
              <w:rPr>
                <w:sz w:val="18"/>
                <w:szCs w:val="18"/>
              </w:rPr>
            </w:pPr>
            <w:r w:rsidRPr="00BC5936">
              <w:rPr>
                <w:sz w:val="18"/>
                <w:szCs w:val="18"/>
              </w:rPr>
              <w:t>40,1</w:t>
            </w:r>
          </w:p>
        </w:tc>
        <w:tc>
          <w:tcPr>
            <w:tcW w:w="708" w:type="dxa"/>
            <w:tcBorders>
              <w:top w:val="nil"/>
              <w:left w:val="nil"/>
              <w:bottom w:val="single" w:color="auto" w:sz="12" w:space="0"/>
              <w:right w:val="nil"/>
            </w:tcBorders>
            <w:noWrap/>
            <w:vAlign w:val="center"/>
            <w:hideMark/>
          </w:tcPr>
          <w:p w:rsidRPr="00BC5936" w:rsidR="00040FAF" w:rsidP="00040FAF" w:rsidRDefault="00040FAF" w14:paraId="559F18E5" w14:textId="77777777">
            <w:pPr>
              <w:jc w:val="right"/>
              <w:rPr>
                <w:sz w:val="18"/>
                <w:szCs w:val="18"/>
              </w:rPr>
            </w:pPr>
            <w:r w:rsidRPr="00BC5936">
              <w:rPr>
                <w:sz w:val="18"/>
                <w:szCs w:val="18"/>
              </w:rPr>
              <w:t>40,1</w:t>
            </w:r>
          </w:p>
        </w:tc>
        <w:tc>
          <w:tcPr>
            <w:tcW w:w="594" w:type="dxa"/>
            <w:tcBorders>
              <w:top w:val="nil"/>
              <w:left w:val="nil"/>
              <w:bottom w:val="single" w:color="auto" w:sz="12" w:space="0"/>
              <w:right w:val="nil"/>
            </w:tcBorders>
            <w:noWrap/>
            <w:vAlign w:val="center"/>
            <w:hideMark/>
          </w:tcPr>
          <w:p w:rsidRPr="00BC5936" w:rsidR="00040FAF" w:rsidP="00040FAF" w:rsidRDefault="00040FAF" w14:paraId="538AE68D" w14:textId="77777777">
            <w:pPr>
              <w:jc w:val="right"/>
              <w:rPr>
                <w:sz w:val="18"/>
                <w:szCs w:val="18"/>
              </w:rPr>
            </w:pPr>
            <w:r w:rsidRPr="00BC5936">
              <w:rPr>
                <w:sz w:val="18"/>
                <w:szCs w:val="18"/>
              </w:rPr>
              <w:t>40,0</w:t>
            </w:r>
          </w:p>
        </w:tc>
      </w:tr>
      <w:tr w:rsidRPr="005F1ABE" w:rsidR="00040FAF" w:rsidTr="00040FAF" w14:paraId="13DCA44A" w14:textId="77777777">
        <w:trPr>
          <w:trHeight w:val="240"/>
        </w:trPr>
        <w:tc>
          <w:tcPr>
            <w:tcW w:w="8532" w:type="dxa"/>
            <w:gridSpan w:val="8"/>
            <w:tcBorders>
              <w:top w:val="single" w:color="auto" w:sz="12" w:space="0"/>
            </w:tcBorders>
            <w:noWrap/>
            <w:vAlign w:val="center"/>
          </w:tcPr>
          <w:p w:rsidRPr="00DC31FF" w:rsidR="00040FAF" w:rsidP="00040FAF" w:rsidRDefault="00040FAF" w14:paraId="41632704" w14:textId="77777777">
            <w:pPr>
              <w:rPr>
                <w:i/>
                <w:iCs/>
                <w:color w:val="000000"/>
                <w:sz w:val="18"/>
                <w:szCs w:val="18"/>
              </w:rPr>
            </w:pPr>
            <w:r>
              <w:rPr>
                <w:i/>
                <w:iCs/>
                <w:color w:val="000000"/>
                <w:sz w:val="18"/>
                <w:szCs w:val="18"/>
              </w:rPr>
              <w:t>Bron: CPB (Centraal Economisch Plan 2026)</w:t>
            </w:r>
          </w:p>
        </w:tc>
      </w:tr>
    </w:tbl>
    <w:p w:rsidRPr="004F2570" w:rsidR="00040FAF" w:rsidP="00040FAF" w:rsidRDefault="00040FAF" w14:paraId="5D50A2D3" w14:textId="4DC31749">
      <w:pPr>
        <w:ind w:firstLine="708"/>
      </w:pPr>
      <w:r w:rsidRPr="001500BC">
        <w:rPr>
          <w:b/>
          <w:bCs/>
        </w:rPr>
        <w:br w:type="page"/>
      </w:r>
    </w:p>
    <w:p w:rsidR="00040FAF" w:rsidP="00040FAF" w:rsidRDefault="00040FAF" w14:paraId="6C08995E" w14:textId="77777777"/>
    <w:p w:rsidR="00040FAF" w:rsidP="00040FAF" w:rsidRDefault="00040FAF" w14:paraId="20F09134" w14:textId="77777777"/>
    <w:p w:rsidR="00040FAF" w:rsidP="00040FAF" w:rsidRDefault="00040FAF" w14:paraId="47FF3AA7" w14:textId="77777777">
      <w:pPr>
        <w:pStyle w:val="Lijstalinea"/>
        <w:numPr>
          <w:ilvl w:val="0"/>
          <w:numId w:val="4"/>
        </w:numPr>
        <w:ind w:left="0" w:firstLine="0"/>
      </w:pPr>
      <w:r>
        <w:t>BEGROTINGSTOETSING</w:t>
      </w:r>
    </w:p>
    <w:p w:rsidR="00040FAF" w:rsidP="00040FAF" w:rsidRDefault="00040FAF" w14:paraId="2579EC71" w14:textId="77777777"/>
    <w:p w:rsidRPr="00F36953" w:rsidR="00040FAF" w:rsidP="00040FAF" w:rsidRDefault="00040FAF" w14:paraId="51706160" w14:textId="77777777">
      <w:pPr>
        <w:rPr>
          <w:u w:val="single"/>
        </w:rPr>
      </w:pPr>
      <w:r>
        <w:t xml:space="preserve">1. </w:t>
      </w:r>
      <w:r>
        <w:tab/>
      </w:r>
      <w:r w:rsidRPr="00F36953">
        <w:rPr>
          <w:u w:val="single"/>
        </w:rPr>
        <w:t xml:space="preserve">Toetsing aan de Europese begrotingsregels </w:t>
      </w:r>
    </w:p>
    <w:p w:rsidR="00040FAF" w:rsidP="00040FAF" w:rsidRDefault="00040FAF" w14:paraId="5F546DCD" w14:textId="77777777"/>
    <w:p w:rsidR="00040FAF" w:rsidP="00040FAF" w:rsidRDefault="00040FAF" w14:paraId="450527B7" w14:textId="77777777">
      <w:pPr>
        <w:pStyle w:val="Lijstalinea"/>
        <w:numPr>
          <w:ilvl w:val="1"/>
          <w:numId w:val="4"/>
        </w:numPr>
        <w:ind w:left="0" w:firstLine="0"/>
        <w:rPr>
          <w:i/>
          <w:iCs/>
        </w:rPr>
      </w:pPr>
      <w:r w:rsidRPr="0051596C">
        <w:rPr>
          <w:i/>
        </w:rPr>
        <w:t>Relevante context</w:t>
      </w:r>
    </w:p>
    <w:p w:rsidR="00040FAF" w:rsidP="00040FAF" w:rsidRDefault="00040FAF" w14:paraId="0B59C3F0" w14:textId="77777777">
      <w:r>
        <w:t xml:space="preserve">Met de inwerkingtreding van het herziene Stabiliteits- en Groeipact (SGP) in mei 2024 is een nieuw Europees begrotingsraamwerk van kracht geworden. De hoeksteen van dit raamwerk is het nationaal budgettair-structureel plan voor de middellange termijn (BSP). Nederland heeft bij monde van het kabinet-Schoof in het najaar van 2025 zijn eerste BSP ingediend bij de Europese Commissie (hierna: de Commissie). </w:t>
      </w:r>
    </w:p>
    <w:p w:rsidR="00040FAF" w:rsidP="00040FAF" w:rsidRDefault="00040FAF" w14:paraId="0DBE8A82" w14:textId="77777777"/>
    <w:p w:rsidR="00040FAF" w:rsidP="00040FAF" w:rsidRDefault="00040FAF" w14:paraId="61D4592B" w14:textId="77777777">
      <w:r>
        <w:t xml:space="preserve">Dat BSP bevatte een meerjarig </w:t>
      </w:r>
      <w:proofErr w:type="spellStart"/>
      <w:r>
        <w:t>uitgavenpad</w:t>
      </w:r>
      <w:proofErr w:type="spellEnd"/>
      <w:r>
        <w:t xml:space="preserve"> voor de periode 2025-2028. Dit was gebaseerd op de netto-uitgaven</w:t>
      </w:r>
      <w:r>
        <w:rPr>
          <w:rStyle w:val="Voetnootmarkering"/>
        </w:rPr>
        <w:footnoteReference w:id="31"/>
      </w:r>
      <w:r>
        <w:t xml:space="preserve"> en bevatte een beschrijving van de hervormingen en investeringen die het kabinet voornemens was in het kader van de </w:t>
      </w:r>
      <w:proofErr w:type="spellStart"/>
      <w:r>
        <w:t>landspecifieke</w:t>
      </w:r>
      <w:proofErr w:type="spellEnd"/>
      <w:r>
        <w:t xml:space="preserve"> aanbevelingen en de gemeenschappelijke prioriteiten van de Europese Unie.</w:t>
      </w:r>
      <w:r>
        <w:rPr>
          <w:rStyle w:val="Voetnootmarkering"/>
        </w:rPr>
        <w:footnoteReference w:id="32"/>
      </w:r>
      <w:r>
        <w:t xml:space="preserve"> </w:t>
      </w:r>
      <w:r w:rsidRPr="00D1708E">
        <w:t xml:space="preserve">In de conclusies </w:t>
      </w:r>
      <w:r>
        <w:t>van de Raad van de Europese Unie</w:t>
      </w:r>
      <w:r w:rsidRPr="00D1708E">
        <w:t xml:space="preserve"> over het </w:t>
      </w:r>
      <w:r>
        <w:t>BSP</w:t>
      </w:r>
      <w:r w:rsidRPr="00D1708E">
        <w:t xml:space="preserve"> </w:t>
      </w:r>
      <w:r>
        <w:t xml:space="preserve">is </w:t>
      </w:r>
      <w:r w:rsidRPr="00D1708E">
        <w:t xml:space="preserve">op basis van de aanbevelingen van de Commissie vastgesteld dat het Nederlandse </w:t>
      </w:r>
      <w:r>
        <w:t>BSP</w:t>
      </w:r>
      <w:r w:rsidRPr="00D1708E">
        <w:t xml:space="preserve"> niet vold</w:t>
      </w:r>
      <w:r>
        <w:t>eed</w:t>
      </w:r>
      <w:r w:rsidRPr="00D1708E">
        <w:t xml:space="preserve"> aan de vereisten van de Europese begrotingsregels.</w:t>
      </w:r>
      <w:r>
        <w:rPr>
          <w:rStyle w:val="Voetnootmarkering"/>
        </w:rPr>
        <w:footnoteReference w:id="33"/>
      </w:r>
      <w:r w:rsidRPr="00D1708E">
        <w:t xml:space="preserve"> </w:t>
      </w:r>
    </w:p>
    <w:p w:rsidR="00040FAF" w:rsidP="00040FAF" w:rsidRDefault="00040FAF" w14:paraId="2A6DAC73" w14:textId="77777777"/>
    <w:p w:rsidR="00040FAF" w:rsidP="00040FAF" w:rsidRDefault="00040FAF" w14:paraId="4C7D8BD9" w14:textId="77777777">
      <w:r>
        <w:t>Op grond van het herziene begrotingsraamwerk geldt dat wanneer een nieuwe regering aantreedt, een lidstaat een herzien BSP kan indienen voor de zittingsperiode van die regering. Het kabinet-</w:t>
      </w:r>
      <w:proofErr w:type="spellStart"/>
      <w:r>
        <w:t>Jetten</w:t>
      </w:r>
      <w:proofErr w:type="spellEnd"/>
      <w:r>
        <w:t xml:space="preserve"> heeft ervoor gekozen om van deze bepaling gebruik te maken en een herzien BSP in te dienen. Voor Nederland bedraagt de kabinetsperiode vier jaar. </w:t>
      </w:r>
    </w:p>
    <w:p w:rsidR="00040FAF" w:rsidP="00040FAF" w:rsidRDefault="00040FAF" w14:paraId="076AD608" w14:textId="77777777"/>
    <w:p w:rsidRPr="00557D45" w:rsidR="00040FAF" w:rsidP="00040FAF" w:rsidRDefault="00040FAF" w14:paraId="28A1AE59" w14:textId="77777777">
      <w:r>
        <w:t>Pas nadat de Raad van de Europese Unie op aanbeveling van de Commissie het herziene BSP met netto-</w:t>
      </w:r>
      <w:proofErr w:type="spellStart"/>
      <w:r>
        <w:t>uitgavenpad</w:t>
      </w:r>
      <w:proofErr w:type="spellEnd"/>
      <w:r>
        <w:t xml:space="preserve"> heeft vastgesteld, wordt het nieuwe BSP (met nieuw netto-</w:t>
      </w:r>
      <w:proofErr w:type="spellStart"/>
      <w:r>
        <w:t>uitgavenpad</w:t>
      </w:r>
      <w:proofErr w:type="spellEnd"/>
      <w:r>
        <w:t xml:space="preserve">) formeel van kracht. Daarom toetst de Afdeling de ontwikkeling van de netto-uitgaven in deze rapportage aan het nog geldende </w:t>
      </w:r>
      <w:proofErr w:type="spellStart"/>
      <w:r>
        <w:t>uitgavenpad</w:t>
      </w:r>
      <w:proofErr w:type="spellEnd"/>
      <w:r>
        <w:t xml:space="preserve"> zoals in 2025 vastgesteld.</w:t>
      </w:r>
      <w:r>
        <w:rPr>
          <w:rStyle w:val="Voetnootmarkering"/>
        </w:rPr>
        <w:footnoteReference w:id="34"/>
      </w:r>
    </w:p>
    <w:p w:rsidR="00040FAF" w:rsidP="00040FAF" w:rsidRDefault="00040FAF" w14:paraId="5DAA6412" w14:textId="77777777"/>
    <w:p w:rsidR="00040FAF" w:rsidP="00040FAF" w:rsidRDefault="00040FAF" w14:paraId="6CCDFB46" w14:textId="77777777">
      <w:r>
        <w:lastRenderedPageBreak/>
        <w:t xml:space="preserve">Het kabinet heeft in het coalitieakkoord en de voorliggende Voorjaarsnota de budgettaire en beleidsmatige kaders voor deze kabinetsperiode vastgelegd. De indiening van een herzien BSP kan daarom gezien worden als middel om het nationale begrotingsbeleid in overeenstemming te brengen met de vereisten van het Europese begrotingsraamwerk. </w:t>
      </w:r>
    </w:p>
    <w:p w:rsidR="00040FAF" w:rsidP="00040FAF" w:rsidRDefault="00040FAF" w14:paraId="352DAC7C" w14:textId="77777777"/>
    <w:p w:rsidR="00040FAF" w:rsidP="00040FAF" w:rsidRDefault="00040FAF" w14:paraId="343ED4DC" w14:textId="77777777">
      <w:proofErr w:type="gramStart"/>
      <w:r>
        <w:t>Indien</w:t>
      </w:r>
      <w:proofErr w:type="gramEnd"/>
      <w:r>
        <w:t xml:space="preserve"> een lidstaat een inspanning moet leveren om de begroting aan te passen om de overheidsfinanciën op de middellange termijn binnen de Europese grenswaarden te houden, mag een herzien BSP deze aanpassingsinspanning niet uitstellen en mag een herzien BSP niet leiden tot een geringere aanpassingsinspanning dan het oorspronkelijke BSP.</w:t>
      </w:r>
      <w:r>
        <w:rPr>
          <w:rStyle w:val="Voetnootmarkering"/>
        </w:rPr>
        <w:footnoteReference w:id="35"/>
      </w:r>
      <w:r>
        <w:t xml:space="preserve"> Dit waarborgt de continuïteit van de begrotingsdiscipline bij regeringswisselingen.</w:t>
      </w:r>
    </w:p>
    <w:p w:rsidR="00040FAF" w:rsidP="00040FAF" w:rsidRDefault="00040FAF" w14:paraId="6978BE28" w14:textId="77777777"/>
    <w:p w:rsidR="00040FAF" w:rsidP="00040FAF" w:rsidRDefault="00040FAF" w14:paraId="5823F440" w14:textId="77777777">
      <w:r>
        <w:t>De Afdeling ziet toe op de naleving van de Europese begrotingsregels aan de hand van de ontwikkeling van de netto-uitgaven zoals door het kabinet-</w:t>
      </w:r>
      <w:proofErr w:type="spellStart"/>
      <w:r>
        <w:t>Jetten</w:t>
      </w:r>
      <w:proofErr w:type="spellEnd"/>
      <w:r>
        <w:t xml:space="preserve"> gepresenteerd in de Voortgangsrapportage (</w:t>
      </w:r>
      <w:proofErr w:type="spellStart"/>
      <w:r>
        <w:rPr>
          <w:i/>
          <w:iCs/>
        </w:rPr>
        <w:t>annual</w:t>
      </w:r>
      <w:proofErr w:type="spellEnd"/>
      <w:r>
        <w:rPr>
          <w:i/>
          <w:iCs/>
        </w:rPr>
        <w:t xml:space="preserve"> </w:t>
      </w:r>
      <w:proofErr w:type="spellStart"/>
      <w:r>
        <w:rPr>
          <w:i/>
          <w:iCs/>
        </w:rPr>
        <w:t>progress</w:t>
      </w:r>
      <w:proofErr w:type="spellEnd"/>
      <w:r>
        <w:rPr>
          <w:i/>
          <w:iCs/>
        </w:rPr>
        <w:t xml:space="preserve"> report). </w:t>
      </w:r>
    </w:p>
    <w:p w:rsidR="00040FAF" w:rsidP="00040FAF" w:rsidRDefault="00040FAF" w14:paraId="765E0E6B" w14:textId="77777777"/>
    <w:p w:rsidR="00040FAF" w:rsidP="00040FAF" w:rsidRDefault="00040FAF" w14:paraId="115C108A" w14:textId="77777777">
      <w:r>
        <w:t xml:space="preserve">De Afdeling toetst naast de naleving van het </w:t>
      </w:r>
      <w:proofErr w:type="spellStart"/>
      <w:r>
        <w:t>uitgavenpad</w:t>
      </w:r>
      <w:proofErr w:type="spellEnd"/>
      <w:r>
        <w:t xml:space="preserve"> ook jaarlijks de budgettaire ontwikkeling in het vorige, lopende en komende jaar aan de referentiewaarden uit de correctieve arm: een begrotingstekort van maximaal 3% bbp en de overheidsschuld van maximaal 60% bbp.</w:t>
      </w:r>
      <w:r>
        <w:rPr>
          <w:rStyle w:val="Voetnootmarkering"/>
        </w:rPr>
        <w:footnoteReference w:id="36"/>
      </w:r>
      <w:r>
        <w:t xml:space="preserve"> De Afdeling gebruikt hiervoor de begrotingsrelevante indicatoren zoals het kabinet deze presenteert in de Voortgangsrapportage en de Voorjaarsnota. Dit betreft de budgettaire tabellen met de ontwikkeling van het (structurele) EMU-saldo en de EMU-schuld.</w:t>
      </w:r>
    </w:p>
    <w:p w:rsidR="00040FAF" w:rsidP="00040FAF" w:rsidRDefault="00040FAF" w14:paraId="13F346BE" w14:textId="77777777"/>
    <w:p w:rsidRPr="00C16C31" w:rsidR="00040FAF" w:rsidP="00040FAF" w:rsidRDefault="00040FAF" w14:paraId="76ED9ADF" w14:textId="77777777">
      <w:pPr>
        <w:pStyle w:val="Lijstalinea"/>
        <w:numPr>
          <w:ilvl w:val="1"/>
          <w:numId w:val="4"/>
        </w:numPr>
        <w:ind w:left="709" w:hanging="709"/>
        <w:rPr>
          <w:i/>
        </w:rPr>
      </w:pPr>
      <w:r w:rsidRPr="00C16C31">
        <w:rPr>
          <w:i/>
        </w:rPr>
        <w:t xml:space="preserve">Toetsing aan de correctieve arm </w:t>
      </w:r>
    </w:p>
    <w:p w:rsidRPr="005859F9" w:rsidR="00040FAF" w:rsidP="00040FAF" w:rsidRDefault="00040FAF" w14:paraId="0E536CE8" w14:textId="77777777">
      <w:r w:rsidRPr="005859F9">
        <w:t xml:space="preserve">De correctieve arm van het SGP heeft als doel het corrigeren van buitensporige begrotingstekorten of een buitensporig hoge overheidsschuld. Wanneer een lidstaat de referentiewaarden voor het begrotingstekort (3% bbp) of de overheidsschuld (60% bbp) overschrijdt, kan de Europese Commissie een onderzoek starten naar de aanwezigheid van een buitensporig tekort. </w:t>
      </w:r>
    </w:p>
    <w:p w:rsidRPr="005859F9" w:rsidR="00040FAF" w:rsidP="00040FAF" w:rsidRDefault="00040FAF" w14:paraId="3185B0FC" w14:textId="77777777"/>
    <w:p w:rsidR="00040FAF" w:rsidP="00040FAF" w:rsidRDefault="00040FAF" w14:paraId="70E38FEE" w14:textId="77777777">
      <w:r w:rsidRPr="005859F9">
        <w:t>Op aanbevelen van de Commissie kan de Raad</w:t>
      </w:r>
      <w:r>
        <w:t xml:space="preserve"> van de Europese Unie een </w:t>
      </w:r>
      <w:proofErr w:type="spellStart"/>
      <w:r>
        <w:t>buitensporigtekortprocedure</w:t>
      </w:r>
      <w:proofErr w:type="spellEnd"/>
      <w:r>
        <w:t xml:space="preserve"> openen als lidstaten de referentiewaarde van 3% overschrijden of als lidstaten met een schuld boven de 60% bbp de jaarlijkse en cumulatieve drempelwaarden voor de afwijking van het </w:t>
      </w:r>
      <w:proofErr w:type="spellStart"/>
      <w:r>
        <w:t>uitgavenpad</w:t>
      </w:r>
      <w:proofErr w:type="spellEnd"/>
      <w:r>
        <w:t xml:space="preserve"> overschrijden. </w:t>
      </w:r>
    </w:p>
    <w:p w:rsidR="00040FAF" w:rsidP="00040FAF" w:rsidRDefault="00040FAF" w14:paraId="65159C3D" w14:textId="77777777"/>
    <w:p w:rsidR="00040FAF" w:rsidP="00040FAF" w:rsidRDefault="00040FAF" w14:paraId="0917B6E4" w14:textId="77777777">
      <w:r w:rsidRPr="005859F9">
        <w:t>De correctieve arm is daarmee het sluitstuk van het Europese begrotingsraamwerk: waar de preventieve arm beoogt te voorkomen dat lidstaten in budgettaire problemen raken, treedt de correctieve arm in werking wanneer die situatie zich desondanks voordoet.</w:t>
      </w:r>
    </w:p>
    <w:p w:rsidRPr="005859F9" w:rsidR="00040FAF" w:rsidP="00040FAF" w:rsidRDefault="00040FAF" w14:paraId="6DCFFD6D" w14:textId="77777777"/>
    <w:p w:rsidR="00040FAF" w:rsidP="00040FAF" w:rsidRDefault="00040FAF" w14:paraId="5F3A2C11" w14:textId="77777777">
      <w:pPr>
        <w:rPr>
          <w:b/>
          <w:bCs/>
        </w:rPr>
      </w:pPr>
      <w:r w:rsidRPr="005859F9">
        <w:rPr>
          <w:b/>
          <w:bCs/>
        </w:rPr>
        <w:t xml:space="preserve">Op basis van de CEP-raming van het CPB blijkt dat Nederland zowel in 2025, als naar verwachting in 2026 voldoet aan de vereisten van de correctieve arm (zie tabel 3). </w:t>
      </w:r>
    </w:p>
    <w:p w:rsidRPr="005859F9" w:rsidR="00040FAF" w:rsidP="00040FAF" w:rsidRDefault="00040FAF" w14:paraId="55B9708D" w14:textId="77777777">
      <w:pPr>
        <w:rPr>
          <w:b/>
          <w:bCs/>
        </w:rPr>
      </w:pPr>
    </w:p>
    <w:tbl>
      <w:tblPr>
        <w:tblW w:w="8460" w:type="dxa"/>
        <w:tblCellMar>
          <w:left w:w="70" w:type="dxa"/>
          <w:right w:w="70" w:type="dxa"/>
        </w:tblCellMar>
        <w:tblLook w:val="04A0" w:firstRow="1" w:lastRow="0" w:firstColumn="1" w:lastColumn="0" w:noHBand="0" w:noVBand="1"/>
      </w:tblPr>
      <w:tblGrid>
        <w:gridCol w:w="5040"/>
        <w:gridCol w:w="849"/>
        <w:gridCol w:w="1311"/>
        <w:gridCol w:w="1260"/>
      </w:tblGrid>
      <w:tr w:rsidRPr="0029481F" w:rsidR="00040FAF" w:rsidTr="00040FAF" w14:paraId="50800D04" w14:textId="77777777">
        <w:trPr>
          <w:trHeight w:val="255"/>
        </w:trPr>
        <w:tc>
          <w:tcPr>
            <w:tcW w:w="5040" w:type="dxa"/>
            <w:tcBorders>
              <w:top w:val="nil"/>
              <w:left w:val="nil"/>
              <w:bottom w:val="single" w:color="auto" w:sz="12" w:space="0"/>
              <w:right w:val="nil"/>
            </w:tcBorders>
            <w:noWrap/>
            <w:vAlign w:val="center"/>
            <w:hideMark/>
          </w:tcPr>
          <w:p w:rsidRPr="0029481F" w:rsidR="00040FAF" w:rsidP="00040FAF" w:rsidRDefault="00040FAF" w14:paraId="461FAC09" w14:textId="77777777">
            <w:pPr>
              <w:rPr>
                <w:b/>
                <w:bCs/>
                <w:color w:val="000000"/>
                <w:sz w:val="18"/>
                <w:szCs w:val="18"/>
              </w:rPr>
            </w:pPr>
            <w:r w:rsidRPr="0029481F">
              <w:rPr>
                <w:b/>
                <w:bCs/>
                <w:color w:val="000000"/>
                <w:sz w:val="18"/>
                <w:szCs w:val="18"/>
              </w:rPr>
              <w:t>Tabel 3: Gegevens voor de correctieve arm 2025-2027</w:t>
            </w:r>
          </w:p>
        </w:tc>
        <w:tc>
          <w:tcPr>
            <w:tcW w:w="3420" w:type="dxa"/>
            <w:gridSpan w:val="3"/>
            <w:tcBorders>
              <w:top w:val="nil"/>
              <w:left w:val="nil"/>
              <w:bottom w:val="single" w:color="auto" w:sz="12" w:space="0"/>
              <w:right w:val="nil"/>
            </w:tcBorders>
            <w:vAlign w:val="center"/>
            <w:hideMark/>
          </w:tcPr>
          <w:p w:rsidRPr="0029481F" w:rsidR="00040FAF" w:rsidP="00040FAF" w:rsidRDefault="00040FAF" w14:paraId="4817B4CE" w14:textId="77777777">
            <w:pPr>
              <w:rPr>
                <w:b/>
                <w:bCs/>
                <w:color w:val="000000"/>
                <w:sz w:val="18"/>
                <w:szCs w:val="18"/>
              </w:rPr>
            </w:pPr>
          </w:p>
        </w:tc>
      </w:tr>
      <w:tr w:rsidRPr="0029481F" w:rsidR="00040FAF" w:rsidTr="00040FAF" w14:paraId="481EEDB8" w14:textId="77777777">
        <w:trPr>
          <w:trHeight w:val="240"/>
        </w:trPr>
        <w:tc>
          <w:tcPr>
            <w:tcW w:w="5040" w:type="dxa"/>
            <w:tcBorders>
              <w:top w:val="single" w:color="auto" w:sz="12" w:space="0"/>
              <w:left w:val="nil"/>
              <w:right w:val="nil"/>
            </w:tcBorders>
            <w:noWrap/>
            <w:vAlign w:val="center"/>
            <w:hideMark/>
          </w:tcPr>
          <w:p w:rsidRPr="0029481F" w:rsidR="00040FAF" w:rsidP="00040FAF" w:rsidRDefault="00040FAF" w14:paraId="5B80258C" w14:textId="77777777">
            <w:pPr>
              <w:rPr>
                <w:b/>
                <w:bCs/>
                <w:color w:val="000000"/>
                <w:sz w:val="18"/>
                <w:szCs w:val="18"/>
              </w:rPr>
            </w:pPr>
            <w:r w:rsidRPr="0029481F">
              <w:rPr>
                <w:b/>
                <w:bCs/>
                <w:color w:val="000000"/>
                <w:sz w:val="18"/>
                <w:szCs w:val="18"/>
              </w:rPr>
              <w:t> </w:t>
            </w:r>
          </w:p>
        </w:tc>
        <w:tc>
          <w:tcPr>
            <w:tcW w:w="849" w:type="dxa"/>
            <w:tcBorders>
              <w:top w:val="single" w:color="auto" w:sz="12" w:space="0"/>
              <w:left w:val="nil"/>
              <w:right w:val="nil"/>
            </w:tcBorders>
            <w:noWrap/>
            <w:vAlign w:val="center"/>
            <w:hideMark/>
          </w:tcPr>
          <w:p w:rsidRPr="0029481F" w:rsidR="00040FAF" w:rsidP="00040FAF" w:rsidRDefault="00040FAF" w14:paraId="5E2D568E" w14:textId="77777777">
            <w:pPr>
              <w:jc w:val="right"/>
              <w:rPr>
                <w:b/>
                <w:bCs/>
                <w:color w:val="000000"/>
                <w:sz w:val="18"/>
                <w:szCs w:val="18"/>
              </w:rPr>
            </w:pPr>
            <w:r w:rsidRPr="0029481F">
              <w:rPr>
                <w:b/>
                <w:bCs/>
                <w:color w:val="000000"/>
                <w:sz w:val="18"/>
                <w:szCs w:val="18"/>
              </w:rPr>
              <w:t>2025</w:t>
            </w:r>
          </w:p>
        </w:tc>
        <w:tc>
          <w:tcPr>
            <w:tcW w:w="1311" w:type="dxa"/>
            <w:tcBorders>
              <w:top w:val="single" w:color="auto" w:sz="12" w:space="0"/>
              <w:left w:val="nil"/>
              <w:right w:val="nil"/>
            </w:tcBorders>
            <w:noWrap/>
            <w:vAlign w:val="center"/>
            <w:hideMark/>
          </w:tcPr>
          <w:p w:rsidRPr="0029481F" w:rsidR="00040FAF" w:rsidP="00040FAF" w:rsidRDefault="00040FAF" w14:paraId="0C5E789B" w14:textId="77777777">
            <w:pPr>
              <w:jc w:val="right"/>
              <w:rPr>
                <w:b/>
                <w:bCs/>
                <w:color w:val="000000"/>
                <w:sz w:val="18"/>
                <w:szCs w:val="18"/>
              </w:rPr>
            </w:pPr>
            <w:r w:rsidRPr="0029481F">
              <w:rPr>
                <w:b/>
                <w:bCs/>
                <w:color w:val="000000"/>
                <w:sz w:val="18"/>
                <w:szCs w:val="18"/>
              </w:rPr>
              <w:t>2026</w:t>
            </w:r>
          </w:p>
        </w:tc>
        <w:tc>
          <w:tcPr>
            <w:tcW w:w="1260" w:type="dxa"/>
            <w:tcBorders>
              <w:top w:val="single" w:color="auto" w:sz="12" w:space="0"/>
              <w:left w:val="nil"/>
              <w:right w:val="nil"/>
            </w:tcBorders>
            <w:noWrap/>
            <w:vAlign w:val="center"/>
            <w:hideMark/>
          </w:tcPr>
          <w:p w:rsidRPr="0029481F" w:rsidR="00040FAF" w:rsidP="00040FAF" w:rsidRDefault="00040FAF" w14:paraId="1F457ED1" w14:textId="77777777">
            <w:pPr>
              <w:jc w:val="right"/>
              <w:rPr>
                <w:b/>
                <w:bCs/>
                <w:color w:val="000000"/>
                <w:sz w:val="18"/>
                <w:szCs w:val="18"/>
              </w:rPr>
            </w:pPr>
            <w:r w:rsidRPr="0029481F">
              <w:rPr>
                <w:b/>
                <w:bCs/>
                <w:color w:val="000000"/>
                <w:sz w:val="18"/>
                <w:szCs w:val="18"/>
              </w:rPr>
              <w:t>2027</w:t>
            </w:r>
          </w:p>
        </w:tc>
      </w:tr>
      <w:tr w:rsidRPr="0029481F" w:rsidR="00040FAF" w:rsidTr="00040FAF" w14:paraId="2D339A83" w14:textId="77777777">
        <w:trPr>
          <w:trHeight w:val="240"/>
        </w:trPr>
        <w:tc>
          <w:tcPr>
            <w:tcW w:w="5040" w:type="dxa"/>
            <w:tcBorders>
              <w:top w:val="nil"/>
              <w:left w:val="nil"/>
              <w:bottom w:val="single" w:color="auto" w:sz="8" w:space="0"/>
              <w:right w:val="nil"/>
            </w:tcBorders>
            <w:noWrap/>
            <w:vAlign w:val="center"/>
            <w:hideMark/>
          </w:tcPr>
          <w:p w:rsidRPr="0029481F" w:rsidR="00040FAF" w:rsidP="00040FAF" w:rsidRDefault="00040FAF" w14:paraId="659284DB" w14:textId="77777777">
            <w:pPr>
              <w:rPr>
                <w:b/>
                <w:bCs/>
                <w:color w:val="000000"/>
                <w:sz w:val="18"/>
                <w:szCs w:val="18"/>
              </w:rPr>
            </w:pPr>
            <w:r w:rsidRPr="0029481F">
              <w:rPr>
                <w:b/>
                <w:bCs/>
                <w:color w:val="000000"/>
                <w:sz w:val="18"/>
                <w:szCs w:val="18"/>
              </w:rPr>
              <w:t> </w:t>
            </w:r>
          </w:p>
        </w:tc>
        <w:tc>
          <w:tcPr>
            <w:tcW w:w="849" w:type="dxa"/>
            <w:tcBorders>
              <w:top w:val="nil"/>
              <w:left w:val="nil"/>
              <w:bottom w:val="single" w:color="auto" w:sz="8" w:space="0"/>
              <w:right w:val="nil"/>
            </w:tcBorders>
            <w:noWrap/>
            <w:vAlign w:val="center"/>
            <w:hideMark/>
          </w:tcPr>
          <w:p w:rsidRPr="0029481F" w:rsidR="00040FAF" w:rsidP="00040FAF" w:rsidRDefault="00040FAF" w14:paraId="40FFBDAB" w14:textId="77777777">
            <w:pPr>
              <w:jc w:val="right"/>
              <w:rPr>
                <w:color w:val="000000"/>
                <w:sz w:val="18"/>
                <w:szCs w:val="18"/>
              </w:rPr>
            </w:pPr>
            <w:proofErr w:type="gramStart"/>
            <w:r w:rsidRPr="0029481F">
              <w:rPr>
                <w:color w:val="000000"/>
                <w:sz w:val="18"/>
                <w:szCs w:val="18"/>
              </w:rPr>
              <w:t>ex</w:t>
            </w:r>
            <w:proofErr w:type="gramEnd"/>
            <w:r w:rsidRPr="0029481F">
              <w:rPr>
                <w:color w:val="000000"/>
                <w:sz w:val="18"/>
                <w:szCs w:val="18"/>
              </w:rPr>
              <w:t xml:space="preserve"> post</w:t>
            </w:r>
          </w:p>
        </w:tc>
        <w:tc>
          <w:tcPr>
            <w:tcW w:w="1311" w:type="dxa"/>
            <w:tcBorders>
              <w:top w:val="nil"/>
              <w:left w:val="nil"/>
              <w:bottom w:val="single" w:color="auto" w:sz="8" w:space="0"/>
              <w:right w:val="nil"/>
            </w:tcBorders>
            <w:noWrap/>
            <w:vAlign w:val="center"/>
            <w:hideMark/>
          </w:tcPr>
          <w:p w:rsidRPr="0029481F" w:rsidR="00040FAF" w:rsidP="00040FAF" w:rsidRDefault="00040FAF" w14:paraId="2E1C297B" w14:textId="77777777">
            <w:pPr>
              <w:jc w:val="right"/>
              <w:rPr>
                <w:color w:val="000000"/>
                <w:sz w:val="18"/>
                <w:szCs w:val="18"/>
              </w:rPr>
            </w:pPr>
            <w:proofErr w:type="gramStart"/>
            <w:r w:rsidRPr="0029481F">
              <w:rPr>
                <w:color w:val="000000"/>
                <w:sz w:val="18"/>
                <w:szCs w:val="18"/>
              </w:rPr>
              <w:t>in</w:t>
            </w:r>
            <w:proofErr w:type="gramEnd"/>
            <w:r w:rsidRPr="0029481F">
              <w:rPr>
                <w:color w:val="000000"/>
                <w:sz w:val="18"/>
                <w:szCs w:val="18"/>
              </w:rPr>
              <w:t xml:space="preserve"> </w:t>
            </w:r>
            <w:proofErr w:type="spellStart"/>
            <w:r w:rsidRPr="0029481F">
              <w:rPr>
                <w:color w:val="000000"/>
                <w:sz w:val="18"/>
                <w:szCs w:val="18"/>
              </w:rPr>
              <w:t>year</w:t>
            </w:r>
            <w:proofErr w:type="spellEnd"/>
          </w:p>
        </w:tc>
        <w:tc>
          <w:tcPr>
            <w:tcW w:w="1260" w:type="dxa"/>
            <w:tcBorders>
              <w:top w:val="nil"/>
              <w:left w:val="nil"/>
              <w:bottom w:val="single" w:color="auto" w:sz="8" w:space="0"/>
              <w:right w:val="nil"/>
            </w:tcBorders>
            <w:noWrap/>
            <w:vAlign w:val="center"/>
            <w:hideMark/>
          </w:tcPr>
          <w:p w:rsidRPr="0029481F" w:rsidR="00040FAF" w:rsidP="00040FAF" w:rsidRDefault="00040FAF" w14:paraId="09701DCB" w14:textId="77777777">
            <w:pPr>
              <w:jc w:val="right"/>
              <w:rPr>
                <w:color w:val="000000"/>
                <w:sz w:val="18"/>
                <w:szCs w:val="18"/>
              </w:rPr>
            </w:pPr>
            <w:proofErr w:type="gramStart"/>
            <w:r w:rsidRPr="0029481F">
              <w:rPr>
                <w:color w:val="000000"/>
                <w:sz w:val="18"/>
                <w:szCs w:val="18"/>
              </w:rPr>
              <w:t>ex</w:t>
            </w:r>
            <w:proofErr w:type="gramEnd"/>
            <w:r w:rsidRPr="0029481F">
              <w:rPr>
                <w:color w:val="000000"/>
                <w:sz w:val="18"/>
                <w:szCs w:val="18"/>
              </w:rPr>
              <w:t xml:space="preserve"> ante</w:t>
            </w:r>
          </w:p>
        </w:tc>
      </w:tr>
      <w:tr w:rsidRPr="0029481F" w:rsidR="00040FAF" w:rsidTr="00040FAF" w14:paraId="345CB9E6" w14:textId="77777777">
        <w:trPr>
          <w:trHeight w:val="240"/>
        </w:trPr>
        <w:tc>
          <w:tcPr>
            <w:tcW w:w="5040" w:type="dxa"/>
            <w:tcBorders>
              <w:top w:val="single" w:color="auto" w:sz="8" w:space="0"/>
              <w:left w:val="nil"/>
              <w:bottom w:val="nil"/>
              <w:right w:val="nil"/>
            </w:tcBorders>
            <w:noWrap/>
            <w:vAlign w:val="center"/>
            <w:hideMark/>
          </w:tcPr>
          <w:p w:rsidRPr="0029481F" w:rsidR="00040FAF" w:rsidP="00040FAF" w:rsidRDefault="00040FAF" w14:paraId="2FBB5C0C" w14:textId="77777777">
            <w:pPr>
              <w:rPr>
                <w:b/>
                <w:bCs/>
                <w:color w:val="000000"/>
                <w:sz w:val="18"/>
                <w:szCs w:val="18"/>
              </w:rPr>
            </w:pPr>
            <w:r w:rsidRPr="0029481F">
              <w:rPr>
                <w:b/>
                <w:bCs/>
                <w:color w:val="000000"/>
                <w:sz w:val="18"/>
                <w:szCs w:val="18"/>
              </w:rPr>
              <w:t>Tekortcriterium (% bbp)</w:t>
            </w:r>
          </w:p>
        </w:tc>
        <w:tc>
          <w:tcPr>
            <w:tcW w:w="849" w:type="dxa"/>
            <w:tcBorders>
              <w:top w:val="single" w:color="auto" w:sz="8" w:space="0"/>
              <w:left w:val="nil"/>
              <w:bottom w:val="nil"/>
              <w:right w:val="nil"/>
            </w:tcBorders>
            <w:noWrap/>
            <w:vAlign w:val="center"/>
            <w:hideMark/>
          </w:tcPr>
          <w:p w:rsidRPr="0029481F" w:rsidR="00040FAF" w:rsidP="00040FAF" w:rsidRDefault="00040FAF" w14:paraId="41C704A3" w14:textId="77777777">
            <w:pPr>
              <w:rPr>
                <w:b/>
                <w:bCs/>
                <w:color w:val="000000"/>
                <w:sz w:val="18"/>
                <w:szCs w:val="18"/>
              </w:rPr>
            </w:pPr>
          </w:p>
        </w:tc>
        <w:tc>
          <w:tcPr>
            <w:tcW w:w="1311" w:type="dxa"/>
            <w:tcBorders>
              <w:top w:val="single" w:color="auto" w:sz="8" w:space="0"/>
              <w:left w:val="nil"/>
              <w:bottom w:val="nil"/>
              <w:right w:val="nil"/>
            </w:tcBorders>
            <w:noWrap/>
            <w:vAlign w:val="center"/>
            <w:hideMark/>
          </w:tcPr>
          <w:p w:rsidRPr="0029481F" w:rsidR="00040FAF" w:rsidP="00040FAF" w:rsidRDefault="00040FAF" w14:paraId="0B09B79C" w14:textId="77777777">
            <w:pPr>
              <w:jc w:val="right"/>
              <w:rPr>
                <w:rFonts w:ascii="Times New Roman" w:hAnsi="Times New Roman"/>
                <w:sz w:val="20"/>
                <w:szCs w:val="20"/>
              </w:rPr>
            </w:pPr>
          </w:p>
        </w:tc>
        <w:tc>
          <w:tcPr>
            <w:tcW w:w="1260" w:type="dxa"/>
            <w:tcBorders>
              <w:top w:val="single" w:color="auto" w:sz="8" w:space="0"/>
              <w:left w:val="nil"/>
              <w:bottom w:val="nil"/>
              <w:right w:val="nil"/>
            </w:tcBorders>
            <w:noWrap/>
            <w:vAlign w:val="center"/>
            <w:hideMark/>
          </w:tcPr>
          <w:p w:rsidRPr="0029481F" w:rsidR="00040FAF" w:rsidP="00040FAF" w:rsidRDefault="00040FAF" w14:paraId="0ED59FB6" w14:textId="77777777">
            <w:pPr>
              <w:jc w:val="right"/>
              <w:rPr>
                <w:rFonts w:ascii="Times New Roman" w:hAnsi="Times New Roman"/>
                <w:sz w:val="20"/>
                <w:szCs w:val="20"/>
              </w:rPr>
            </w:pPr>
          </w:p>
        </w:tc>
      </w:tr>
      <w:tr w:rsidRPr="0029481F" w:rsidR="00040FAF" w:rsidTr="00040FAF" w14:paraId="0AA4C518" w14:textId="77777777">
        <w:trPr>
          <w:trHeight w:val="240"/>
        </w:trPr>
        <w:tc>
          <w:tcPr>
            <w:tcW w:w="5040" w:type="dxa"/>
            <w:tcBorders>
              <w:top w:val="nil"/>
              <w:left w:val="nil"/>
              <w:bottom w:val="nil"/>
              <w:right w:val="nil"/>
            </w:tcBorders>
            <w:noWrap/>
            <w:vAlign w:val="center"/>
            <w:hideMark/>
          </w:tcPr>
          <w:p w:rsidRPr="0029481F" w:rsidR="00040FAF" w:rsidP="00040FAF" w:rsidRDefault="00040FAF" w14:paraId="6454698B" w14:textId="77777777">
            <w:pPr>
              <w:rPr>
                <w:i/>
                <w:iCs/>
                <w:color w:val="000000"/>
                <w:sz w:val="18"/>
                <w:szCs w:val="18"/>
              </w:rPr>
            </w:pPr>
            <w:r w:rsidRPr="0029481F">
              <w:rPr>
                <w:i/>
                <w:iCs/>
                <w:color w:val="000000"/>
                <w:sz w:val="18"/>
                <w:szCs w:val="18"/>
              </w:rPr>
              <w:t>Maximaal feitelijk EMU-saldo</w:t>
            </w:r>
          </w:p>
        </w:tc>
        <w:tc>
          <w:tcPr>
            <w:tcW w:w="849" w:type="dxa"/>
            <w:tcBorders>
              <w:top w:val="nil"/>
              <w:left w:val="nil"/>
              <w:bottom w:val="nil"/>
              <w:right w:val="nil"/>
            </w:tcBorders>
            <w:noWrap/>
            <w:vAlign w:val="center"/>
            <w:hideMark/>
          </w:tcPr>
          <w:p w:rsidRPr="0029481F" w:rsidR="00040FAF" w:rsidP="00040FAF" w:rsidRDefault="00040FAF" w14:paraId="1561F428" w14:textId="77777777">
            <w:pPr>
              <w:jc w:val="right"/>
              <w:rPr>
                <w:i/>
                <w:iCs/>
                <w:color w:val="000000"/>
                <w:sz w:val="18"/>
                <w:szCs w:val="18"/>
              </w:rPr>
            </w:pPr>
            <w:r w:rsidRPr="0029481F">
              <w:rPr>
                <w:i/>
                <w:iCs/>
                <w:color w:val="000000"/>
                <w:sz w:val="18"/>
                <w:szCs w:val="18"/>
              </w:rPr>
              <w:t>-3,0</w:t>
            </w:r>
          </w:p>
        </w:tc>
        <w:tc>
          <w:tcPr>
            <w:tcW w:w="1311" w:type="dxa"/>
            <w:tcBorders>
              <w:top w:val="nil"/>
              <w:left w:val="nil"/>
              <w:bottom w:val="nil"/>
              <w:right w:val="nil"/>
            </w:tcBorders>
            <w:noWrap/>
            <w:vAlign w:val="center"/>
            <w:hideMark/>
          </w:tcPr>
          <w:p w:rsidRPr="0029481F" w:rsidR="00040FAF" w:rsidP="00040FAF" w:rsidRDefault="00040FAF" w14:paraId="69E06344" w14:textId="77777777">
            <w:pPr>
              <w:jc w:val="right"/>
              <w:rPr>
                <w:i/>
                <w:iCs/>
                <w:color w:val="000000"/>
                <w:sz w:val="18"/>
                <w:szCs w:val="18"/>
              </w:rPr>
            </w:pPr>
            <w:r w:rsidRPr="0029481F">
              <w:rPr>
                <w:i/>
                <w:iCs/>
                <w:color w:val="000000"/>
                <w:sz w:val="18"/>
                <w:szCs w:val="18"/>
              </w:rPr>
              <w:t>-3,0</w:t>
            </w:r>
          </w:p>
        </w:tc>
        <w:tc>
          <w:tcPr>
            <w:tcW w:w="1260" w:type="dxa"/>
            <w:tcBorders>
              <w:top w:val="nil"/>
              <w:left w:val="nil"/>
              <w:bottom w:val="nil"/>
              <w:right w:val="nil"/>
            </w:tcBorders>
            <w:noWrap/>
            <w:vAlign w:val="center"/>
            <w:hideMark/>
          </w:tcPr>
          <w:p w:rsidRPr="0029481F" w:rsidR="00040FAF" w:rsidP="00040FAF" w:rsidRDefault="00040FAF" w14:paraId="604D2582" w14:textId="77777777">
            <w:pPr>
              <w:jc w:val="right"/>
              <w:rPr>
                <w:i/>
                <w:iCs/>
                <w:color w:val="000000"/>
                <w:sz w:val="18"/>
                <w:szCs w:val="18"/>
              </w:rPr>
            </w:pPr>
            <w:r w:rsidRPr="0029481F">
              <w:rPr>
                <w:i/>
                <w:iCs/>
                <w:color w:val="000000"/>
                <w:sz w:val="18"/>
                <w:szCs w:val="18"/>
              </w:rPr>
              <w:t>-3,0</w:t>
            </w:r>
          </w:p>
        </w:tc>
      </w:tr>
      <w:tr w:rsidRPr="0029481F" w:rsidR="00040FAF" w:rsidTr="00040FAF" w14:paraId="7CB868F5" w14:textId="77777777">
        <w:trPr>
          <w:trHeight w:val="240"/>
        </w:trPr>
        <w:tc>
          <w:tcPr>
            <w:tcW w:w="5040" w:type="dxa"/>
            <w:tcBorders>
              <w:top w:val="nil"/>
              <w:left w:val="nil"/>
              <w:bottom w:val="nil"/>
              <w:right w:val="nil"/>
            </w:tcBorders>
            <w:noWrap/>
            <w:vAlign w:val="center"/>
            <w:hideMark/>
          </w:tcPr>
          <w:p w:rsidRPr="0029481F" w:rsidR="00040FAF" w:rsidP="00040FAF" w:rsidRDefault="00040FAF" w14:paraId="6E29ED87" w14:textId="77777777">
            <w:pPr>
              <w:rPr>
                <w:color w:val="000000"/>
                <w:sz w:val="18"/>
                <w:szCs w:val="18"/>
              </w:rPr>
            </w:pPr>
            <w:r w:rsidRPr="0029481F">
              <w:rPr>
                <w:color w:val="000000"/>
                <w:sz w:val="18"/>
                <w:szCs w:val="18"/>
              </w:rPr>
              <w:t>EMU-saldo feitelijk</w:t>
            </w:r>
          </w:p>
        </w:tc>
        <w:tc>
          <w:tcPr>
            <w:tcW w:w="849" w:type="dxa"/>
            <w:tcBorders>
              <w:top w:val="nil"/>
              <w:left w:val="nil"/>
              <w:bottom w:val="nil"/>
              <w:right w:val="nil"/>
            </w:tcBorders>
            <w:noWrap/>
            <w:vAlign w:val="center"/>
            <w:hideMark/>
          </w:tcPr>
          <w:p w:rsidRPr="0029481F" w:rsidR="00040FAF" w:rsidP="00040FAF" w:rsidRDefault="00040FAF" w14:paraId="598A3CA4" w14:textId="77777777">
            <w:pPr>
              <w:jc w:val="right"/>
              <w:rPr>
                <w:color w:val="000000"/>
                <w:sz w:val="18"/>
                <w:szCs w:val="18"/>
              </w:rPr>
            </w:pPr>
            <w:r w:rsidRPr="0029481F">
              <w:rPr>
                <w:color w:val="000000"/>
                <w:sz w:val="18"/>
                <w:szCs w:val="18"/>
              </w:rPr>
              <w:t>-1,6</w:t>
            </w:r>
          </w:p>
        </w:tc>
        <w:tc>
          <w:tcPr>
            <w:tcW w:w="1311" w:type="dxa"/>
            <w:tcBorders>
              <w:top w:val="nil"/>
              <w:left w:val="nil"/>
              <w:bottom w:val="nil"/>
              <w:right w:val="nil"/>
            </w:tcBorders>
            <w:noWrap/>
            <w:vAlign w:val="center"/>
            <w:hideMark/>
          </w:tcPr>
          <w:p w:rsidRPr="0029481F" w:rsidR="00040FAF" w:rsidP="00040FAF" w:rsidRDefault="00040FAF" w14:paraId="27454F4C" w14:textId="77777777">
            <w:pPr>
              <w:jc w:val="right"/>
              <w:rPr>
                <w:color w:val="000000"/>
                <w:sz w:val="18"/>
                <w:szCs w:val="18"/>
              </w:rPr>
            </w:pPr>
            <w:r w:rsidRPr="0029481F">
              <w:rPr>
                <w:color w:val="000000"/>
                <w:sz w:val="18"/>
                <w:szCs w:val="18"/>
              </w:rPr>
              <w:t>-2,6</w:t>
            </w:r>
          </w:p>
        </w:tc>
        <w:tc>
          <w:tcPr>
            <w:tcW w:w="1260" w:type="dxa"/>
            <w:tcBorders>
              <w:top w:val="nil"/>
              <w:left w:val="nil"/>
              <w:bottom w:val="nil"/>
              <w:right w:val="nil"/>
            </w:tcBorders>
            <w:noWrap/>
            <w:vAlign w:val="center"/>
            <w:hideMark/>
          </w:tcPr>
          <w:p w:rsidRPr="0029481F" w:rsidR="00040FAF" w:rsidP="00040FAF" w:rsidRDefault="00040FAF" w14:paraId="28FFE9C8" w14:textId="77777777">
            <w:pPr>
              <w:jc w:val="right"/>
              <w:rPr>
                <w:color w:val="000000"/>
                <w:sz w:val="18"/>
                <w:szCs w:val="18"/>
              </w:rPr>
            </w:pPr>
            <w:r w:rsidRPr="0029481F">
              <w:rPr>
                <w:color w:val="000000"/>
                <w:sz w:val="18"/>
                <w:szCs w:val="18"/>
              </w:rPr>
              <w:t>-1,9</w:t>
            </w:r>
          </w:p>
        </w:tc>
      </w:tr>
      <w:tr w:rsidRPr="0029481F" w:rsidR="00040FAF" w:rsidTr="00040FAF" w14:paraId="65B725BA" w14:textId="77777777">
        <w:trPr>
          <w:trHeight w:val="240"/>
        </w:trPr>
        <w:tc>
          <w:tcPr>
            <w:tcW w:w="5040" w:type="dxa"/>
            <w:tcBorders>
              <w:top w:val="nil"/>
              <w:left w:val="nil"/>
              <w:bottom w:val="nil"/>
              <w:right w:val="nil"/>
            </w:tcBorders>
            <w:noWrap/>
            <w:vAlign w:val="center"/>
            <w:hideMark/>
          </w:tcPr>
          <w:p w:rsidRPr="0029481F" w:rsidR="00040FAF" w:rsidP="00040FAF" w:rsidRDefault="00040FAF" w14:paraId="499F6DE6" w14:textId="77777777">
            <w:pPr>
              <w:rPr>
                <w:color w:val="000000"/>
                <w:sz w:val="18"/>
                <w:szCs w:val="18"/>
              </w:rPr>
            </w:pPr>
            <w:proofErr w:type="spellStart"/>
            <w:r w:rsidRPr="0029481F">
              <w:rPr>
                <w:color w:val="000000"/>
                <w:sz w:val="18"/>
                <w:szCs w:val="18"/>
              </w:rPr>
              <w:t>w.v</w:t>
            </w:r>
            <w:proofErr w:type="spellEnd"/>
            <w:r w:rsidRPr="0029481F">
              <w:rPr>
                <w:color w:val="000000"/>
                <w:sz w:val="18"/>
                <w:szCs w:val="18"/>
              </w:rPr>
              <w:t>. EMU-saldo medeoverheden</w:t>
            </w:r>
          </w:p>
        </w:tc>
        <w:tc>
          <w:tcPr>
            <w:tcW w:w="849" w:type="dxa"/>
            <w:tcBorders>
              <w:top w:val="nil"/>
              <w:left w:val="nil"/>
              <w:bottom w:val="nil"/>
              <w:right w:val="nil"/>
            </w:tcBorders>
            <w:noWrap/>
            <w:vAlign w:val="center"/>
            <w:hideMark/>
          </w:tcPr>
          <w:p w:rsidRPr="0029481F" w:rsidR="00040FAF" w:rsidP="00040FAF" w:rsidRDefault="00040FAF" w14:paraId="0447E3CE" w14:textId="77777777">
            <w:pPr>
              <w:jc w:val="right"/>
              <w:rPr>
                <w:color w:val="000000"/>
                <w:sz w:val="18"/>
                <w:szCs w:val="18"/>
              </w:rPr>
            </w:pPr>
            <w:r w:rsidRPr="0029481F">
              <w:rPr>
                <w:color w:val="000000"/>
                <w:sz w:val="18"/>
                <w:szCs w:val="18"/>
              </w:rPr>
              <w:t>-0,2</w:t>
            </w:r>
          </w:p>
        </w:tc>
        <w:tc>
          <w:tcPr>
            <w:tcW w:w="1311" w:type="dxa"/>
            <w:tcBorders>
              <w:top w:val="nil"/>
              <w:left w:val="nil"/>
              <w:bottom w:val="nil"/>
              <w:right w:val="nil"/>
            </w:tcBorders>
            <w:noWrap/>
            <w:vAlign w:val="center"/>
            <w:hideMark/>
          </w:tcPr>
          <w:p w:rsidRPr="0029481F" w:rsidR="00040FAF" w:rsidP="00040FAF" w:rsidRDefault="00040FAF" w14:paraId="54FB01BE" w14:textId="77777777">
            <w:pPr>
              <w:jc w:val="right"/>
              <w:rPr>
                <w:color w:val="000000"/>
                <w:sz w:val="18"/>
                <w:szCs w:val="18"/>
              </w:rPr>
            </w:pPr>
            <w:r w:rsidRPr="0029481F">
              <w:rPr>
                <w:color w:val="000000"/>
                <w:sz w:val="18"/>
                <w:szCs w:val="18"/>
              </w:rPr>
              <w:t>-0,3</w:t>
            </w:r>
          </w:p>
        </w:tc>
        <w:tc>
          <w:tcPr>
            <w:tcW w:w="1260" w:type="dxa"/>
            <w:tcBorders>
              <w:top w:val="nil"/>
              <w:left w:val="nil"/>
              <w:bottom w:val="nil"/>
              <w:right w:val="nil"/>
            </w:tcBorders>
            <w:noWrap/>
            <w:vAlign w:val="center"/>
            <w:hideMark/>
          </w:tcPr>
          <w:p w:rsidRPr="0029481F" w:rsidR="00040FAF" w:rsidP="00040FAF" w:rsidRDefault="00040FAF" w14:paraId="3C7EC0CC" w14:textId="77777777">
            <w:pPr>
              <w:jc w:val="right"/>
              <w:rPr>
                <w:color w:val="000000"/>
                <w:sz w:val="18"/>
                <w:szCs w:val="18"/>
              </w:rPr>
            </w:pPr>
            <w:r w:rsidRPr="0029481F">
              <w:rPr>
                <w:color w:val="000000"/>
                <w:sz w:val="18"/>
                <w:szCs w:val="18"/>
              </w:rPr>
              <w:t>-0,2</w:t>
            </w:r>
          </w:p>
        </w:tc>
      </w:tr>
      <w:tr w:rsidRPr="0029481F" w:rsidR="00040FAF" w:rsidTr="00040FAF" w14:paraId="253867BD" w14:textId="77777777">
        <w:trPr>
          <w:trHeight w:val="240"/>
        </w:trPr>
        <w:tc>
          <w:tcPr>
            <w:tcW w:w="5040" w:type="dxa"/>
            <w:tcBorders>
              <w:top w:val="nil"/>
              <w:left w:val="nil"/>
              <w:bottom w:val="nil"/>
              <w:right w:val="nil"/>
            </w:tcBorders>
            <w:noWrap/>
            <w:vAlign w:val="center"/>
            <w:hideMark/>
          </w:tcPr>
          <w:p w:rsidRPr="0029481F" w:rsidR="00040FAF" w:rsidP="00040FAF" w:rsidRDefault="00040FAF" w14:paraId="3E2F45AF" w14:textId="77777777">
            <w:pPr>
              <w:jc w:val="right"/>
              <w:rPr>
                <w:color w:val="000000"/>
                <w:sz w:val="18"/>
                <w:szCs w:val="18"/>
              </w:rPr>
            </w:pPr>
          </w:p>
        </w:tc>
        <w:tc>
          <w:tcPr>
            <w:tcW w:w="849" w:type="dxa"/>
            <w:tcBorders>
              <w:top w:val="nil"/>
              <w:left w:val="nil"/>
              <w:bottom w:val="nil"/>
              <w:right w:val="nil"/>
            </w:tcBorders>
            <w:noWrap/>
            <w:vAlign w:val="center"/>
            <w:hideMark/>
          </w:tcPr>
          <w:p w:rsidRPr="0029481F" w:rsidR="00040FAF" w:rsidP="00040FAF" w:rsidRDefault="00040FAF" w14:paraId="369120BE" w14:textId="77777777">
            <w:pPr>
              <w:rPr>
                <w:rFonts w:ascii="Times New Roman" w:hAnsi="Times New Roman"/>
                <w:sz w:val="20"/>
                <w:szCs w:val="20"/>
              </w:rPr>
            </w:pPr>
          </w:p>
        </w:tc>
        <w:tc>
          <w:tcPr>
            <w:tcW w:w="1311" w:type="dxa"/>
            <w:tcBorders>
              <w:top w:val="nil"/>
              <w:left w:val="nil"/>
              <w:bottom w:val="nil"/>
              <w:right w:val="nil"/>
            </w:tcBorders>
            <w:noWrap/>
            <w:vAlign w:val="center"/>
            <w:hideMark/>
          </w:tcPr>
          <w:p w:rsidRPr="0029481F" w:rsidR="00040FAF" w:rsidP="00040FAF" w:rsidRDefault="00040FAF" w14:paraId="78A1EE83" w14:textId="77777777">
            <w:pPr>
              <w:jc w:val="right"/>
              <w:rPr>
                <w:rFonts w:ascii="Times New Roman" w:hAnsi="Times New Roman"/>
                <w:sz w:val="20"/>
                <w:szCs w:val="20"/>
              </w:rPr>
            </w:pPr>
          </w:p>
        </w:tc>
        <w:tc>
          <w:tcPr>
            <w:tcW w:w="1260" w:type="dxa"/>
            <w:tcBorders>
              <w:top w:val="nil"/>
              <w:left w:val="nil"/>
              <w:bottom w:val="nil"/>
              <w:right w:val="nil"/>
            </w:tcBorders>
            <w:noWrap/>
            <w:vAlign w:val="center"/>
            <w:hideMark/>
          </w:tcPr>
          <w:p w:rsidRPr="0029481F" w:rsidR="00040FAF" w:rsidP="00040FAF" w:rsidRDefault="00040FAF" w14:paraId="77482174" w14:textId="77777777">
            <w:pPr>
              <w:jc w:val="right"/>
              <w:rPr>
                <w:rFonts w:ascii="Times New Roman" w:hAnsi="Times New Roman"/>
                <w:sz w:val="20"/>
                <w:szCs w:val="20"/>
              </w:rPr>
            </w:pPr>
          </w:p>
        </w:tc>
      </w:tr>
      <w:tr w:rsidRPr="0029481F" w:rsidR="00040FAF" w:rsidTr="00040FAF" w14:paraId="6E4BCA24" w14:textId="77777777">
        <w:trPr>
          <w:trHeight w:val="240"/>
        </w:trPr>
        <w:tc>
          <w:tcPr>
            <w:tcW w:w="5040" w:type="dxa"/>
            <w:tcBorders>
              <w:top w:val="nil"/>
              <w:left w:val="nil"/>
              <w:bottom w:val="nil"/>
              <w:right w:val="nil"/>
            </w:tcBorders>
            <w:noWrap/>
            <w:vAlign w:val="bottom"/>
            <w:hideMark/>
          </w:tcPr>
          <w:p w:rsidRPr="0029481F" w:rsidR="00040FAF" w:rsidP="00040FAF" w:rsidRDefault="00040FAF" w14:paraId="7FF0763A" w14:textId="77777777">
            <w:pPr>
              <w:rPr>
                <w:color w:val="000000"/>
                <w:sz w:val="18"/>
                <w:szCs w:val="18"/>
              </w:rPr>
            </w:pPr>
            <w:r w:rsidRPr="0029481F">
              <w:rPr>
                <w:color w:val="000000"/>
                <w:sz w:val="18"/>
                <w:szCs w:val="18"/>
              </w:rPr>
              <w:t>EMU-saldo structureel</w:t>
            </w:r>
          </w:p>
        </w:tc>
        <w:tc>
          <w:tcPr>
            <w:tcW w:w="849" w:type="dxa"/>
            <w:tcBorders>
              <w:top w:val="nil"/>
              <w:left w:val="nil"/>
              <w:bottom w:val="nil"/>
              <w:right w:val="nil"/>
            </w:tcBorders>
            <w:noWrap/>
            <w:vAlign w:val="bottom"/>
            <w:hideMark/>
          </w:tcPr>
          <w:p w:rsidRPr="0029481F" w:rsidR="00040FAF" w:rsidP="00040FAF" w:rsidRDefault="00040FAF" w14:paraId="46F49498" w14:textId="77777777">
            <w:pPr>
              <w:jc w:val="right"/>
              <w:rPr>
                <w:color w:val="000000"/>
                <w:sz w:val="18"/>
                <w:szCs w:val="18"/>
              </w:rPr>
            </w:pPr>
            <w:r w:rsidRPr="0029481F">
              <w:rPr>
                <w:color w:val="000000"/>
                <w:sz w:val="18"/>
                <w:szCs w:val="18"/>
              </w:rPr>
              <w:t>-1,0</w:t>
            </w:r>
          </w:p>
        </w:tc>
        <w:tc>
          <w:tcPr>
            <w:tcW w:w="1311" w:type="dxa"/>
            <w:tcBorders>
              <w:top w:val="nil"/>
              <w:left w:val="nil"/>
              <w:bottom w:val="nil"/>
              <w:right w:val="nil"/>
            </w:tcBorders>
            <w:noWrap/>
            <w:vAlign w:val="bottom"/>
            <w:hideMark/>
          </w:tcPr>
          <w:p w:rsidRPr="0029481F" w:rsidR="00040FAF" w:rsidP="00040FAF" w:rsidRDefault="00040FAF" w14:paraId="2FF55912" w14:textId="77777777">
            <w:pPr>
              <w:jc w:val="right"/>
              <w:rPr>
                <w:color w:val="000000"/>
                <w:sz w:val="18"/>
                <w:szCs w:val="18"/>
              </w:rPr>
            </w:pPr>
            <w:r w:rsidRPr="0029481F">
              <w:rPr>
                <w:color w:val="000000"/>
                <w:sz w:val="18"/>
                <w:szCs w:val="18"/>
              </w:rPr>
              <w:t>-1,4</w:t>
            </w:r>
          </w:p>
        </w:tc>
        <w:tc>
          <w:tcPr>
            <w:tcW w:w="1260" w:type="dxa"/>
            <w:tcBorders>
              <w:top w:val="nil"/>
              <w:left w:val="nil"/>
              <w:bottom w:val="nil"/>
              <w:right w:val="nil"/>
            </w:tcBorders>
            <w:noWrap/>
            <w:vAlign w:val="bottom"/>
            <w:hideMark/>
          </w:tcPr>
          <w:p w:rsidRPr="0029481F" w:rsidR="00040FAF" w:rsidP="00040FAF" w:rsidRDefault="00040FAF" w14:paraId="7266D6CF" w14:textId="77777777">
            <w:pPr>
              <w:jc w:val="right"/>
              <w:rPr>
                <w:color w:val="000000"/>
                <w:sz w:val="18"/>
                <w:szCs w:val="18"/>
              </w:rPr>
            </w:pPr>
            <w:r w:rsidRPr="0029481F">
              <w:rPr>
                <w:color w:val="000000"/>
                <w:sz w:val="18"/>
                <w:szCs w:val="18"/>
              </w:rPr>
              <w:t>-1,3</w:t>
            </w:r>
          </w:p>
        </w:tc>
      </w:tr>
      <w:tr w:rsidRPr="0029481F" w:rsidR="00040FAF" w:rsidTr="00040FAF" w14:paraId="002B7647" w14:textId="77777777">
        <w:trPr>
          <w:trHeight w:val="240"/>
        </w:trPr>
        <w:tc>
          <w:tcPr>
            <w:tcW w:w="5040" w:type="dxa"/>
            <w:tcBorders>
              <w:top w:val="nil"/>
              <w:left w:val="nil"/>
              <w:bottom w:val="nil"/>
              <w:right w:val="nil"/>
            </w:tcBorders>
            <w:noWrap/>
            <w:vAlign w:val="bottom"/>
            <w:hideMark/>
          </w:tcPr>
          <w:p w:rsidRPr="0029481F" w:rsidR="00040FAF" w:rsidP="00040FAF" w:rsidRDefault="00040FAF" w14:paraId="6C96CC86" w14:textId="77777777">
            <w:pPr>
              <w:jc w:val="right"/>
              <w:rPr>
                <w:color w:val="000000"/>
                <w:sz w:val="18"/>
                <w:szCs w:val="18"/>
              </w:rPr>
            </w:pPr>
          </w:p>
        </w:tc>
        <w:tc>
          <w:tcPr>
            <w:tcW w:w="849" w:type="dxa"/>
            <w:tcBorders>
              <w:top w:val="nil"/>
              <w:left w:val="nil"/>
              <w:bottom w:val="nil"/>
              <w:right w:val="nil"/>
            </w:tcBorders>
            <w:noWrap/>
            <w:vAlign w:val="bottom"/>
            <w:hideMark/>
          </w:tcPr>
          <w:p w:rsidRPr="0029481F" w:rsidR="00040FAF" w:rsidP="00040FAF" w:rsidRDefault="00040FAF" w14:paraId="70311DD9" w14:textId="77777777">
            <w:pPr>
              <w:rPr>
                <w:rFonts w:ascii="Times New Roman" w:hAnsi="Times New Roman"/>
                <w:sz w:val="20"/>
                <w:szCs w:val="20"/>
              </w:rPr>
            </w:pPr>
          </w:p>
        </w:tc>
        <w:tc>
          <w:tcPr>
            <w:tcW w:w="1311" w:type="dxa"/>
            <w:tcBorders>
              <w:top w:val="nil"/>
              <w:left w:val="nil"/>
              <w:bottom w:val="nil"/>
              <w:right w:val="nil"/>
            </w:tcBorders>
            <w:noWrap/>
            <w:vAlign w:val="bottom"/>
            <w:hideMark/>
          </w:tcPr>
          <w:p w:rsidRPr="0029481F" w:rsidR="00040FAF" w:rsidP="00040FAF" w:rsidRDefault="00040FAF" w14:paraId="275300B3" w14:textId="77777777">
            <w:pPr>
              <w:rPr>
                <w:rFonts w:ascii="Times New Roman" w:hAnsi="Times New Roman"/>
                <w:sz w:val="20"/>
                <w:szCs w:val="20"/>
              </w:rPr>
            </w:pPr>
          </w:p>
        </w:tc>
        <w:tc>
          <w:tcPr>
            <w:tcW w:w="1260" w:type="dxa"/>
            <w:tcBorders>
              <w:top w:val="nil"/>
              <w:left w:val="nil"/>
              <w:bottom w:val="nil"/>
              <w:right w:val="nil"/>
            </w:tcBorders>
            <w:noWrap/>
            <w:vAlign w:val="bottom"/>
            <w:hideMark/>
          </w:tcPr>
          <w:p w:rsidRPr="0029481F" w:rsidR="00040FAF" w:rsidP="00040FAF" w:rsidRDefault="00040FAF" w14:paraId="364E980A" w14:textId="77777777">
            <w:pPr>
              <w:rPr>
                <w:rFonts w:ascii="Times New Roman" w:hAnsi="Times New Roman"/>
                <w:sz w:val="20"/>
                <w:szCs w:val="20"/>
              </w:rPr>
            </w:pPr>
          </w:p>
        </w:tc>
      </w:tr>
      <w:tr w:rsidRPr="0029481F" w:rsidR="00040FAF" w:rsidTr="00040FAF" w14:paraId="299309FF" w14:textId="77777777">
        <w:trPr>
          <w:trHeight w:val="240"/>
        </w:trPr>
        <w:tc>
          <w:tcPr>
            <w:tcW w:w="5040" w:type="dxa"/>
            <w:tcBorders>
              <w:top w:val="nil"/>
              <w:left w:val="nil"/>
              <w:bottom w:val="nil"/>
              <w:right w:val="nil"/>
            </w:tcBorders>
            <w:noWrap/>
            <w:vAlign w:val="bottom"/>
            <w:hideMark/>
          </w:tcPr>
          <w:p w:rsidRPr="0029481F" w:rsidR="00040FAF" w:rsidP="00040FAF" w:rsidRDefault="00040FAF" w14:paraId="1E652F94" w14:textId="77777777">
            <w:pPr>
              <w:rPr>
                <w:b/>
                <w:bCs/>
                <w:color w:val="000000"/>
                <w:sz w:val="18"/>
                <w:szCs w:val="18"/>
              </w:rPr>
            </w:pPr>
            <w:r w:rsidRPr="0029481F">
              <w:rPr>
                <w:b/>
                <w:bCs/>
                <w:color w:val="000000"/>
                <w:sz w:val="18"/>
                <w:szCs w:val="18"/>
              </w:rPr>
              <w:t>Schuldcriterium (% bbp)</w:t>
            </w:r>
          </w:p>
        </w:tc>
        <w:tc>
          <w:tcPr>
            <w:tcW w:w="849" w:type="dxa"/>
            <w:tcBorders>
              <w:top w:val="nil"/>
              <w:left w:val="nil"/>
              <w:bottom w:val="nil"/>
              <w:right w:val="nil"/>
            </w:tcBorders>
            <w:noWrap/>
            <w:vAlign w:val="bottom"/>
            <w:hideMark/>
          </w:tcPr>
          <w:p w:rsidRPr="0029481F" w:rsidR="00040FAF" w:rsidP="00040FAF" w:rsidRDefault="00040FAF" w14:paraId="2ADEF392" w14:textId="77777777">
            <w:pPr>
              <w:rPr>
                <w:b/>
                <w:bCs/>
                <w:color w:val="000000"/>
                <w:sz w:val="18"/>
                <w:szCs w:val="18"/>
              </w:rPr>
            </w:pPr>
          </w:p>
        </w:tc>
        <w:tc>
          <w:tcPr>
            <w:tcW w:w="1311" w:type="dxa"/>
            <w:tcBorders>
              <w:top w:val="nil"/>
              <w:left w:val="nil"/>
              <w:bottom w:val="nil"/>
              <w:right w:val="nil"/>
            </w:tcBorders>
            <w:noWrap/>
            <w:vAlign w:val="bottom"/>
            <w:hideMark/>
          </w:tcPr>
          <w:p w:rsidRPr="0029481F" w:rsidR="00040FAF" w:rsidP="00040FAF" w:rsidRDefault="00040FAF" w14:paraId="4632EFBF" w14:textId="77777777">
            <w:pPr>
              <w:rPr>
                <w:rFonts w:ascii="Times New Roman" w:hAnsi="Times New Roman"/>
                <w:sz w:val="20"/>
                <w:szCs w:val="20"/>
              </w:rPr>
            </w:pPr>
          </w:p>
        </w:tc>
        <w:tc>
          <w:tcPr>
            <w:tcW w:w="1260" w:type="dxa"/>
            <w:tcBorders>
              <w:top w:val="nil"/>
              <w:left w:val="nil"/>
              <w:bottom w:val="nil"/>
              <w:right w:val="nil"/>
            </w:tcBorders>
            <w:noWrap/>
            <w:vAlign w:val="bottom"/>
            <w:hideMark/>
          </w:tcPr>
          <w:p w:rsidRPr="0029481F" w:rsidR="00040FAF" w:rsidP="00040FAF" w:rsidRDefault="00040FAF" w14:paraId="2B2445B5" w14:textId="77777777">
            <w:pPr>
              <w:rPr>
                <w:rFonts w:ascii="Times New Roman" w:hAnsi="Times New Roman"/>
                <w:sz w:val="20"/>
                <w:szCs w:val="20"/>
              </w:rPr>
            </w:pPr>
          </w:p>
        </w:tc>
      </w:tr>
      <w:tr w:rsidRPr="0029481F" w:rsidR="00040FAF" w:rsidTr="00040FAF" w14:paraId="5E624C78" w14:textId="77777777">
        <w:trPr>
          <w:trHeight w:val="240"/>
        </w:trPr>
        <w:tc>
          <w:tcPr>
            <w:tcW w:w="5040" w:type="dxa"/>
            <w:tcBorders>
              <w:top w:val="nil"/>
              <w:left w:val="nil"/>
              <w:right w:val="nil"/>
            </w:tcBorders>
            <w:noWrap/>
            <w:vAlign w:val="center"/>
            <w:hideMark/>
          </w:tcPr>
          <w:p w:rsidRPr="0029481F" w:rsidR="00040FAF" w:rsidP="00040FAF" w:rsidRDefault="00040FAF" w14:paraId="08F33BEE" w14:textId="77777777">
            <w:pPr>
              <w:rPr>
                <w:i/>
                <w:iCs/>
                <w:color w:val="000000"/>
                <w:sz w:val="18"/>
                <w:szCs w:val="18"/>
              </w:rPr>
            </w:pPr>
            <w:r w:rsidRPr="0029481F">
              <w:rPr>
                <w:i/>
                <w:iCs/>
                <w:color w:val="000000"/>
                <w:sz w:val="18"/>
                <w:szCs w:val="18"/>
              </w:rPr>
              <w:t>Maximale EMU-schuld</w:t>
            </w:r>
          </w:p>
        </w:tc>
        <w:tc>
          <w:tcPr>
            <w:tcW w:w="849" w:type="dxa"/>
            <w:tcBorders>
              <w:top w:val="nil"/>
              <w:left w:val="nil"/>
              <w:right w:val="nil"/>
            </w:tcBorders>
            <w:noWrap/>
            <w:vAlign w:val="center"/>
            <w:hideMark/>
          </w:tcPr>
          <w:p w:rsidRPr="0029481F" w:rsidR="00040FAF" w:rsidP="00040FAF" w:rsidRDefault="00040FAF" w14:paraId="764EC717" w14:textId="77777777">
            <w:pPr>
              <w:jc w:val="right"/>
              <w:rPr>
                <w:i/>
                <w:iCs/>
                <w:color w:val="000000"/>
                <w:sz w:val="18"/>
                <w:szCs w:val="18"/>
              </w:rPr>
            </w:pPr>
            <w:r w:rsidRPr="0029481F">
              <w:rPr>
                <w:i/>
                <w:iCs/>
                <w:color w:val="000000"/>
                <w:sz w:val="18"/>
                <w:szCs w:val="18"/>
              </w:rPr>
              <w:t>60,0</w:t>
            </w:r>
          </w:p>
        </w:tc>
        <w:tc>
          <w:tcPr>
            <w:tcW w:w="1311" w:type="dxa"/>
            <w:tcBorders>
              <w:top w:val="nil"/>
              <w:left w:val="nil"/>
              <w:right w:val="nil"/>
            </w:tcBorders>
            <w:noWrap/>
            <w:vAlign w:val="center"/>
            <w:hideMark/>
          </w:tcPr>
          <w:p w:rsidRPr="0029481F" w:rsidR="00040FAF" w:rsidP="00040FAF" w:rsidRDefault="00040FAF" w14:paraId="4738AEF2" w14:textId="77777777">
            <w:pPr>
              <w:jc w:val="right"/>
              <w:rPr>
                <w:i/>
                <w:iCs/>
                <w:color w:val="000000"/>
                <w:sz w:val="18"/>
                <w:szCs w:val="18"/>
              </w:rPr>
            </w:pPr>
            <w:r w:rsidRPr="0029481F">
              <w:rPr>
                <w:i/>
                <w:iCs/>
                <w:color w:val="000000"/>
                <w:sz w:val="18"/>
                <w:szCs w:val="18"/>
              </w:rPr>
              <w:t>60,0</w:t>
            </w:r>
          </w:p>
        </w:tc>
        <w:tc>
          <w:tcPr>
            <w:tcW w:w="1260" w:type="dxa"/>
            <w:tcBorders>
              <w:top w:val="nil"/>
              <w:left w:val="nil"/>
              <w:right w:val="nil"/>
            </w:tcBorders>
            <w:noWrap/>
            <w:vAlign w:val="center"/>
            <w:hideMark/>
          </w:tcPr>
          <w:p w:rsidRPr="0029481F" w:rsidR="00040FAF" w:rsidP="00040FAF" w:rsidRDefault="00040FAF" w14:paraId="649C61D6" w14:textId="77777777">
            <w:pPr>
              <w:jc w:val="right"/>
              <w:rPr>
                <w:i/>
                <w:iCs/>
                <w:color w:val="000000"/>
                <w:sz w:val="18"/>
                <w:szCs w:val="18"/>
              </w:rPr>
            </w:pPr>
            <w:r w:rsidRPr="0029481F">
              <w:rPr>
                <w:i/>
                <w:iCs/>
                <w:color w:val="000000"/>
                <w:sz w:val="18"/>
                <w:szCs w:val="18"/>
              </w:rPr>
              <w:t>60,0</w:t>
            </w:r>
          </w:p>
        </w:tc>
      </w:tr>
      <w:tr w:rsidRPr="0029481F" w:rsidR="00040FAF" w:rsidTr="00040FAF" w14:paraId="35A90314" w14:textId="77777777">
        <w:trPr>
          <w:trHeight w:val="255"/>
        </w:trPr>
        <w:tc>
          <w:tcPr>
            <w:tcW w:w="5040" w:type="dxa"/>
            <w:tcBorders>
              <w:top w:val="nil"/>
              <w:left w:val="nil"/>
              <w:bottom w:val="single" w:color="auto" w:sz="12" w:space="0"/>
              <w:right w:val="nil"/>
            </w:tcBorders>
            <w:noWrap/>
            <w:vAlign w:val="center"/>
            <w:hideMark/>
          </w:tcPr>
          <w:p w:rsidRPr="0029481F" w:rsidR="00040FAF" w:rsidP="00040FAF" w:rsidRDefault="00040FAF" w14:paraId="7C1C8FDA" w14:textId="77777777">
            <w:pPr>
              <w:rPr>
                <w:color w:val="000000"/>
                <w:sz w:val="18"/>
                <w:szCs w:val="18"/>
              </w:rPr>
            </w:pPr>
            <w:r w:rsidRPr="0029481F">
              <w:rPr>
                <w:color w:val="000000"/>
                <w:sz w:val="18"/>
                <w:szCs w:val="18"/>
              </w:rPr>
              <w:t>EMU-schuld</w:t>
            </w:r>
          </w:p>
        </w:tc>
        <w:tc>
          <w:tcPr>
            <w:tcW w:w="849" w:type="dxa"/>
            <w:tcBorders>
              <w:top w:val="nil"/>
              <w:left w:val="nil"/>
              <w:bottom w:val="single" w:color="auto" w:sz="12" w:space="0"/>
              <w:right w:val="nil"/>
            </w:tcBorders>
            <w:noWrap/>
            <w:vAlign w:val="center"/>
            <w:hideMark/>
          </w:tcPr>
          <w:p w:rsidRPr="0029481F" w:rsidR="00040FAF" w:rsidP="00040FAF" w:rsidRDefault="00040FAF" w14:paraId="6EC78C7D" w14:textId="77777777">
            <w:pPr>
              <w:jc w:val="right"/>
              <w:rPr>
                <w:color w:val="000000"/>
                <w:sz w:val="18"/>
                <w:szCs w:val="18"/>
              </w:rPr>
            </w:pPr>
            <w:r w:rsidRPr="0029481F">
              <w:rPr>
                <w:color w:val="000000"/>
                <w:sz w:val="18"/>
                <w:szCs w:val="18"/>
              </w:rPr>
              <w:t>42,6</w:t>
            </w:r>
          </w:p>
        </w:tc>
        <w:tc>
          <w:tcPr>
            <w:tcW w:w="1311" w:type="dxa"/>
            <w:tcBorders>
              <w:top w:val="nil"/>
              <w:left w:val="nil"/>
              <w:bottom w:val="single" w:color="auto" w:sz="12" w:space="0"/>
              <w:right w:val="nil"/>
            </w:tcBorders>
            <w:noWrap/>
            <w:vAlign w:val="center"/>
            <w:hideMark/>
          </w:tcPr>
          <w:p w:rsidRPr="0029481F" w:rsidR="00040FAF" w:rsidP="00040FAF" w:rsidRDefault="00040FAF" w14:paraId="78657FA2" w14:textId="77777777">
            <w:pPr>
              <w:jc w:val="right"/>
              <w:rPr>
                <w:color w:val="000000"/>
                <w:sz w:val="18"/>
                <w:szCs w:val="18"/>
              </w:rPr>
            </w:pPr>
            <w:r w:rsidRPr="0029481F">
              <w:rPr>
                <w:color w:val="000000"/>
                <w:sz w:val="18"/>
                <w:szCs w:val="18"/>
              </w:rPr>
              <w:t>45,3</w:t>
            </w:r>
          </w:p>
        </w:tc>
        <w:tc>
          <w:tcPr>
            <w:tcW w:w="1260" w:type="dxa"/>
            <w:tcBorders>
              <w:top w:val="nil"/>
              <w:left w:val="nil"/>
              <w:bottom w:val="single" w:color="auto" w:sz="12" w:space="0"/>
              <w:right w:val="nil"/>
            </w:tcBorders>
            <w:noWrap/>
            <w:vAlign w:val="center"/>
            <w:hideMark/>
          </w:tcPr>
          <w:p w:rsidRPr="0029481F" w:rsidR="00040FAF" w:rsidP="00040FAF" w:rsidRDefault="00040FAF" w14:paraId="68DE5D2A" w14:textId="77777777">
            <w:pPr>
              <w:jc w:val="right"/>
              <w:rPr>
                <w:color w:val="000000"/>
                <w:sz w:val="18"/>
                <w:szCs w:val="18"/>
              </w:rPr>
            </w:pPr>
            <w:r w:rsidRPr="0029481F">
              <w:rPr>
                <w:color w:val="000000"/>
                <w:sz w:val="18"/>
                <w:szCs w:val="18"/>
              </w:rPr>
              <w:t>45,3</w:t>
            </w:r>
          </w:p>
        </w:tc>
      </w:tr>
      <w:tr w:rsidRPr="0029481F" w:rsidR="00040FAF" w:rsidTr="00040FAF" w14:paraId="7771EBF3" w14:textId="77777777">
        <w:trPr>
          <w:trHeight w:val="240"/>
        </w:trPr>
        <w:tc>
          <w:tcPr>
            <w:tcW w:w="5040" w:type="dxa"/>
            <w:tcBorders>
              <w:top w:val="single" w:color="auto" w:sz="12" w:space="0"/>
              <w:left w:val="nil"/>
              <w:bottom w:val="nil"/>
              <w:right w:val="nil"/>
            </w:tcBorders>
            <w:noWrap/>
            <w:vAlign w:val="center"/>
            <w:hideMark/>
          </w:tcPr>
          <w:p w:rsidRPr="0029481F" w:rsidR="00040FAF" w:rsidP="00040FAF" w:rsidRDefault="00040FAF" w14:paraId="2FE7E28B" w14:textId="77777777">
            <w:pPr>
              <w:rPr>
                <w:i/>
                <w:iCs/>
                <w:color w:val="000000"/>
                <w:sz w:val="18"/>
                <w:szCs w:val="18"/>
              </w:rPr>
            </w:pPr>
            <w:r w:rsidRPr="0029481F">
              <w:rPr>
                <w:i/>
                <w:iCs/>
                <w:color w:val="000000"/>
                <w:sz w:val="18"/>
                <w:szCs w:val="18"/>
              </w:rPr>
              <w:t xml:space="preserve">Bron: CPB (Centraal Economisch </w:t>
            </w:r>
            <w:r>
              <w:rPr>
                <w:i/>
                <w:iCs/>
                <w:color w:val="000000"/>
                <w:sz w:val="18"/>
                <w:szCs w:val="18"/>
              </w:rPr>
              <w:t>Plan</w:t>
            </w:r>
            <w:r w:rsidRPr="0029481F">
              <w:rPr>
                <w:i/>
                <w:iCs/>
                <w:color w:val="000000"/>
                <w:sz w:val="18"/>
                <w:szCs w:val="18"/>
              </w:rPr>
              <w:t xml:space="preserve"> 2026)</w:t>
            </w:r>
          </w:p>
        </w:tc>
        <w:tc>
          <w:tcPr>
            <w:tcW w:w="849" w:type="dxa"/>
            <w:tcBorders>
              <w:top w:val="single" w:color="auto" w:sz="12" w:space="0"/>
              <w:left w:val="nil"/>
              <w:bottom w:val="nil"/>
              <w:right w:val="nil"/>
            </w:tcBorders>
            <w:noWrap/>
            <w:vAlign w:val="bottom"/>
            <w:hideMark/>
          </w:tcPr>
          <w:p w:rsidRPr="0029481F" w:rsidR="00040FAF" w:rsidP="00040FAF" w:rsidRDefault="00040FAF" w14:paraId="6DEAC4E3" w14:textId="77777777">
            <w:pPr>
              <w:rPr>
                <w:i/>
                <w:iCs/>
                <w:color w:val="000000"/>
                <w:sz w:val="18"/>
                <w:szCs w:val="18"/>
              </w:rPr>
            </w:pPr>
          </w:p>
        </w:tc>
        <w:tc>
          <w:tcPr>
            <w:tcW w:w="1311" w:type="dxa"/>
            <w:tcBorders>
              <w:top w:val="single" w:color="auto" w:sz="12" w:space="0"/>
              <w:left w:val="nil"/>
              <w:bottom w:val="nil"/>
              <w:right w:val="nil"/>
            </w:tcBorders>
            <w:noWrap/>
            <w:vAlign w:val="bottom"/>
            <w:hideMark/>
          </w:tcPr>
          <w:p w:rsidRPr="0029481F" w:rsidR="00040FAF" w:rsidP="00040FAF" w:rsidRDefault="00040FAF" w14:paraId="629022DC" w14:textId="77777777">
            <w:pPr>
              <w:rPr>
                <w:rFonts w:ascii="Times New Roman" w:hAnsi="Times New Roman"/>
                <w:sz w:val="20"/>
                <w:szCs w:val="20"/>
              </w:rPr>
            </w:pPr>
          </w:p>
        </w:tc>
        <w:tc>
          <w:tcPr>
            <w:tcW w:w="1260" w:type="dxa"/>
            <w:tcBorders>
              <w:top w:val="single" w:color="auto" w:sz="12" w:space="0"/>
              <w:left w:val="nil"/>
              <w:bottom w:val="nil"/>
              <w:right w:val="nil"/>
            </w:tcBorders>
            <w:noWrap/>
            <w:vAlign w:val="bottom"/>
            <w:hideMark/>
          </w:tcPr>
          <w:p w:rsidRPr="0029481F" w:rsidR="00040FAF" w:rsidP="00040FAF" w:rsidRDefault="00040FAF" w14:paraId="4E964F6D" w14:textId="77777777">
            <w:pPr>
              <w:rPr>
                <w:rFonts w:ascii="Times New Roman" w:hAnsi="Times New Roman"/>
                <w:sz w:val="20"/>
                <w:szCs w:val="20"/>
              </w:rPr>
            </w:pPr>
          </w:p>
        </w:tc>
      </w:tr>
    </w:tbl>
    <w:p w:rsidR="00040FAF" w:rsidP="00040FAF" w:rsidRDefault="00040FAF" w14:paraId="6875C3EF" w14:textId="77777777"/>
    <w:p w:rsidR="00040FAF" w:rsidP="00040FAF" w:rsidRDefault="00040FAF" w14:paraId="08EA8F01" w14:textId="77777777">
      <w:r>
        <w:t xml:space="preserve">Met een EMU-saldo van -1,6% bbp in 2025 en naar verwachting -2,6% in 2026 behoudt Nederland voldoende afstand tot de referentiewaarden voor het begrotingstekort. Op basis van deze cijfers zal voor Nederland voor het tekortcriterium geen </w:t>
      </w:r>
      <w:proofErr w:type="spellStart"/>
      <w:r>
        <w:t>buitensporigtekortprocedure</w:t>
      </w:r>
      <w:proofErr w:type="spellEnd"/>
      <w:r>
        <w:t xml:space="preserve"> worden geopend. Ook de overheidsschuld blijft ruime afstand houden tot de referentiewaarden voor de EMU-schuld: met een schuld van 42,6% bbp in 2025 en naar verwachting 45,3% bbp in 2026 zal er geen </w:t>
      </w:r>
      <w:proofErr w:type="spellStart"/>
      <w:r>
        <w:t>buitensporigtekortprocedure</w:t>
      </w:r>
      <w:proofErr w:type="spellEnd"/>
      <w:r>
        <w:t xml:space="preserve"> voor Nederland worden geopend op basis van het schuldcriterium. Nederland voldoet daarmee voor de jaren 2025 en 2026 aan de vereisten van de correctieve arm. </w:t>
      </w:r>
    </w:p>
    <w:p w:rsidR="00040FAF" w:rsidP="00040FAF" w:rsidRDefault="00040FAF" w14:paraId="297CD169" w14:textId="77777777"/>
    <w:p w:rsidRPr="00DA7337" w:rsidR="00040FAF" w:rsidP="00040FAF" w:rsidRDefault="00040FAF" w14:paraId="347A7DE4" w14:textId="77777777">
      <w:r w:rsidRPr="00DA7337">
        <w:t>Een gedeelte van de hogere uitgaven in 2026</w:t>
      </w:r>
      <w:r>
        <w:t xml:space="preserve"> is</w:t>
      </w:r>
      <w:r w:rsidRPr="00DA7337">
        <w:t xml:space="preserve"> incidenteel</w:t>
      </w:r>
      <w:r>
        <w:t xml:space="preserve">. </w:t>
      </w:r>
      <w:r w:rsidRPr="00DA7337">
        <w:t>Voor de</w:t>
      </w:r>
      <w:r>
        <w:t xml:space="preserve"> defensie-</w:t>
      </w:r>
      <w:r w:rsidRPr="00DA7337">
        <w:t>pensioenen is in het verleden geen v</w:t>
      </w:r>
      <w:r>
        <w:t>oorziening</w:t>
      </w:r>
      <w:r w:rsidRPr="00DA7337">
        <w:t xml:space="preserve"> opgebouwd. </w:t>
      </w:r>
      <w:r>
        <w:t>De defensie-pensioenen worden nu ondergebracht bij het ABP, waardoor</w:t>
      </w:r>
      <w:r w:rsidRPr="00DA7337">
        <w:t xml:space="preserve"> er </w:t>
      </w:r>
      <w:r>
        <w:t>€ </w:t>
      </w:r>
      <w:r w:rsidRPr="00DA7337">
        <w:t>8</w:t>
      </w:r>
      <w:r>
        <w:t>,2</w:t>
      </w:r>
      <w:r w:rsidRPr="00DA7337">
        <w:t xml:space="preserve"> mld</w:t>
      </w:r>
      <w:r>
        <w:t>.</w:t>
      </w:r>
      <w:r w:rsidRPr="00DA7337">
        <w:t xml:space="preserve"> gestort moet worden.</w:t>
      </w:r>
    </w:p>
    <w:p w:rsidR="00040FAF" w:rsidP="00040FAF" w:rsidRDefault="00040FAF" w14:paraId="5A3C5803" w14:textId="77777777"/>
    <w:p w:rsidRPr="00D64CC0" w:rsidR="00040FAF" w:rsidP="00040FAF" w:rsidRDefault="00040FAF" w14:paraId="5809502B" w14:textId="77777777">
      <w:r w:rsidRPr="00D64CC0">
        <w:rPr>
          <w:bCs/>
        </w:rPr>
        <w:t>Het</w:t>
      </w:r>
      <w:r w:rsidRPr="00D64CC0">
        <w:t xml:space="preserve"> </w:t>
      </w:r>
      <w:r w:rsidRPr="00D64CC0">
        <w:rPr>
          <w:bCs/>
        </w:rPr>
        <w:t>C</w:t>
      </w:r>
      <w:r>
        <w:rPr>
          <w:bCs/>
        </w:rPr>
        <w:t xml:space="preserve">entraal </w:t>
      </w:r>
      <w:r w:rsidRPr="00D64CC0">
        <w:rPr>
          <w:bCs/>
        </w:rPr>
        <w:t>B</w:t>
      </w:r>
      <w:r>
        <w:rPr>
          <w:bCs/>
        </w:rPr>
        <w:t>ureau voor de Statistiek (</w:t>
      </w:r>
      <w:r w:rsidRPr="00D64CC0">
        <w:t>CBS</w:t>
      </w:r>
      <w:r>
        <w:rPr>
          <w:bCs/>
        </w:rPr>
        <w:t>)</w:t>
      </w:r>
      <w:r w:rsidRPr="00D64CC0">
        <w:t xml:space="preserve"> heeft sinds de publicatie van het CEP </w:t>
      </w:r>
      <w:r>
        <w:rPr>
          <w:bCs/>
        </w:rPr>
        <w:t>2026</w:t>
      </w:r>
      <w:r w:rsidRPr="00D64CC0">
        <w:rPr>
          <w:bCs/>
        </w:rPr>
        <w:t xml:space="preserve"> </w:t>
      </w:r>
      <w:r w:rsidRPr="00D64CC0">
        <w:t>nieuwe realisatiecijfers uitgebracht. Hierin komt de EMU-schuld uit op 44,4% bbp. Dit is 1,6% bbp hoger dan de 42,6% in het CEP. Dit verschil komt voor een groot deel door financiële transacties</w:t>
      </w:r>
      <w:r>
        <w:rPr>
          <w:bCs/>
        </w:rPr>
        <w:t>. Deze werken</w:t>
      </w:r>
      <w:r>
        <w:t xml:space="preserve"> niet </w:t>
      </w:r>
      <w:r>
        <w:rPr>
          <w:bCs/>
        </w:rPr>
        <w:t>door</w:t>
      </w:r>
      <w:r>
        <w:t xml:space="preserve"> in het saldo</w:t>
      </w:r>
      <w:r w:rsidRPr="00D64CC0">
        <w:t xml:space="preserve"> maar wel in de schuld. </w:t>
      </w:r>
      <w:r>
        <w:rPr>
          <w:bCs/>
        </w:rPr>
        <w:t>Vooral</w:t>
      </w:r>
      <w:r w:rsidRPr="00D64CC0">
        <w:t xml:space="preserve"> leningen van de Staat aan </w:t>
      </w:r>
      <w:proofErr w:type="spellStart"/>
      <w:r w:rsidRPr="00D64CC0">
        <w:t>Tennet</w:t>
      </w:r>
      <w:proofErr w:type="spellEnd"/>
      <w:r w:rsidRPr="00D64CC0">
        <w:t xml:space="preserve"> van in totaal </w:t>
      </w:r>
      <w:r>
        <w:t>€ </w:t>
      </w:r>
      <w:r w:rsidRPr="00D64CC0">
        <w:t>12</w:t>
      </w:r>
      <w:r>
        <w:t> </w:t>
      </w:r>
      <w:r w:rsidRPr="00D64CC0">
        <w:t>mld.</w:t>
      </w:r>
      <w:r>
        <w:rPr>
          <w:bCs/>
        </w:rPr>
        <w:t xml:space="preserve"> dragen bij aan de hogere schuld.</w:t>
      </w:r>
      <w:r>
        <w:rPr>
          <w:rStyle w:val="Voetnootmarkering"/>
          <w:bCs/>
        </w:rPr>
        <w:footnoteReference w:id="37"/>
      </w:r>
      <w:r w:rsidRPr="00D64CC0">
        <w:t xml:space="preserve"> </w:t>
      </w:r>
      <w:r>
        <w:rPr>
          <w:bCs/>
        </w:rPr>
        <w:t>De verhoging</w:t>
      </w:r>
      <w:r w:rsidRPr="00D64CC0">
        <w:t xml:space="preserve"> zal ook doorwerken in de schuldverwachtingen voor latere jaren. </w:t>
      </w:r>
      <w:r w:rsidRPr="00D64CC0">
        <w:rPr>
          <w:bCs/>
        </w:rPr>
        <w:t xml:space="preserve">In de nieuwe </w:t>
      </w:r>
      <w:r>
        <w:rPr>
          <w:bCs/>
        </w:rPr>
        <w:t>realisatie</w:t>
      </w:r>
      <w:r w:rsidRPr="00D64CC0">
        <w:rPr>
          <w:bCs/>
        </w:rPr>
        <w:t>cijfers</w:t>
      </w:r>
      <w:r>
        <w:rPr>
          <w:bCs/>
        </w:rPr>
        <w:t xml:space="preserve"> van het CBS</w:t>
      </w:r>
      <w:r w:rsidRPr="00D64CC0">
        <w:t xml:space="preserve"> blijft het EMU-saldo gelijk op -1,6% in 2025.</w:t>
      </w:r>
    </w:p>
    <w:p w:rsidRPr="007B45A5" w:rsidR="00040FAF" w:rsidP="00040FAF" w:rsidRDefault="00040FAF" w14:paraId="78555CBB" w14:textId="77777777">
      <w:pPr>
        <w:rPr>
          <w:b/>
        </w:rPr>
      </w:pPr>
    </w:p>
    <w:p w:rsidR="00040FAF" w:rsidP="00040FAF" w:rsidRDefault="00040FAF" w14:paraId="7DD36D56" w14:textId="77777777">
      <w:r w:rsidRPr="00B27DFD">
        <w:lastRenderedPageBreak/>
        <w:t>De Commissie onderzoekt</w:t>
      </w:r>
      <w:r>
        <w:t xml:space="preserve"> bij haar lenteraming</w:t>
      </w:r>
      <w:r w:rsidRPr="00B27DFD">
        <w:t xml:space="preserve"> opnieuw of er in het voorgaande jaar (</w:t>
      </w:r>
      <w:r w:rsidRPr="001C7365">
        <w:rPr>
          <w:i/>
          <w:iCs/>
        </w:rPr>
        <w:t>ex</w:t>
      </w:r>
      <w:r>
        <w:rPr>
          <w:i/>
          <w:iCs/>
        </w:rPr>
        <w:t xml:space="preserve"> </w:t>
      </w:r>
      <w:r w:rsidRPr="001C7365">
        <w:rPr>
          <w:i/>
          <w:iCs/>
        </w:rPr>
        <w:t>post</w:t>
      </w:r>
      <w:r w:rsidRPr="00B27DFD">
        <w:t>) op basis van de begrotingsrealisaties is voldaan aan de referentiewaarden, of dat er in dat jaar (</w:t>
      </w:r>
      <w:r w:rsidRPr="001C7365">
        <w:rPr>
          <w:i/>
        </w:rPr>
        <w:t>in</w:t>
      </w:r>
      <w:r>
        <w:rPr>
          <w:i/>
        </w:rPr>
        <w:t xml:space="preserve"> </w:t>
      </w:r>
      <w:proofErr w:type="spellStart"/>
      <w:r w:rsidRPr="001C7365">
        <w:rPr>
          <w:i/>
        </w:rPr>
        <w:t>year</w:t>
      </w:r>
      <w:proofErr w:type="spellEnd"/>
      <w:r w:rsidRPr="00B27DFD">
        <w:t xml:space="preserve">) sprake is van een geplande overschrijding van de referentiewaarden. Op basis van dat onderzoek zal de Commissie </w:t>
      </w:r>
      <w:r>
        <w:t>eventueel</w:t>
      </w:r>
      <w:r w:rsidRPr="00B27DFD">
        <w:t xml:space="preserve"> een aanbeveling aan de Raad </w:t>
      </w:r>
      <w:r>
        <w:t xml:space="preserve">van de Europese Unie </w:t>
      </w:r>
      <w:r w:rsidRPr="00B27DFD">
        <w:t>doen over het openen van een buitensporig tekort</w:t>
      </w:r>
      <w:r>
        <w:t>procedure</w:t>
      </w:r>
      <w:r w:rsidRPr="00B27DFD">
        <w:t xml:space="preserve">, of het opleggen van een corrigerend </w:t>
      </w:r>
      <w:proofErr w:type="spellStart"/>
      <w:r w:rsidRPr="00B27DFD">
        <w:t>uitgavenpad</w:t>
      </w:r>
      <w:proofErr w:type="spellEnd"/>
      <w:r w:rsidRPr="00B27DFD">
        <w:t>.</w:t>
      </w:r>
    </w:p>
    <w:p w:rsidR="00040FAF" w:rsidP="00040FAF" w:rsidRDefault="00040FAF" w14:paraId="331682BD" w14:textId="77777777">
      <w:pPr>
        <w:rPr>
          <w:b/>
          <w:bCs/>
        </w:rPr>
      </w:pPr>
    </w:p>
    <w:p w:rsidRPr="00635F37" w:rsidR="00040FAF" w:rsidP="00040FAF" w:rsidRDefault="00040FAF" w14:paraId="01A2684D" w14:textId="77777777">
      <w:r w:rsidRPr="005859F9">
        <w:rPr>
          <w:b/>
          <w:bCs/>
        </w:rPr>
        <w:t xml:space="preserve">Op basis van de </w:t>
      </w:r>
      <w:proofErr w:type="gramStart"/>
      <w:r w:rsidRPr="005859F9">
        <w:rPr>
          <w:b/>
          <w:bCs/>
        </w:rPr>
        <w:t>thans</w:t>
      </w:r>
      <w:proofErr w:type="gramEnd"/>
      <w:r w:rsidRPr="005859F9">
        <w:rPr>
          <w:b/>
          <w:bCs/>
        </w:rPr>
        <w:t xml:space="preserve"> beschikbare ramingen verwacht de Afdeling niet dat de Commissie voor Nederland een </w:t>
      </w:r>
      <w:proofErr w:type="spellStart"/>
      <w:r w:rsidRPr="005859F9">
        <w:rPr>
          <w:b/>
          <w:bCs/>
        </w:rPr>
        <w:t>buitensporigtekortprocedure</w:t>
      </w:r>
      <w:proofErr w:type="spellEnd"/>
      <w:r w:rsidRPr="005859F9">
        <w:rPr>
          <w:b/>
          <w:bCs/>
        </w:rPr>
        <w:t xml:space="preserve"> zal aanbevelen.</w:t>
      </w:r>
      <w:r>
        <w:t xml:space="preserve"> </w:t>
      </w:r>
    </w:p>
    <w:p w:rsidRPr="00F36953" w:rsidR="00040FAF" w:rsidP="00040FAF" w:rsidRDefault="00040FAF" w14:paraId="4E880B11" w14:textId="77777777">
      <w:pPr>
        <w:rPr>
          <w:b/>
          <w:bCs/>
        </w:rPr>
      </w:pPr>
    </w:p>
    <w:p w:rsidRPr="00C16C31" w:rsidR="00040FAF" w:rsidP="00040FAF" w:rsidRDefault="00040FAF" w14:paraId="541D74C0" w14:textId="77777777">
      <w:pPr>
        <w:pStyle w:val="Lijstalinea"/>
        <w:numPr>
          <w:ilvl w:val="1"/>
          <w:numId w:val="4"/>
        </w:numPr>
        <w:ind w:left="709" w:hanging="709"/>
        <w:rPr>
          <w:i/>
        </w:rPr>
      </w:pPr>
      <w:r w:rsidRPr="00C16C31">
        <w:rPr>
          <w:i/>
        </w:rPr>
        <w:t xml:space="preserve">Toetsing aan de preventieve arm </w:t>
      </w:r>
    </w:p>
    <w:p w:rsidR="00040FAF" w:rsidP="00040FAF" w:rsidRDefault="00040FAF" w14:paraId="7DF37A43" w14:textId="77777777">
      <w:r w:rsidRPr="00FE35BE">
        <w:t>Het doel van de preventieve arm</w:t>
      </w:r>
      <w:r>
        <w:t xml:space="preserve"> </w:t>
      </w:r>
      <w:r w:rsidRPr="00FE35BE">
        <w:t xml:space="preserve">is om te voorkomen dat lidstaten worden geconfronteerd met te hoge tekorten. </w:t>
      </w:r>
      <w:r>
        <w:t>Daarom</w:t>
      </w:r>
      <w:r w:rsidRPr="00FE35BE">
        <w:t xml:space="preserve"> zit in </w:t>
      </w:r>
      <w:r>
        <w:t xml:space="preserve">het </w:t>
      </w:r>
      <w:proofErr w:type="spellStart"/>
      <w:r>
        <w:t>uitgavenpad</w:t>
      </w:r>
      <w:proofErr w:type="spellEnd"/>
      <w:r w:rsidRPr="00FE35BE">
        <w:t xml:space="preserve"> een buffer ten opzichte van de normen voor het maximale begrotingstekort (3% bbp) en maximale overheidsschuld (60% bbp) ingebouwd, zodat lidstaten stabiliserend begrotingsbeleid kunnen voeren.</w:t>
      </w:r>
      <w:r>
        <w:rPr>
          <w:rStyle w:val="Voetnootmarkering"/>
        </w:rPr>
        <w:footnoteReference w:id="38"/>
      </w:r>
      <w:r w:rsidRPr="00FE35BE">
        <w:t xml:space="preserve"> </w:t>
      </w:r>
    </w:p>
    <w:p w:rsidR="00040FAF" w:rsidP="00040FAF" w:rsidRDefault="00040FAF" w14:paraId="00A66889" w14:textId="77777777"/>
    <w:p w:rsidR="00040FAF" w:rsidP="00040FAF" w:rsidRDefault="00040FAF" w14:paraId="0B04FD8E" w14:textId="77777777">
      <w:r w:rsidRPr="00652DC8">
        <w:t xml:space="preserve">Sturing op het </w:t>
      </w:r>
      <w:proofErr w:type="spellStart"/>
      <w:r w:rsidRPr="00652DC8">
        <w:t>uitgavenpad</w:t>
      </w:r>
      <w:proofErr w:type="spellEnd"/>
      <w:r w:rsidRPr="00652DC8">
        <w:t xml:space="preserve"> </w:t>
      </w:r>
      <w:r>
        <w:t xml:space="preserve">moet </w:t>
      </w:r>
      <w:r w:rsidRPr="00652DC8">
        <w:t>ervoor</w:t>
      </w:r>
      <w:r>
        <w:t xml:space="preserve"> </w:t>
      </w:r>
      <w:r w:rsidRPr="00652DC8">
        <w:t>zorgen dat de geraamde schuld en</w:t>
      </w:r>
      <w:r>
        <w:t xml:space="preserve"> het</w:t>
      </w:r>
      <w:r w:rsidRPr="00652DC8">
        <w:t xml:space="preserve"> tekort op de middellange termijn bij verschillende scenario’s onder deze referentiewaarden blijven</w:t>
      </w:r>
      <w:r>
        <w:t>,</w:t>
      </w:r>
      <w:r w:rsidRPr="00652DC8">
        <w:t xml:space="preserve"> zodat houdbare overheidsfinanciën worden </w:t>
      </w:r>
      <w:r>
        <w:t>gewaar</w:t>
      </w:r>
      <w:r w:rsidRPr="00652DC8">
        <w:t>borgd.</w:t>
      </w:r>
    </w:p>
    <w:p w:rsidR="00040FAF" w:rsidP="00040FAF" w:rsidRDefault="00040FAF" w14:paraId="597FE363" w14:textId="77777777"/>
    <w:p w:rsidR="00040FAF" w:rsidP="00040FAF" w:rsidRDefault="00040FAF" w14:paraId="1A433827" w14:textId="77777777">
      <w:r>
        <w:t>Het netto-</w:t>
      </w:r>
      <w:proofErr w:type="spellStart"/>
      <w:r>
        <w:t>uitgavenpad</w:t>
      </w:r>
      <w:proofErr w:type="spellEnd"/>
      <w:r>
        <w:t xml:space="preserve"> schrijft een maximale jaarlijkse groei van de netto-uitgaven voor, waarbij is gecorrigeerd voor rente-uitgaven, conjuncturele werkloosheidsuitgaven, uitgaven bekostigd uit EU-fondsen en cofinanciering, tijdelijke en eenmalige maatregelen en eventuele discretionaire inkomstenmaatregelen. In totaal gaat het dan om de jaarlijkse en cumulatieve groei van netto primair gefinancierde uitgaven. Over- en onderschrijdingen van het </w:t>
      </w:r>
      <w:proofErr w:type="spellStart"/>
      <w:r>
        <w:t>uitgavenpad</w:t>
      </w:r>
      <w:proofErr w:type="spellEnd"/>
      <w:r>
        <w:t xml:space="preserve"> worden bijgehouden in de zogenoemde controlerekening. </w:t>
      </w:r>
    </w:p>
    <w:p w:rsidR="00040FAF" w:rsidP="00040FAF" w:rsidRDefault="00040FAF" w14:paraId="1FCDF09C" w14:textId="77777777"/>
    <w:p w:rsidR="00040FAF" w:rsidP="00040FAF" w:rsidRDefault="00040FAF" w14:paraId="3A944C3E" w14:textId="77777777">
      <w:r>
        <w:t xml:space="preserve">Het doel van de toetsing aan de preventieve arm door de Afdeling is om vast te stellen of het gerealiseerde en geraamde niveau van de netto-uitgaven in overeenstemming is met het aanbevolen </w:t>
      </w:r>
      <w:proofErr w:type="spellStart"/>
      <w:r>
        <w:t>uitgavenpad</w:t>
      </w:r>
      <w:proofErr w:type="spellEnd"/>
      <w:r>
        <w:t xml:space="preserve"> en of de eventuele over- of onderschrijdingen van het </w:t>
      </w:r>
      <w:proofErr w:type="spellStart"/>
      <w:r>
        <w:t>uitgavenpad</w:t>
      </w:r>
      <w:proofErr w:type="spellEnd"/>
      <w:r>
        <w:t xml:space="preserve"> binnen de toegestane drempelwaarden vallen. </w:t>
      </w:r>
    </w:p>
    <w:p w:rsidR="00040FAF" w:rsidP="00040FAF" w:rsidRDefault="00040FAF" w14:paraId="663DA982" w14:textId="77777777">
      <w:r>
        <w:br w:type="page"/>
      </w:r>
    </w:p>
    <w:tbl>
      <w:tblPr>
        <w:tblW w:w="8739" w:type="dxa"/>
        <w:tblCellMar>
          <w:left w:w="70" w:type="dxa"/>
          <w:right w:w="70" w:type="dxa"/>
        </w:tblCellMar>
        <w:tblLook w:val="04A0" w:firstRow="1" w:lastRow="0" w:firstColumn="1" w:lastColumn="0" w:noHBand="0" w:noVBand="1"/>
      </w:tblPr>
      <w:tblGrid>
        <w:gridCol w:w="5387"/>
        <w:gridCol w:w="594"/>
        <w:gridCol w:w="594"/>
        <w:gridCol w:w="594"/>
        <w:gridCol w:w="594"/>
        <w:gridCol w:w="594"/>
        <w:gridCol w:w="7"/>
        <w:gridCol w:w="215"/>
        <w:gridCol w:w="160"/>
      </w:tblGrid>
      <w:tr w:rsidRPr="00837CBE" w:rsidR="00040FAF" w:rsidTr="00040FAF" w14:paraId="7DA32E14" w14:textId="77777777">
        <w:trPr>
          <w:trHeight w:val="255"/>
        </w:trPr>
        <w:tc>
          <w:tcPr>
            <w:tcW w:w="5387" w:type="dxa"/>
            <w:tcBorders>
              <w:top w:val="nil"/>
              <w:left w:val="nil"/>
              <w:bottom w:val="single" w:color="auto" w:sz="12" w:space="0"/>
              <w:right w:val="nil"/>
            </w:tcBorders>
            <w:noWrap/>
            <w:vAlign w:val="center"/>
            <w:hideMark/>
          </w:tcPr>
          <w:p w:rsidRPr="00837CBE" w:rsidR="00040FAF" w:rsidP="00040FAF" w:rsidRDefault="00040FAF" w14:paraId="669CC8E6" w14:textId="77777777">
            <w:pPr>
              <w:rPr>
                <w:b/>
                <w:bCs/>
                <w:color w:val="000000"/>
                <w:sz w:val="18"/>
                <w:szCs w:val="18"/>
              </w:rPr>
            </w:pPr>
            <w:r w:rsidRPr="00837CBE">
              <w:rPr>
                <w:b/>
                <w:bCs/>
                <w:color w:val="000000"/>
                <w:sz w:val="18"/>
                <w:szCs w:val="18"/>
              </w:rPr>
              <w:lastRenderedPageBreak/>
              <w:t>Tabel 4: Gegevens voor de preventieve arm 2024-2028</w:t>
            </w:r>
          </w:p>
        </w:tc>
        <w:tc>
          <w:tcPr>
            <w:tcW w:w="3192" w:type="dxa"/>
            <w:gridSpan w:val="7"/>
            <w:tcBorders>
              <w:top w:val="nil"/>
              <w:left w:val="nil"/>
              <w:right w:val="nil"/>
            </w:tcBorders>
            <w:vAlign w:val="center"/>
            <w:hideMark/>
          </w:tcPr>
          <w:p w:rsidRPr="00837CBE" w:rsidR="00040FAF" w:rsidP="00040FAF" w:rsidRDefault="00040FAF" w14:paraId="27D4163E" w14:textId="77777777">
            <w:pPr>
              <w:rPr>
                <w:b/>
                <w:bCs/>
                <w:color w:val="000000"/>
                <w:sz w:val="18"/>
                <w:szCs w:val="18"/>
              </w:rPr>
            </w:pPr>
          </w:p>
        </w:tc>
        <w:tc>
          <w:tcPr>
            <w:tcW w:w="160" w:type="dxa"/>
            <w:tcBorders>
              <w:top w:val="nil"/>
              <w:left w:val="nil"/>
              <w:right w:val="nil"/>
            </w:tcBorders>
            <w:noWrap/>
            <w:vAlign w:val="bottom"/>
            <w:hideMark/>
          </w:tcPr>
          <w:p w:rsidRPr="00837CBE" w:rsidR="00040FAF" w:rsidP="00040FAF" w:rsidRDefault="00040FAF" w14:paraId="0E661793" w14:textId="77777777">
            <w:pPr>
              <w:rPr>
                <w:rFonts w:ascii="Times New Roman" w:hAnsi="Times New Roman"/>
                <w:sz w:val="20"/>
                <w:szCs w:val="20"/>
              </w:rPr>
            </w:pPr>
          </w:p>
        </w:tc>
      </w:tr>
      <w:tr w:rsidRPr="00837CBE" w:rsidR="00040FAF" w:rsidTr="00040FAF" w14:paraId="795FB04C" w14:textId="77777777">
        <w:trPr>
          <w:gridAfter w:val="3"/>
          <w:wAfter w:w="382" w:type="dxa"/>
          <w:trHeight w:val="255"/>
        </w:trPr>
        <w:tc>
          <w:tcPr>
            <w:tcW w:w="5387" w:type="dxa"/>
            <w:tcBorders>
              <w:top w:val="single" w:color="auto" w:sz="12" w:space="0"/>
              <w:left w:val="nil"/>
              <w:bottom w:val="single" w:color="auto" w:sz="8" w:space="0"/>
              <w:right w:val="nil"/>
            </w:tcBorders>
            <w:noWrap/>
            <w:vAlign w:val="center"/>
            <w:hideMark/>
          </w:tcPr>
          <w:p w:rsidRPr="00837CBE" w:rsidR="00040FAF" w:rsidP="00040FAF" w:rsidRDefault="00040FAF" w14:paraId="782BA0A3" w14:textId="77777777">
            <w:pPr>
              <w:rPr>
                <w:b/>
                <w:bCs/>
                <w:color w:val="000000"/>
                <w:sz w:val="18"/>
                <w:szCs w:val="18"/>
              </w:rPr>
            </w:pPr>
            <w:r w:rsidRPr="00837CBE">
              <w:rPr>
                <w:b/>
                <w:bCs/>
                <w:color w:val="000000"/>
                <w:sz w:val="18"/>
                <w:szCs w:val="18"/>
              </w:rPr>
              <w:t>(</w:t>
            </w:r>
            <w:proofErr w:type="gramStart"/>
            <w:r w:rsidRPr="00837CBE">
              <w:rPr>
                <w:b/>
                <w:bCs/>
                <w:color w:val="000000"/>
                <w:sz w:val="18"/>
                <w:szCs w:val="18"/>
              </w:rPr>
              <w:t>in</w:t>
            </w:r>
            <w:proofErr w:type="gramEnd"/>
            <w:r w:rsidRPr="00837CBE">
              <w:rPr>
                <w:b/>
                <w:bCs/>
                <w:color w:val="000000"/>
                <w:sz w:val="18"/>
                <w:szCs w:val="18"/>
              </w:rPr>
              <w:t xml:space="preserve"> %)</w:t>
            </w:r>
          </w:p>
        </w:tc>
        <w:tc>
          <w:tcPr>
            <w:tcW w:w="594" w:type="dxa"/>
            <w:tcBorders>
              <w:top w:val="single" w:color="auto" w:sz="12" w:space="0"/>
              <w:left w:val="nil"/>
              <w:bottom w:val="single" w:color="auto" w:sz="8" w:space="0"/>
              <w:right w:val="nil"/>
            </w:tcBorders>
            <w:noWrap/>
            <w:vAlign w:val="center"/>
            <w:hideMark/>
          </w:tcPr>
          <w:p w:rsidRPr="00837CBE" w:rsidR="00040FAF" w:rsidP="00040FAF" w:rsidRDefault="00040FAF" w14:paraId="3CBE724B" w14:textId="77777777">
            <w:pPr>
              <w:jc w:val="right"/>
              <w:rPr>
                <w:b/>
                <w:bCs/>
                <w:color w:val="000000"/>
                <w:sz w:val="18"/>
                <w:szCs w:val="18"/>
              </w:rPr>
            </w:pPr>
            <w:r w:rsidRPr="00837CBE">
              <w:rPr>
                <w:b/>
                <w:bCs/>
                <w:color w:val="000000"/>
                <w:sz w:val="18"/>
                <w:szCs w:val="18"/>
              </w:rPr>
              <w:t>2024</w:t>
            </w:r>
          </w:p>
        </w:tc>
        <w:tc>
          <w:tcPr>
            <w:tcW w:w="594" w:type="dxa"/>
            <w:tcBorders>
              <w:top w:val="single" w:color="auto" w:sz="12" w:space="0"/>
              <w:left w:val="nil"/>
              <w:bottom w:val="single" w:color="auto" w:sz="8" w:space="0"/>
              <w:right w:val="nil"/>
            </w:tcBorders>
            <w:noWrap/>
            <w:vAlign w:val="center"/>
            <w:hideMark/>
          </w:tcPr>
          <w:p w:rsidRPr="00837CBE" w:rsidR="00040FAF" w:rsidP="00040FAF" w:rsidRDefault="00040FAF" w14:paraId="7133826E" w14:textId="77777777">
            <w:pPr>
              <w:jc w:val="right"/>
              <w:rPr>
                <w:b/>
                <w:bCs/>
                <w:color w:val="000000"/>
                <w:sz w:val="18"/>
                <w:szCs w:val="18"/>
              </w:rPr>
            </w:pPr>
            <w:r w:rsidRPr="00837CBE">
              <w:rPr>
                <w:b/>
                <w:bCs/>
                <w:color w:val="000000"/>
                <w:sz w:val="18"/>
                <w:szCs w:val="18"/>
              </w:rPr>
              <w:t>2025</w:t>
            </w:r>
          </w:p>
        </w:tc>
        <w:tc>
          <w:tcPr>
            <w:tcW w:w="594" w:type="dxa"/>
            <w:tcBorders>
              <w:top w:val="single" w:color="auto" w:sz="12" w:space="0"/>
              <w:left w:val="nil"/>
              <w:bottom w:val="single" w:color="auto" w:sz="8" w:space="0"/>
              <w:right w:val="nil"/>
            </w:tcBorders>
            <w:noWrap/>
            <w:vAlign w:val="center"/>
            <w:hideMark/>
          </w:tcPr>
          <w:p w:rsidRPr="00837CBE" w:rsidR="00040FAF" w:rsidP="00040FAF" w:rsidRDefault="00040FAF" w14:paraId="601FB856" w14:textId="77777777">
            <w:pPr>
              <w:jc w:val="right"/>
              <w:rPr>
                <w:b/>
                <w:bCs/>
                <w:color w:val="000000"/>
                <w:sz w:val="18"/>
                <w:szCs w:val="18"/>
              </w:rPr>
            </w:pPr>
            <w:r w:rsidRPr="00837CBE">
              <w:rPr>
                <w:b/>
                <w:bCs/>
                <w:color w:val="000000"/>
                <w:sz w:val="18"/>
                <w:szCs w:val="18"/>
              </w:rPr>
              <w:t>2026</w:t>
            </w:r>
          </w:p>
        </w:tc>
        <w:tc>
          <w:tcPr>
            <w:tcW w:w="594" w:type="dxa"/>
            <w:tcBorders>
              <w:top w:val="single" w:color="auto" w:sz="12" w:space="0"/>
              <w:left w:val="nil"/>
              <w:bottom w:val="single" w:color="auto" w:sz="8" w:space="0"/>
              <w:right w:val="nil"/>
            </w:tcBorders>
            <w:noWrap/>
            <w:vAlign w:val="center"/>
            <w:hideMark/>
          </w:tcPr>
          <w:p w:rsidRPr="00837CBE" w:rsidR="00040FAF" w:rsidP="00040FAF" w:rsidRDefault="00040FAF" w14:paraId="3BEF972E" w14:textId="77777777">
            <w:pPr>
              <w:jc w:val="right"/>
              <w:rPr>
                <w:b/>
                <w:bCs/>
                <w:color w:val="000000"/>
                <w:sz w:val="18"/>
                <w:szCs w:val="18"/>
              </w:rPr>
            </w:pPr>
            <w:r w:rsidRPr="00837CBE">
              <w:rPr>
                <w:b/>
                <w:bCs/>
                <w:color w:val="000000"/>
                <w:sz w:val="18"/>
                <w:szCs w:val="18"/>
              </w:rPr>
              <w:t>2027</w:t>
            </w:r>
          </w:p>
        </w:tc>
        <w:tc>
          <w:tcPr>
            <w:tcW w:w="594" w:type="dxa"/>
            <w:tcBorders>
              <w:top w:val="single" w:color="auto" w:sz="12" w:space="0"/>
              <w:left w:val="nil"/>
              <w:bottom w:val="single" w:color="auto" w:sz="8" w:space="0"/>
              <w:right w:val="nil"/>
            </w:tcBorders>
            <w:noWrap/>
            <w:vAlign w:val="center"/>
            <w:hideMark/>
          </w:tcPr>
          <w:p w:rsidRPr="00837CBE" w:rsidR="00040FAF" w:rsidP="00040FAF" w:rsidRDefault="00040FAF" w14:paraId="718794AD" w14:textId="77777777">
            <w:pPr>
              <w:jc w:val="right"/>
              <w:rPr>
                <w:b/>
                <w:bCs/>
                <w:color w:val="000000"/>
                <w:sz w:val="18"/>
                <w:szCs w:val="18"/>
              </w:rPr>
            </w:pPr>
            <w:r w:rsidRPr="00837CBE">
              <w:rPr>
                <w:b/>
                <w:bCs/>
                <w:color w:val="000000"/>
                <w:sz w:val="18"/>
                <w:szCs w:val="18"/>
              </w:rPr>
              <w:t>2028</w:t>
            </w:r>
          </w:p>
        </w:tc>
      </w:tr>
      <w:tr w:rsidRPr="00837CBE" w:rsidR="00040FAF" w:rsidTr="00040FAF" w14:paraId="46CAF84D" w14:textId="77777777">
        <w:trPr>
          <w:gridAfter w:val="3"/>
          <w:wAfter w:w="382" w:type="dxa"/>
          <w:trHeight w:val="240"/>
        </w:trPr>
        <w:tc>
          <w:tcPr>
            <w:tcW w:w="5387" w:type="dxa"/>
            <w:tcBorders>
              <w:top w:val="single" w:color="auto" w:sz="8" w:space="0"/>
              <w:left w:val="nil"/>
              <w:bottom w:val="nil"/>
              <w:right w:val="nil"/>
            </w:tcBorders>
            <w:noWrap/>
            <w:vAlign w:val="center"/>
            <w:hideMark/>
          </w:tcPr>
          <w:p w:rsidRPr="00837CBE" w:rsidR="00040FAF" w:rsidP="00040FAF" w:rsidRDefault="00040FAF" w14:paraId="66FB52C3" w14:textId="77777777">
            <w:pPr>
              <w:rPr>
                <w:b/>
                <w:bCs/>
                <w:color w:val="000000"/>
                <w:sz w:val="18"/>
                <w:szCs w:val="18"/>
              </w:rPr>
            </w:pPr>
            <w:proofErr w:type="spellStart"/>
            <w:r w:rsidRPr="00837CBE">
              <w:rPr>
                <w:b/>
                <w:bCs/>
                <w:color w:val="000000"/>
                <w:sz w:val="18"/>
                <w:szCs w:val="18"/>
              </w:rPr>
              <w:t>Uitgavenpad</w:t>
            </w:r>
            <w:proofErr w:type="spellEnd"/>
          </w:p>
        </w:tc>
        <w:tc>
          <w:tcPr>
            <w:tcW w:w="594" w:type="dxa"/>
            <w:tcBorders>
              <w:top w:val="single" w:color="auto" w:sz="8" w:space="0"/>
              <w:left w:val="nil"/>
              <w:bottom w:val="nil"/>
              <w:right w:val="nil"/>
            </w:tcBorders>
            <w:noWrap/>
            <w:vAlign w:val="center"/>
            <w:hideMark/>
          </w:tcPr>
          <w:p w:rsidRPr="00837CBE" w:rsidR="00040FAF" w:rsidP="00040FAF" w:rsidRDefault="00040FAF" w14:paraId="52A2E61E" w14:textId="77777777">
            <w:pPr>
              <w:rPr>
                <w:b/>
                <w:bCs/>
                <w:color w:val="000000"/>
                <w:sz w:val="18"/>
                <w:szCs w:val="18"/>
              </w:rPr>
            </w:pPr>
          </w:p>
        </w:tc>
        <w:tc>
          <w:tcPr>
            <w:tcW w:w="594" w:type="dxa"/>
            <w:tcBorders>
              <w:top w:val="single" w:color="auto" w:sz="8" w:space="0"/>
              <w:left w:val="nil"/>
              <w:bottom w:val="nil"/>
              <w:right w:val="nil"/>
            </w:tcBorders>
            <w:noWrap/>
            <w:vAlign w:val="center"/>
            <w:hideMark/>
          </w:tcPr>
          <w:p w:rsidRPr="00837CBE" w:rsidR="00040FAF" w:rsidP="00040FAF" w:rsidRDefault="00040FAF" w14:paraId="4E630096" w14:textId="77777777">
            <w:pPr>
              <w:jc w:val="right"/>
              <w:rPr>
                <w:rFonts w:ascii="Times New Roman" w:hAnsi="Times New Roman"/>
                <w:sz w:val="20"/>
                <w:szCs w:val="20"/>
              </w:rPr>
            </w:pPr>
          </w:p>
        </w:tc>
        <w:tc>
          <w:tcPr>
            <w:tcW w:w="594" w:type="dxa"/>
            <w:tcBorders>
              <w:top w:val="single" w:color="auto" w:sz="8" w:space="0"/>
              <w:left w:val="nil"/>
              <w:bottom w:val="nil"/>
              <w:right w:val="nil"/>
            </w:tcBorders>
            <w:noWrap/>
            <w:vAlign w:val="center"/>
            <w:hideMark/>
          </w:tcPr>
          <w:p w:rsidRPr="00837CBE" w:rsidR="00040FAF" w:rsidP="00040FAF" w:rsidRDefault="00040FAF" w14:paraId="471A65B7" w14:textId="77777777">
            <w:pPr>
              <w:jc w:val="right"/>
              <w:rPr>
                <w:rFonts w:ascii="Times New Roman" w:hAnsi="Times New Roman"/>
                <w:sz w:val="20"/>
                <w:szCs w:val="20"/>
              </w:rPr>
            </w:pPr>
          </w:p>
        </w:tc>
        <w:tc>
          <w:tcPr>
            <w:tcW w:w="594" w:type="dxa"/>
            <w:tcBorders>
              <w:top w:val="single" w:color="auto" w:sz="8" w:space="0"/>
              <w:left w:val="nil"/>
              <w:bottom w:val="nil"/>
              <w:right w:val="nil"/>
            </w:tcBorders>
            <w:noWrap/>
            <w:vAlign w:val="center"/>
            <w:hideMark/>
          </w:tcPr>
          <w:p w:rsidRPr="00837CBE" w:rsidR="00040FAF" w:rsidP="00040FAF" w:rsidRDefault="00040FAF" w14:paraId="5ABCF48C" w14:textId="77777777">
            <w:pPr>
              <w:jc w:val="right"/>
              <w:rPr>
                <w:rFonts w:ascii="Times New Roman" w:hAnsi="Times New Roman"/>
                <w:sz w:val="20"/>
                <w:szCs w:val="20"/>
              </w:rPr>
            </w:pPr>
          </w:p>
        </w:tc>
        <w:tc>
          <w:tcPr>
            <w:tcW w:w="594" w:type="dxa"/>
            <w:tcBorders>
              <w:top w:val="single" w:color="auto" w:sz="8" w:space="0"/>
              <w:left w:val="nil"/>
              <w:bottom w:val="nil"/>
              <w:right w:val="nil"/>
            </w:tcBorders>
            <w:noWrap/>
            <w:vAlign w:val="center"/>
            <w:hideMark/>
          </w:tcPr>
          <w:p w:rsidRPr="00837CBE" w:rsidR="00040FAF" w:rsidP="00040FAF" w:rsidRDefault="00040FAF" w14:paraId="1DFE7B40" w14:textId="77777777">
            <w:pPr>
              <w:jc w:val="right"/>
              <w:rPr>
                <w:rFonts w:ascii="Times New Roman" w:hAnsi="Times New Roman"/>
                <w:sz w:val="20"/>
                <w:szCs w:val="20"/>
              </w:rPr>
            </w:pPr>
          </w:p>
        </w:tc>
      </w:tr>
      <w:tr w:rsidRPr="00837CBE" w:rsidR="00040FAF" w:rsidTr="00040FAF" w14:paraId="6DBEE8DC" w14:textId="77777777">
        <w:trPr>
          <w:gridAfter w:val="3"/>
          <w:wAfter w:w="382" w:type="dxa"/>
          <w:trHeight w:val="240"/>
        </w:trPr>
        <w:tc>
          <w:tcPr>
            <w:tcW w:w="5387" w:type="dxa"/>
            <w:tcBorders>
              <w:top w:val="nil"/>
              <w:left w:val="nil"/>
              <w:bottom w:val="nil"/>
              <w:right w:val="nil"/>
            </w:tcBorders>
            <w:noWrap/>
            <w:vAlign w:val="center"/>
            <w:hideMark/>
          </w:tcPr>
          <w:p w:rsidRPr="00837CBE" w:rsidR="00040FAF" w:rsidP="00040FAF" w:rsidRDefault="00040FAF" w14:paraId="73A488B2" w14:textId="77777777">
            <w:pPr>
              <w:rPr>
                <w:i/>
                <w:iCs/>
                <w:color w:val="000000"/>
                <w:sz w:val="18"/>
                <w:szCs w:val="18"/>
              </w:rPr>
            </w:pPr>
            <w:r w:rsidRPr="00837CBE">
              <w:rPr>
                <w:i/>
                <w:iCs/>
                <w:color w:val="000000"/>
                <w:sz w:val="18"/>
                <w:szCs w:val="18"/>
              </w:rPr>
              <w:t>Jaarlijkse norm netto primaire gefinancierde uitgavengroei*</w:t>
            </w:r>
          </w:p>
        </w:tc>
        <w:tc>
          <w:tcPr>
            <w:tcW w:w="594" w:type="dxa"/>
            <w:tcBorders>
              <w:top w:val="nil"/>
              <w:left w:val="nil"/>
              <w:bottom w:val="nil"/>
              <w:right w:val="nil"/>
            </w:tcBorders>
            <w:noWrap/>
            <w:vAlign w:val="center"/>
            <w:hideMark/>
          </w:tcPr>
          <w:p w:rsidRPr="00837CBE" w:rsidR="00040FAF" w:rsidP="00040FAF" w:rsidRDefault="00040FAF" w14:paraId="0A1D15FE" w14:textId="77777777">
            <w:pPr>
              <w:jc w:val="right"/>
              <w:rPr>
                <w:i/>
                <w:iCs/>
                <w:color w:val="000000"/>
                <w:sz w:val="18"/>
                <w:szCs w:val="18"/>
              </w:rPr>
            </w:pPr>
            <w:r w:rsidRPr="00837CBE">
              <w:rPr>
                <w:i/>
                <w:iCs/>
                <w:color w:val="000000"/>
                <w:sz w:val="18"/>
                <w:szCs w:val="18"/>
              </w:rPr>
              <w:t>6,9</w:t>
            </w:r>
          </w:p>
        </w:tc>
        <w:tc>
          <w:tcPr>
            <w:tcW w:w="594" w:type="dxa"/>
            <w:tcBorders>
              <w:top w:val="nil"/>
              <w:left w:val="nil"/>
              <w:bottom w:val="nil"/>
              <w:right w:val="nil"/>
            </w:tcBorders>
            <w:noWrap/>
            <w:vAlign w:val="center"/>
            <w:hideMark/>
          </w:tcPr>
          <w:p w:rsidRPr="00837CBE" w:rsidR="00040FAF" w:rsidP="00040FAF" w:rsidRDefault="00040FAF" w14:paraId="18E17888" w14:textId="77777777">
            <w:pPr>
              <w:jc w:val="right"/>
              <w:rPr>
                <w:i/>
                <w:iCs/>
                <w:color w:val="000000"/>
                <w:sz w:val="18"/>
                <w:szCs w:val="18"/>
              </w:rPr>
            </w:pPr>
            <w:r w:rsidRPr="00837CBE">
              <w:rPr>
                <w:i/>
                <w:iCs/>
                <w:color w:val="000000"/>
                <w:sz w:val="18"/>
                <w:szCs w:val="18"/>
              </w:rPr>
              <w:t>3,5</w:t>
            </w:r>
          </w:p>
        </w:tc>
        <w:tc>
          <w:tcPr>
            <w:tcW w:w="594" w:type="dxa"/>
            <w:tcBorders>
              <w:top w:val="nil"/>
              <w:left w:val="nil"/>
              <w:bottom w:val="nil"/>
              <w:right w:val="nil"/>
            </w:tcBorders>
            <w:noWrap/>
            <w:vAlign w:val="center"/>
            <w:hideMark/>
          </w:tcPr>
          <w:p w:rsidRPr="00837CBE" w:rsidR="00040FAF" w:rsidP="00040FAF" w:rsidRDefault="00040FAF" w14:paraId="1CD9C948" w14:textId="77777777">
            <w:pPr>
              <w:jc w:val="right"/>
              <w:rPr>
                <w:i/>
                <w:iCs/>
                <w:color w:val="000000"/>
                <w:sz w:val="18"/>
                <w:szCs w:val="18"/>
              </w:rPr>
            </w:pPr>
            <w:r w:rsidRPr="00837CBE">
              <w:rPr>
                <w:i/>
                <w:iCs/>
                <w:color w:val="000000"/>
                <w:sz w:val="18"/>
                <w:szCs w:val="18"/>
              </w:rPr>
              <w:t>3,3</w:t>
            </w:r>
          </w:p>
        </w:tc>
        <w:tc>
          <w:tcPr>
            <w:tcW w:w="594" w:type="dxa"/>
            <w:tcBorders>
              <w:top w:val="nil"/>
              <w:left w:val="nil"/>
              <w:bottom w:val="nil"/>
              <w:right w:val="nil"/>
            </w:tcBorders>
            <w:noWrap/>
            <w:vAlign w:val="center"/>
            <w:hideMark/>
          </w:tcPr>
          <w:p w:rsidRPr="00837CBE" w:rsidR="00040FAF" w:rsidP="00040FAF" w:rsidRDefault="00040FAF" w14:paraId="6A0B9AC2" w14:textId="77777777">
            <w:pPr>
              <w:jc w:val="right"/>
              <w:rPr>
                <w:i/>
                <w:iCs/>
                <w:color w:val="000000"/>
                <w:sz w:val="18"/>
                <w:szCs w:val="18"/>
              </w:rPr>
            </w:pPr>
            <w:r w:rsidRPr="00837CBE">
              <w:rPr>
                <w:i/>
                <w:iCs/>
                <w:color w:val="000000"/>
                <w:sz w:val="18"/>
                <w:szCs w:val="18"/>
              </w:rPr>
              <w:t>3,0</w:t>
            </w:r>
          </w:p>
        </w:tc>
        <w:tc>
          <w:tcPr>
            <w:tcW w:w="594" w:type="dxa"/>
            <w:tcBorders>
              <w:top w:val="nil"/>
              <w:left w:val="nil"/>
              <w:bottom w:val="nil"/>
              <w:right w:val="nil"/>
            </w:tcBorders>
            <w:noWrap/>
            <w:vAlign w:val="center"/>
            <w:hideMark/>
          </w:tcPr>
          <w:p w:rsidRPr="00837CBE" w:rsidR="00040FAF" w:rsidP="00040FAF" w:rsidRDefault="00040FAF" w14:paraId="5A3CE8E1" w14:textId="77777777">
            <w:pPr>
              <w:jc w:val="right"/>
              <w:rPr>
                <w:i/>
                <w:iCs/>
                <w:color w:val="000000"/>
                <w:sz w:val="18"/>
                <w:szCs w:val="18"/>
              </w:rPr>
            </w:pPr>
            <w:r w:rsidRPr="00837CBE">
              <w:rPr>
                <w:i/>
                <w:iCs/>
                <w:color w:val="000000"/>
                <w:sz w:val="18"/>
                <w:szCs w:val="18"/>
              </w:rPr>
              <w:t>3,0</w:t>
            </w:r>
          </w:p>
        </w:tc>
      </w:tr>
      <w:tr w:rsidRPr="00837CBE" w:rsidR="00040FAF" w:rsidTr="00040FAF" w14:paraId="63A921B9" w14:textId="77777777">
        <w:trPr>
          <w:gridAfter w:val="3"/>
          <w:wAfter w:w="382" w:type="dxa"/>
          <w:trHeight w:val="240"/>
        </w:trPr>
        <w:tc>
          <w:tcPr>
            <w:tcW w:w="5387" w:type="dxa"/>
            <w:tcBorders>
              <w:top w:val="nil"/>
              <w:left w:val="nil"/>
              <w:bottom w:val="nil"/>
              <w:right w:val="nil"/>
            </w:tcBorders>
            <w:noWrap/>
            <w:vAlign w:val="center"/>
            <w:hideMark/>
          </w:tcPr>
          <w:p w:rsidRPr="00837CBE" w:rsidR="00040FAF" w:rsidP="00040FAF" w:rsidRDefault="00040FAF" w14:paraId="4FF83A0E" w14:textId="77777777">
            <w:pPr>
              <w:rPr>
                <w:color w:val="000000"/>
                <w:sz w:val="18"/>
                <w:szCs w:val="18"/>
              </w:rPr>
            </w:pPr>
            <w:r w:rsidRPr="00837CBE">
              <w:rPr>
                <w:color w:val="000000"/>
                <w:sz w:val="18"/>
                <w:szCs w:val="18"/>
              </w:rPr>
              <w:t>Groei van netto primaire gefinancierde uitgaven**</w:t>
            </w:r>
          </w:p>
        </w:tc>
        <w:tc>
          <w:tcPr>
            <w:tcW w:w="594" w:type="dxa"/>
            <w:tcBorders>
              <w:top w:val="nil"/>
              <w:left w:val="nil"/>
              <w:bottom w:val="nil"/>
              <w:right w:val="nil"/>
            </w:tcBorders>
            <w:noWrap/>
            <w:vAlign w:val="center"/>
            <w:hideMark/>
          </w:tcPr>
          <w:p w:rsidRPr="00837CBE" w:rsidR="00040FAF" w:rsidP="00040FAF" w:rsidRDefault="00040FAF" w14:paraId="00D807ED" w14:textId="77777777">
            <w:pPr>
              <w:jc w:val="right"/>
              <w:rPr>
                <w:color w:val="000000"/>
                <w:sz w:val="18"/>
                <w:szCs w:val="18"/>
              </w:rPr>
            </w:pPr>
            <w:r>
              <w:rPr>
                <w:color w:val="000000"/>
                <w:sz w:val="18"/>
                <w:szCs w:val="18"/>
              </w:rPr>
              <w:t>5,9</w:t>
            </w:r>
          </w:p>
        </w:tc>
        <w:tc>
          <w:tcPr>
            <w:tcW w:w="594" w:type="dxa"/>
            <w:tcBorders>
              <w:top w:val="nil"/>
              <w:left w:val="nil"/>
              <w:bottom w:val="nil"/>
              <w:right w:val="nil"/>
            </w:tcBorders>
            <w:noWrap/>
            <w:vAlign w:val="center"/>
            <w:hideMark/>
          </w:tcPr>
          <w:p w:rsidRPr="00837CBE" w:rsidR="00040FAF" w:rsidP="00040FAF" w:rsidRDefault="00040FAF" w14:paraId="7AB4C498" w14:textId="77777777">
            <w:pPr>
              <w:jc w:val="right"/>
              <w:rPr>
                <w:color w:val="000000"/>
                <w:sz w:val="18"/>
                <w:szCs w:val="18"/>
              </w:rPr>
            </w:pPr>
            <w:r w:rsidRPr="00837CBE">
              <w:rPr>
                <w:color w:val="000000"/>
                <w:sz w:val="18"/>
                <w:szCs w:val="18"/>
              </w:rPr>
              <w:t>7,2</w:t>
            </w:r>
          </w:p>
        </w:tc>
        <w:tc>
          <w:tcPr>
            <w:tcW w:w="594" w:type="dxa"/>
            <w:tcBorders>
              <w:top w:val="nil"/>
              <w:left w:val="nil"/>
              <w:bottom w:val="nil"/>
              <w:right w:val="nil"/>
            </w:tcBorders>
            <w:noWrap/>
            <w:vAlign w:val="center"/>
            <w:hideMark/>
          </w:tcPr>
          <w:p w:rsidRPr="00837CBE" w:rsidR="00040FAF" w:rsidP="00040FAF" w:rsidRDefault="00040FAF" w14:paraId="03E6EF96" w14:textId="77777777">
            <w:pPr>
              <w:jc w:val="right"/>
              <w:rPr>
                <w:color w:val="000000"/>
                <w:sz w:val="18"/>
                <w:szCs w:val="18"/>
              </w:rPr>
            </w:pPr>
            <w:r w:rsidRPr="00837CBE">
              <w:rPr>
                <w:color w:val="000000"/>
                <w:sz w:val="18"/>
                <w:szCs w:val="18"/>
              </w:rPr>
              <w:t>4,7</w:t>
            </w:r>
          </w:p>
        </w:tc>
        <w:tc>
          <w:tcPr>
            <w:tcW w:w="594" w:type="dxa"/>
            <w:tcBorders>
              <w:top w:val="nil"/>
              <w:left w:val="nil"/>
              <w:bottom w:val="nil"/>
              <w:right w:val="nil"/>
            </w:tcBorders>
            <w:noWrap/>
            <w:vAlign w:val="center"/>
            <w:hideMark/>
          </w:tcPr>
          <w:p w:rsidRPr="00837CBE" w:rsidR="00040FAF" w:rsidP="00040FAF" w:rsidRDefault="00040FAF" w14:paraId="4D820FF4" w14:textId="77777777">
            <w:pPr>
              <w:jc w:val="right"/>
              <w:rPr>
                <w:color w:val="000000"/>
                <w:sz w:val="18"/>
                <w:szCs w:val="18"/>
              </w:rPr>
            </w:pPr>
            <w:r w:rsidRPr="00837CBE">
              <w:rPr>
                <w:color w:val="000000"/>
                <w:sz w:val="18"/>
                <w:szCs w:val="18"/>
              </w:rPr>
              <w:t>3,5</w:t>
            </w:r>
          </w:p>
        </w:tc>
        <w:tc>
          <w:tcPr>
            <w:tcW w:w="594" w:type="dxa"/>
            <w:tcBorders>
              <w:top w:val="nil"/>
              <w:left w:val="nil"/>
              <w:bottom w:val="nil"/>
              <w:right w:val="nil"/>
            </w:tcBorders>
            <w:noWrap/>
            <w:vAlign w:val="center"/>
            <w:hideMark/>
          </w:tcPr>
          <w:p w:rsidRPr="00837CBE" w:rsidR="00040FAF" w:rsidP="00040FAF" w:rsidRDefault="00040FAF" w14:paraId="11AAE1E7" w14:textId="77777777">
            <w:pPr>
              <w:jc w:val="right"/>
              <w:rPr>
                <w:color w:val="000000"/>
                <w:sz w:val="18"/>
                <w:szCs w:val="18"/>
              </w:rPr>
            </w:pPr>
            <w:r w:rsidRPr="00837CBE">
              <w:rPr>
                <w:color w:val="000000"/>
                <w:sz w:val="18"/>
                <w:szCs w:val="18"/>
              </w:rPr>
              <w:t>3,1</w:t>
            </w:r>
          </w:p>
        </w:tc>
      </w:tr>
      <w:tr w:rsidRPr="00837CBE" w:rsidR="00040FAF" w:rsidTr="00040FAF" w14:paraId="378BCCDA" w14:textId="77777777">
        <w:trPr>
          <w:gridAfter w:val="3"/>
          <w:wAfter w:w="382" w:type="dxa"/>
          <w:trHeight w:val="240"/>
        </w:trPr>
        <w:tc>
          <w:tcPr>
            <w:tcW w:w="5387" w:type="dxa"/>
            <w:tcBorders>
              <w:top w:val="nil"/>
              <w:left w:val="nil"/>
              <w:bottom w:val="nil"/>
              <w:right w:val="nil"/>
            </w:tcBorders>
            <w:noWrap/>
            <w:vAlign w:val="bottom"/>
            <w:hideMark/>
          </w:tcPr>
          <w:p w:rsidRPr="00837CBE" w:rsidR="00040FAF" w:rsidP="00040FAF" w:rsidRDefault="00040FAF" w14:paraId="6A7FA8FF" w14:textId="77777777">
            <w:pPr>
              <w:jc w:val="right"/>
              <w:rPr>
                <w:color w:val="000000"/>
                <w:sz w:val="18"/>
                <w:szCs w:val="18"/>
              </w:rPr>
            </w:pPr>
          </w:p>
        </w:tc>
        <w:tc>
          <w:tcPr>
            <w:tcW w:w="594" w:type="dxa"/>
            <w:tcBorders>
              <w:top w:val="nil"/>
              <w:left w:val="nil"/>
              <w:bottom w:val="nil"/>
              <w:right w:val="nil"/>
            </w:tcBorders>
            <w:noWrap/>
            <w:vAlign w:val="bottom"/>
            <w:hideMark/>
          </w:tcPr>
          <w:p w:rsidRPr="00837CBE" w:rsidR="00040FAF" w:rsidP="00040FAF" w:rsidRDefault="00040FAF" w14:paraId="3E8322F7" w14:textId="77777777">
            <w:pPr>
              <w:rPr>
                <w:rFonts w:ascii="Times New Roman" w:hAnsi="Times New Roman"/>
                <w:sz w:val="20"/>
                <w:szCs w:val="20"/>
              </w:rPr>
            </w:pPr>
          </w:p>
        </w:tc>
        <w:tc>
          <w:tcPr>
            <w:tcW w:w="594" w:type="dxa"/>
            <w:tcBorders>
              <w:top w:val="nil"/>
              <w:left w:val="nil"/>
              <w:bottom w:val="nil"/>
              <w:right w:val="nil"/>
            </w:tcBorders>
            <w:noWrap/>
            <w:vAlign w:val="bottom"/>
            <w:hideMark/>
          </w:tcPr>
          <w:p w:rsidRPr="00837CBE" w:rsidR="00040FAF" w:rsidP="00040FAF" w:rsidRDefault="00040FAF" w14:paraId="47E13FE3" w14:textId="77777777">
            <w:pPr>
              <w:rPr>
                <w:rFonts w:ascii="Times New Roman" w:hAnsi="Times New Roman"/>
                <w:sz w:val="20"/>
                <w:szCs w:val="20"/>
              </w:rPr>
            </w:pPr>
          </w:p>
        </w:tc>
        <w:tc>
          <w:tcPr>
            <w:tcW w:w="594" w:type="dxa"/>
            <w:tcBorders>
              <w:top w:val="nil"/>
              <w:left w:val="nil"/>
              <w:bottom w:val="nil"/>
              <w:right w:val="nil"/>
            </w:tcBorders>
            <w:noWrap/>
            <w:vAlign w:val="bottom"/>
            <w:hideMark/>
          </w:tcPr>
          <w:p w:rsidRPr="00837CBE" w:rsidR="00040FAF" w:rsidP="00040FAF" w:rsidRDefault="00040FAF" w14:paraId="275CBF5C" w14:textId="77777777">
            <w:pPr>
              <w:rPr>
                <w:rFonts w:ascii="Times New Roman" w:hAnsi="Times New Roman"/>
                <w:sz w:val="20"/>
                <w:szCs w:val="20"/>
              </w:rPr>
            </w:pPr>
          </w:p>
        </w:tc>
        <w:tc>
          <w:tcPr>
            <w:tcW w:w="594" w:type="dxa"/>
            <w:tcBorders>
              <w:top w:val="nil"/>
              <w:left w:val="nil"/>
              <w:bottom w:val="nil"/>
              <w:right w:val="nil"/>
            </w:tcBorders>
            <w:noWrap/>
            <w:vAlign w:val="bottom"/>
            <w:hideMark/>
          </w:tcPr>
          <w:p w:rsidRPr="00837CBE" w:rsidR="00040FAF" w:rsidP="00040FAF" w:rsidRDefault="00040FAF" w14:paraId="2C25E25F" w14:textId="77777777">
            <w:pPr>
              <w:rPr>
                <w:rFonts w:ascii="Times New Roman" w:hAnsi="Times New Roman"/>
                <w:sz w:val="20"/>
                <w:szCs w:val="20"/>
              </w:rPr>
            </w:pPr>
          </w:p>
        </w:tc>
        <w:tc>
          <w:tcPr>
            <w:tcW w:w="594" w:type="dxa"/>
            <w:tcBorders>
              <w:top w:val="nil"/>
              <w:left w:val="nil"/>
              <w:bottom w:val="nil"/>
              <w:right w:val="nil"/>
            </w:tcBorders>
            <w:noWrap/>
            <w:vAlign w:val="bottom"/>
            <w:hideMark/>
          </w:tcPr>
          <w:p w:rsidRPr="00837CBE" w:rsidR="00040FAF" w:rsidP="00040FAF" w:rsidRDefault="00040FAF" w14:paraId="446A27F5" w14:textId="77777777">
            <w:pPr>
              <w:rPr>
                <w:rFonts w:ascii="Times New Roman" w:hAnsi="Times New Roman"/>
                <w:sz w:val="20"/>
                <w:szCs w:val="20"/>
              </w:rPr>
            </w:pPr>
          </w:p>
        </w:tc>
      </w:tr>
      <w:tr w:rsidRPr="00837CBE" w:rsidR="00040FAF" w:rsidTr="00040FAF" w14:paraId="76D16773" w14:textId="77777777">
        <w:trPr>
          <w:gridAfter w:val="3"/>
          <w:wAfter w:w="382" w:type="dxa"/>
          <w:trHeight w:val="240"/>
        </w:trPr>
        <w:tc>
          <w:tcPr>
            <w:tcW w:w="5387" w:type="dxa"/>
            <w:tcBorders>
              <w:top w:val="nil"/>
              <w:left w:val="nil"/>
              <w:bottom w:val="nil"/>
              <w:right w:val="nil"/>
            </w:tcBorders>
            <w:noWrap/>
            <w:vAlign w:val="bottom"/>
            <w:hideMark/>
          </w:tcPr>
          <w:p w:rsidRPr="00837CBE" w:rsidR="00040FAF" w:rsidP="00040FAF" w:rsidRDefault="00040FAF" w14:paraId="093EA1CA" w14:textId="77777777">
            <w:pPr>
              <w:rPr>
                <w:b/>
                <w:bCs/>
                <w:color w:val="000000"/>
                <w:sz w:val="18"/>
                <w:szCs w:val="18"/>
              </w:rPr>
            </w:pPr>
            <w:r w:rsidRPr="00837CBE">
              <w:rPr>
                <w:b/>
                <w:bCs/>
                <w:color w:val="000000"/>
                <w:sz w:val="18"/>
                <w:szCs w:val="18"/>
              </w:rPr>
              <w:t>Cumulatief</w:t>
            </w:r>
          </w:p>
        </w:tc>
        <w:tc>
          <w:tcPr>
            <w:tcW w:w="594" w:type="dxa"/>
            <w:tcBorders>
              <w:top w:val="nil"/>
              <w:left w:val="nil"/>
              <w:bottom w:val="nil"/>
              <w:right w:val="nil"/>
            </w:tcBorders>
            <w:noWrap/>
            <w:vAlign w:val="bottom"/>
            <w:hideMark/>
          </w:tcPr>
          <w:p w:rsidRPr="00837CBE" w:rsidR="00040FAF" w:rsidP="00040FAF" w:rsidRDefault="00040FAF" w14:paraId="42D166A6" w14:textId="77777777">
            <w:pPr>
              <w:rPr>
                <w:b/>
                <w:bCs/>
                <w:color w:val="000000"/>
                <w:sz w:val="18"/>
                <w:szCs w:val="18"/>
              </w:rPr>
            </w:pPr>
          </w:p>
        </w:tc>
        <w:tc>
          <w:tcPr>
            <w:tcW w:w="594" w:type="dxa"/>
            <w:tcBorders>
              <w:top w:val="nil"/>
              <w:left w:val="nil"/>
              <w:bottom w:val="nil"/>
              <w:right w:val="nil"/>
            </w:tcBorders>
            <w:noWrap/>
            <w:vAlign w:val="bottom"/>
            <w:hideMark/>
          </w:tcPr>
          <w:p w:rsidRPr="00837CBE" w:rsidR="00040FAF" w:rsidP="00040FAF" w:rsidRDefault="00040FAF" w14:paraId="765BC4D8" w14:textId="77777777">
            <w:pPr>
              <w:rPr>
                <w:rFonts w:ascii="Times New Roman" w:hAnsi="Times New Roman"/>
                <w:sz w:val="20"/>
                <w:szCs w:val="20"/>
              </w:rPr>
            </w:pPr>
          </w:p>
        </w:tc>
        <w:tc>
          <w:tcPr>
            <w:tcW w:w="594" w:type="dxa"/>
            <w:tcBorders>
              <w:top w:val="nil"/>
              <w:left w:val="nil"/>
              <w:bottom w:val="nil"/>
              <w:right w:val="nil"/>
            </w:tcBorders>
            <w:noWrap/>
            <w:vAlign w:val="bottom"/>
            <w:hideMark/>
          </w:tcPr>
          <w:p w:rsidRPr="00837CBE" w:rsidR="00040FAF" w:rsidP="00040FAF" w:rsidRDefault="00040FAF" w14:paraId="399B8ACE" w14:textId="77777777">
            <w:pPr>
              <w:rPr>
                <w:rFonts w:ascii="Times New Roman" w:hAnsi="Times New Roman"/>
                <w:sz w:val="20"/>
                <w:szCs w:val="20"/>
              </w:rPr>
            </w:pPr>
          </w:p>
        </w:tc>
        <w:tc>
          <w:tcPr>
            <w:tcW w:w="594" w:type="dxa"/>
            <w:tcBorders>
              <w:top w:val="nil"/>
              <w:left w:val="nil"/>
              <w:bottom w:val="nil"/>
              <w:right w:val="nil"/>
            </w:tcBorders>
            <w:noWrap/>
            <w:vAlign w:val="bottom"/>
            <w:hideMark/>
          </w:tcPr>
          <w:p w:rsidRPr="00837CBE" w:rsidR="00040FAF" w:rsidP="00040FAF" w:rsidRDefault="00040FAF" w14:paraId="1F28CFE3" w14:textId="77777777">
            <w:pPr>
              <w:rPr>
                <w:rFonts w:ascii="Times New Roman" w:hAnsi="Times New Roman"/>
                <w:sz w:val="20"/>
                <w:szCs w:val="20"/>
              </w:rPr>
            </w:pPr>
          </w:p>
        </w:tc>
        <w:tc>
          <w:tcPr>
            <w:tcW w:w="594" w:type="dxa"/>
            <w:tcBorders>
              <w:top w:val="nil"/>
              <w:left w:val="nil"/>
              <w:bottom w:val="nil"/>
              <w:right w:val="nil"/>
            </w:tcBorders>
            <w:noWrap/>
            <w:vAlign w:val="bottom"/>
            <w:hideMark/>
          </w:tcPr>
          <w:p w:rsidRPr="00837CBE" w:rsidR="00040FAF" w:rsidP="00040FAF" w:rsidRDefault="00040FAF" w14:paraId="7BBC0324" w14:textId="77777777">
            <w:pPr>
              <w:rPr>
                <w:rFonts w:ascii="Times New Roman" w:hAnsi="Times New Roman"/>
                <w:sz w:val="20"/>
                <w:szCs w:val="20"/>
              </w:rPr>
            </w:pPr>
          </w:p>
        </w:tc>
      </w:tr>
      <w:tr w:rsidRPr="00837CBE" w:rsidR="00040FAF" w:rsidTr="00040FAF" w14:paraId="19353BA5" w14:textId="77777777">
        <w:trPr>
          <w:gridAfter w:val="3"/>
          <w:wAfter w:w="382" w:type="dxa"/>
          <w:trHeight w:val="240"/>
        </w:trPr>
        <w:tc>
          <w:tcPr>
            <w:tcW w:w="5387" w:type="dxa"/>
            <w:tcBorders>
              <w:top w:val="nil"/>
              <w:left w:val="nil"/>
              <w:right w:val="nil"/>
            </w:tcBorders>
            <w:noWrap/>
            <w:vAlign w:val="center"/>
            <w:hideMark/>
          </w:tcPr>
          <w:p w:rsidRPr="00837CBE" w:rsidR="00040FAF" w:rsidP="00040FAF" w:rsidRDefault="00040FAF" w14:paraId="5A7A8BDB" w14:textId="77777777">
            <w:pPr>
              <w:rPr>
                <w:i/>
                <w:iCs/>
                <w:color w:val="000000"/>
                <w:sz w:val="18"/>
                <w:szCs w:val="18"/>
              </w:rPr>
            </w:pPr>
            <w:r w:rsidRPr="00837CBE">
              <w:rPr>
                <w:i/>
                <w:iCs/>
                <w:color w:val="000000"/>
                <w:sz w:val="18"/>
                <w:szCs w:val="18"/>
              </w:rPr>
              <w:t>Norm netto primaire gefinancierde uitgavengroei*</w:t>
            </w:r>
          </w:p>
        </w:tc>
        <w:tc>
          <w:tcPr>
            <w:tcW w:w="594" w:type="dxa"/>
            <w:tcBorders>
              <w:top w:val="nil"/>
              <w:left w:val="nil"/>
              <w:right w:val="nil"/>
            </w:tcBorders>
            <w:noWrap/>
            <w:vAlign w:val="center"/>
            <w:hideMark/>
          </w:tcPr>
          <w:p w:rsidRPr="00837CBE" w:rsidR="00040FAF" w:rsidP="00040FAF" w:rsidRDefault="00040FAF" w14:paraId="2A542BBF" w14:textId="77777777">
            <w:pPr>
              <w:jc w:val="right"/>
              <w:rPr>
                <w:i/>
                <w:iCs/>
                <w:color w:val="000000"/>
                <w:sz w:val="18"/>
                <w:szCs w:val="18"/>
              </w:rPr>
            </w:pPr>
            <w:r w:rsidRPr="00837CBE">
              <w:rPr>
                <w:i/>
                <w:iCs/>
                <w:color w:val="000000"/>
                <w:sz w:val="18"/>
                <w:szCs w:val="18"/>
              </w:rPr>
              <w:t>6,9</w:t>
            </w:r>
          </w:p>
        </w:tc>
        <w:tc>
          <w:tcPr>
            <w:tcW w:w="594" w:type="dxa"/>
            <w:tcBorders>
              <w:top w:val="nil"/>
              <w:left w:val="nil"/>
              <w:right w:val="nil"/>
            </w:tcBorders>
            <w:noWrap/>
            <w:vAlign w:val="center"/>
            <w:hideMark/>
          </w:tcPr>
          <w:p w:rsidRPr="00837CBE" w:rsidR="00040FAF" w:rsidP="00040FAF" w:rsidRDefault="00040FAF" w14:paraId="7A1F1A65" w14:textId="77777777">
            <w:pPr>
              <w:jc w:val="right"/>
              <w:rPr>
                <w:i/>
                <w:iCs/>
                <w:color w:val="000000"/>
                <w:sz w:val="18"/>
                <w:szCs w:val="18"/>
              </w:rPr>
            </w:pPr>
            <w:r w:rsidRPr="00837CBE">
              <w:rPr>
                <w:i/>
                <w:iCs/>
                <w:color w:val="000000"/>
                <w:sz w:val="18"/>
                <w:szCs w:val="18"/>
              </w:rPr>
              <w:t>10,4</w:t>
            </w:r>
          </w:p>
        </w:tc>
        <w:tc>
          <w:tcPr>
            <w:tcW w:w="594" w:type="dxa"/>
            <w:tcBorders>
              <w:top w:val="nil"/>
              <w:left w:val="nil"/>
              <w:right w:val="nil"/>
            </w:tcBorders>
            <w:noWrap/>
            <w:vAlign w:val="center"/>
            <w:hideMark/>
          </w:tcPr>
          <w:p w:rsidRPr="00837CBE" w:rsidR="00040FAF" w:rsidP="00040FAF" w:rsidRDefault="00040FAF" w14:paraId="164496FF" w14:textId="77777777">
            <w:pPr>
              <w:jc w:val="right"/>
              <w:rPr>
                <w:i/>
                <w:iCs/>
                <w:color w:val="000000"/>
                <w:sz w:val="18"/>
                <w:szCs w:val="18"/>
              </w:rPr>
            </w:pPr>
            <w:r w:rsidRPr="00837CBE">
              <w:rPr>
                <w:i/>
                <w:iCs/>
                <w:color w:val="000000"/>
                <w:sz w:val="18"/>
                <w:szCs w:val="18"/>
              </w:rPr>
              <w:t>14,0</w:t>
            </w:r>
          </w:p>
        </w:tc>
        <w:tc>
          <w:tcPr>
            <w:tcW w:w="594" w:type="dxa"/>
            <w:tcBorders>
              <w:top w:val="nil"/>
              <w:left w:val="nil"/>
              <w:right w:val="nil"/>
            </w:tcBorders>
            <w:noWrap/>
            <w:vAlign w:val="center"/>
            <w:hideMark/>
          </w:tcPr>
          <w:p w:rsidRPr="00837CBE" w:rsidR="00040FAF" w:rsidP="00040FAF" w:rsidRDefault="00040FAF" w14:paraId="60616351" w14:textId="77777777">
            <w:pPr>
              <w:jc w:val="right"/>
              <w:rPr>
                <w:i/>
                <w:iCs/>
                <w:color w:val="000000"/>
                <w:sz w:val="18"/>
                <w:szCs w:val="18"/>
              </w:rPr>
            </w:pPr>
            <w:r w:rsidRPr="00837CBE">
              <w:rPr>
                <w:i/>
                <w:iCs/>
                <w:color w:val="000000"/>
                <w:sz w:val="18"/>
                <w:szCs w:val="18"/>
              </w:rPr>
              <w:t>17,5</w:t>
            </w:r>
          </w:p>
        </w:tc>
        <w:tc>
          <w:tcPr>
            <w:tcW w:w="594" w:type="dxa"/>
            <w:tcBorders>
              <w:top w:val="nil"/>
              <w:left w:val="nil"/>
              <w:right w:val="nil"/>
            </w:tcBorders>
            <w:noWrap/>
            <w:vAlign w:val="center"/>
            <w:hideMark/>
          </w:tcPr>
          <w:p w:rsidRPr="00837CBE" w:rsidR="00040FAF" w:rsidP="00040FAF" w:rsidRDefault="00040FAF" w14:paraId="132BFA7D" w14:textId="77777777">
            <w:pPr>
              <w:jc w:val="right"/>
              <w:rPr>
                <w:i/>
                <w:iCs/>
                <w:color w:val="000000"/>
                <w:sz w:val="18"/>
                <w:szCs w:val="18"/>
              </w:rPr>
            </w:pPr>
            <w:r w:rsidRPr="00837CBE">
              <w:rPr>
                <w:i/>
                <w:iCs/>
                <w:color w:val="000000"/>
                <w:sz w:val="18"/>
                <w:szCs w:val="18"/>
              </w:rPr>
              <w:t>21,0</w:t>
            </w:r>
          </w:p>
        </w:tc>
      </w:tr>
      <w:tr w:rsidRPr="00837CBE" w:rsidR="00040FAF" w:rsidTr="00040FAF" w14:paraId="208B4469" w14:textId="77777777">
        <w:trPr>
          <w:gridAfter w:val="3"/>
          <w:wAfter w:w="382" w:type="dxa"/>
          <w:trHeight w:val="255"/>
        </w:trPr>
        <w:tc>
          <w:tcPr>
            <w:tcW w:w="5387" w:type="dxa"/>
            <w:tcBorders>
              <w:top w:val="nil"/>
              <w:left w:val="nil"/>
              <w:bottom w:val="single" w:color="auto" w:sz="12" w:space="0"/>
              <w:right w:val="nil"/>
            </w:tcBorders>
            <w:noWrap/>
            <w:vAlign w:val="center"/>
            <w:hideMark/>
          </w:tcPr>
          <w:p w:rsidRPr="00837CBE" w:rsidR="00040FAF" w:rsidP="00040FAF" w:rsidRDefault="00040FAF" w14:paraId="2A3DDF31" w14:textId="77777777">
            <w:pPr>
              <w:rPr>
                <w:color w:val="000000"/>
                <w:sz w:val="18"/>
                <w:szCs w:val="18"/>
              </w:rPr>
            </w:pPr>
            <w:r w:rsidRPr="00837CBE">
              <w:rPr>
                <w:color w:val="000000"/>
                <w:sz w:val="18"/>
                <w:szCs w:val="18"/>
              </w:rPr>
              <w:t>Groei van netto primair gefinancierde uitgaven**</w:t>
            </w:r>
          </w:p>
        </w:tc>
        <w:tc>
          <w:tcPr>
            <w:tcW w:w="594" w:type="dxa"/>
            <w:tcBorders>
              <w:top w:val="nil"/>
              <w:left w:val="nil"/>
              <w:bottom w:val="single" w:color="auto" w:sz="12" w:space="0"/>
              <w:right w:val="nil"/>
            </w:tcBorders>
            <w:noWrap/>
            <w:vAlign w:val="center"/>
            <w:hideMark/>
          </w:tcPr>
          <w:p w:rsidRPr="00837CBE" w:rsidR="00040FAF" w:rsidP="00040FAF" w:rsidRDefault="00040FAF" w14:paraId="22A821C3" w14:textId="77777777">
            <w:pPr>
              <w:jc w:val="right"/>
              <w:rPr>
                <w:color w:val="000000"/>
                <w:sz w:val="18"/>
                <w:szCs w:val="18"/>
              </w:rPr>
            </w:pPr>
            <w:r>
              <w:rPr>
                <w:color w:val="000000"/>
                <w:sz w:val="18"/>
                <w:szCs w:val="18"/>
              </w:rPr>
              <w:t>5,9</w:t>
            </w:r>
          </w:p>
        </w:tc>
        <w:tc>
          <w:tcPr>
            <w:tcW w:w="594" w:type="dxa"/>
            <w:tcBorders>
              <w:top w:val="nil"/>
              <w:left w:val="nil"/>
              <w:bottom w:val="single" w:color="auto" w:sz="12" w:space="0"/>
              <w:right w:val="nil"/>
            </w:tcBorders>
            <w:noWrap/>
            <w:vAlign w:val="center"/>
            <w:hideMark/>
          </w:tcPr>
          <w:p w:rsidRPr="00837CBE" w:rsidR="00040FAF" w:rsidP="00040FAF" w:rsidRDefault="00040FAF" w14:paraId="2723E9D8" w14:textId="77777777">
            <w:pPr>
              <w:jc w:val="right"/>
              <w:rPr>
                <w:color w:val="000000"/>
                <w:sz w:val="18"/>
                <w:szCs w:val="18"/>
              </w:rPr>
            </w:pPr>
            <w:r w:rsidRPr="00837CBE">
              <w:rPr>
                <w:color w:val="000000"/>
                <w:sz w:val="18"/>
                <w:szCs w:val="18"/>
              </w:rPr>
              <w:t>13,5</w:t>
            </w:r>
          </w:p>
        </w:tc>
        <w:tc>
          <w:tcPr>
            <w:tcW w:w="594" w:type="dxa"/>
            <w:tcBorders>
              <w:top w:val="nil"/>
              <w:left w:val="nil"/>
              <w:bottom w:val="single" w:color="auto" w:sz="12" w:space="0"/>
              <w:right w:val="nil"/>
            </w:tcBorders>
            <w:noWrap/>
            <w:vAlign w:val="center"/>
            <w:hideMark/>
          </w:tcPr>
          <w:p w:rsidRPr="00837CBE" w:rsidR="00040FAF" w:rsidP="00040FAF" w:rsidRDefault="00040FAF" w14:paraId="27CEB932" w14:textId="77777777">
            <w:pPr>
              <w:jc w:val="right"/>
              <w:rPr>
                <w:color w:val="000000"/>
                <w:sz w:val="18"/>
                <w:szCs w:val="18"/>
              </w:rPr>
            </w:pPr>
            <w:r w:rsidRPr="00837CBE">
              <w:rPr>
                <w:color w:val="000000"/>
                <w:sz w:val="18"/>
                <w:szCs w:val="18"/>
              </w:rPr>
              <w:t>18,9</w:t>
            </w:r>
          </w:p>
        </w:tc>
        <w:tc>
          <w:tcPr>
            <w:tcW w:w="594" w:type="dxa"/>
            <w:tcBorders>
              <w:top w:val="nil"/>
              <w:left w:val="nil"/>
              <w:bottom w:val="single" w:color="auto" w:sz="12" w:space="0"/>
              <w:right w:val="nil"/>
            </w:tcBorders>
            <w:noWrap/>
            <w:vAlign w:val="center"/>
            <w:hideMark/>
          </w:tcPr>
          <w:p w:rsidRPr="00837CBE" w:rsidR="00040FAF" w:rsidP="00040FAF" w:rsidRDefault="00040FAF" w14:paraId="40A36FB5" w14:textId="77777777">
            <w:pPr>
              <w:jc w:val="right"/>
              <w:rPr>
                <w:color w:val="000000"/>
                <w:sz w:val="18"/>
                <w:szCs w:val="18"/>
              </w:rPr>
            </w:pPr>
            <w:r w:rsidRPr="00837CBE">
              <w:rPr>
                <w:color w:val="000000"/>
                <w:sz w:val="18"/>
                <w:szCs w:val="18"/>
              </w:rPr>
              <w:t>23,1</w:t>
            </w:r>
          </w:p>
        </w:tc>
        <w:tc>
          <w:tcPr>
            <w:tcW w:w="594" w:type="dxa"/>
            <w:tcBorders>
              <w:top w:val="nil"/>
              <w:left w:val="nil"/>
              <w:bottom w:val="single" w:color="auto" w:sz="12" w:space="0"/>
              <w:right w:val="nil"/>
            </w:tcBorders>
            <w:noWrap/>
            <w:vAlign w:val="center"/>
            <w:hideMark/>
          </w:tcPr>
          <w:p w:rsidRPr="00837CBE" w:rsidR="00040FAF" w:rsidP="00040FAF" w:rsidRDefault="00040FAF" w14:paraId="5901439A" w14:textId="77777777">
            <w:pPr>
              <w:jc w:val="right"/>
              <w:rPr>
                <w:color w:val="000000"/>
                <w:sz w:val="18"/>
                <w:szCs w:val="18"/>
              </w:rPr>
            </w:pPr>
            <w:r w:rsidRPr="00837CBE">
              <w:rPr>
                <w:color w:val="000000"/>
                <w:sz w:val="18"/>
                <w:szCs w:val="18"/>
              </w:rPr>
              <w:t>26,9</w:t>
            </w:r>
          </w:p>
        </w:tc>
      </w:tr>
      <w:tr w:rsidRPr="00837CBE" w:rsidR="00040FAF" w:rsidTr="00040FAF" w14:paraId="4C8CE23D" w14:textId="77777777">
        <w:trPr>
          <w:gridAfter w:val="2"/>
          <w:wAfter w:w="375" w:type="dxa"/>
          <w:trHeight w:val="510"/>
        </w:trPr>
        <w:tc>
          <w:tcPr>
            <w:tcW w:w="8364" w:type="dxa"/>
            <w:gridSpan w:val="7"/>
            <w:tcBorders>
              <w:top w:val="single" w:color="auto" w:sz="12" w:space="0"/>
              <w:left w:val="nil"/>
              <w:bottom w:val="nil"/>
              <w:right w:val="nil"/>
            </w:tcBorders>
            <w:hideMark/>
          </w:tcPr>
          <w:p w:rsidRPr="00837CBE" w:rsidR="00040FAF" w:rsidP="00040FAF" w:rsidRDefault="00040FAF" w14:paraId="19CC4557" w14:textId="77777777">
            <w:pPr>
              <w:rPr>
                <w:i/>
                <w:iCs/>
                <w:color w:val="000000"/>
                <w:sz w:val="18"/>
                <w:szCs w:val="18"/>
              </w:rPr>
            </w:pPr>
            <w:r w:rsidRPr="00837CBE">
              <w:rPr>
                <w:i/>
                <w:iCs/>
                <w:color w:val="000000"/>
                <w:sz w:val="18"/>
                <w:szCs w:val="18"/>
              </w:rPr>
              <w:t xml:space="preserve">*Op basis van de aanbeveling en de berekening van de Europese Commissie. Deze berekeningen gaan uit van de veronderstelling van ongewijzigd beleid. </w:t>
            </w:r>
            <w:proofErr w:type="spellStart"/>
            <w:r w:rsidRPr="00837CBE">
              <w:rPr>
                <w:i/>
                <w:iCs/>
                <w:color w:val="000000"/>
                <w:sz w:val="18"/>
                <w:szCs w:val="18"/>
              </w:rPr>
              <w:t>Uitgavenpad</w:t>
            </w:r>
            <w:proofErr w:type="spellEnd"/>
            <w:r w:rsidRPr="00837CBE">
              <w:rPr>
                <w:i/>
                <w:iCs/>
                <w:color w:val="000000"/>
                <w:sz w:val="18"/>
                <w:szCs w:val="18"/>
              </w:rPr>
              <w:t xml:space="preserve"> is vastgesteld door de Raad</w:t>
            </w:r>
            <w:r>
              <w:rPr>
                <w:i/>
                <w:iCs/>
                <w:color w:val="000000"/>
                <w:sz w:val="18"/>
                <w:szCs w:val="18"/>
              </w:rPr>
              <w:t xml:space="preserve"> van de Europese Unie</w:t>
            </w:r>
            <w:r w:rsidRPr="00837CBE">
              <w:rPr>
                <w:i/>
                <w:iCs/>
                <w:color w:val="000000"/>
                <w:sz w:val="18"/>
                <w:szCs w:val="18"/>
              </w:rPr>
              <w:t>.</w:t>
            </w:r>
          </w:p>
        </w:tc>
      </w:tr>
      <w:tr w:rsidRPr="00837CBE" w:rsidR="00040FAF" w:rsidTr="00040FAF" w14:paraId="6F3020F3" w14:textId="77777777">
        <w:trPr>
          <w:gridAfter w:val="2"/>
          <w:wAfter w:w="375" w:type="dxa"/>
          <w:trHeight w:val="1215"/>
        </w:trPr>
        <w:tc>
          <w:tcPr>
            <w:tcW w:w="8364" w:type="dxa"/>
            <w:gridSpan w:val="7"/>
            <w:tcBorders>
              <w:top w:val="nil"/>
              <w:left w:val="nil"/>
              <w:bottom w:val="nil"/>
              <w:right w:val="nil"/>
            </w:tcBorders>
            <w:hideMark/>
          </w:tcPr>
          <w:p w:rsidRPr="00837CBE" w:rsidR="00040FAF" w:rsidP="00040FAF" w:rsidRDefault="00040FAF" w14:paraId="53D00A83" w14:textId="77777777">
            <w:pPr>
              <w:rPr>
                <w:i/>
                <w:iCs/>
                <w:color w:val="000000"/>
                <w:sz w:val="18"/>
                <w:szCs w:val="18"/>
              </w:rPr>
            </w:pPr>
            <w:r w:rsidRPr="00837CBE">
              <w:rPr>
                <w:i/>
                <w:iCs/>
                <w:color w:val="000000"/>
                <w:sz w:val="18"/>
                <w:szCs w:val="18"/>
              </w:rPr>
              <w:t>**Dit zijn de nationale overheidsuitgaven gecorrigeerd voor rente-uitgaven, tijdelijke en eenmalige uitgaven, eventuele discretionaire inkomstenmaatregelen, uitgaven die worden bekostigd met inkomsten uit EU-fondsen en nationale cofinanciering voor EU-programma’s, conjuncturele en nationale cofinanciering voor EU-programma’s, conjuncturele werkloosheidsuitgaven en eventuele maatregelen die zorgen voor hogere inkomsten.</w:t>
            </w:r>
          </w:p>
        </w:tc>
      </w:tr>
      <w:tr w:rsidRPr="00837CBE" w:rsidR="00040FAF" w:rsidTr="00040FAF" w14:paraId="1DCB5827" w14:textId="77777777">
        <w:trPr>
          <w:trHeight w:val="240"/>
        </w:trPr>
        <w:tc>
          <w:tcPr>
            <w:tcW w:w="8579" w:type="dxa"/>
            <w:gridSpan w:val="8"/>
            <w:tcBorders>
              <w:top w:val="nil"/>
              <w:left w:val="nil"/>
              <w:bottom w:val="nil"/>
              <w:right w:val="nil"/>
            </w:tcBorders>
            <w:noWrap/>
            <w:vAlign w:val="center"/>
            <w:hideMark/>
          </w:tcPr>
          <w:p w:rsidRPr="00837CBE" w:rsidR="00040FAF" w:rsidP="00040FAF" w:rsidRDefault="00040FAF" w14:paraId="246CF08E" w14:textId="77777777">
            <w:pPr>
              <w:rPr>
                <w:rFonts w:ascii="Times New Roman" w:hAnsi="Times New Roman"/>
                <w:sz w:val="20"/>
                <w:szCs w:val="20"/>
              </w:rPr>
            </w:pPr>
            <w:r w:rsidRPr="00837CBE">
              <w:rPr>
                <w:i/>
                <w:iCs/>
                <w:color w:val="000000"/>
                <w:sz w:val="18"/>
                <w:szCs w:val="18"/>
              </w:rPr>
              <w:t>Bron: Eur</w:t>
            </w:r>
            <w:r>
              <w:rPr>
                <w:i/>
                <w:iCs/>
                <w:color w:val="000000"/>
                <w:sz w:val="18"/>
                <w:szCs w:val="18"/>
              </w:rPr>
              <w:t>o</w:t>
            </w:r>
            <w:r w:rsidRPr="00837CBE">
              <w:rPr>
                <w:i/>
                <w:iCs/>
                <w:color w:val="000000"/>
                <w:sz w:val="18"/>
                <w:szCs w:val="18"/>
              </w:rPr>
              <w:t>pese Commissie en CPB (Centraal Economisch Plan 2026)</w:t>
            </w:r>
          </w:p>
        </w:tc>
        <w:tc>
          <w:tcPr>
            <w:tcW w:w="160" w:type="dxa"/>
            <w:tcBorders>
              <w:top w:val="nil"/>
              <w:left w:val="nil"/>
              <w:bottom w:val="nil"/>
              <w:right w:val="nil"/>
            </w:tcBorders>
            <w:noWrap/>
            <w:vAlign w:val="bottom"/>
            <w:hideMark/>
          </w:tcPr>
          <w:p w:rsidRPr="00837CBE" w:rsidR="00040FAF" w:rsidP="00040FAF" w:rsidRDefault="00040FAF" w14:paraId="02554F2E" w14:textId="77777777">
            <w:pPr>
              <w:rPr>
                <w:rFonts w:ascii="Times New Roman" w:hAnsi="Times New Roman"/>
                <w:sz w:val="20"/>
                <w:szCs w:val="20"/>
              </w:rPr>
            </w:pPr>
          </w:p>
        </w:tc>
      </w:tr>
    </w:tbl>
    <w:p w:rsidR="00040FAF" w:rsidP="00040FAF" w:rsidRDefault="00040FAF" w14:paraId="1D018BBE" w14:textId="77777777"/>
    <w:p w:rsidRPr="003E50B3" w:rsidR="00040FAF" w:rsidP="00040FAF" w:rsidRDefault="00040FAF" w14:paraId="5F5AABA6" w14:textId="77777777">
      <w:r w:rsidRPr="003E50B3">
        <w:t xml:space="preserve">De Raad van de Europese Unie heeft op aanbeveling van de Commissie een </w:t>
      </w:r>
      <w:proofErr w:type="spellStart"/>
      <w:r w:rsidRPr="003E50B3">
        <w:t>uitgavenpad</w:t>
      </w:r>
      <w:proofErr w:type="spellEnd"/>
      <w:r w:rsidRPr="003E50B3">
        <w:t xml:space="preserve"> voor Nederland vastgesteld. Dit </w:t>
      </w:r>
      <w:proofErr w:type="spellStart"/>
      <w:r w:rsidRPr="003E50B3">
        <w:t>uitgavenpad</w:t>
      </w:r>
      <w:proofErr w:type="spellEnd"/>
      <w:r w:rsidRPr="003E50B3">
        <w:t xml:space="preserve"> schrijft voor dat de netto-uitgaven in de periode 2025-2028 jaarlijks gemiddeld maximaal 3,2% mogen groeien.</w:t>
      </w:r>
      <w:r w:rsidRPr="003E50B3">
        <w:rPr>
          <w:rStyle w:val="Voetnootmarkering"/>
        </w:rPr>
        <w:footnoteReference w:id="39"/>
      </w:r>
      <w:r w:rsidRPr="003E50B3">
        <w:t xml:space="preserve"> Het betreft hier een door de Raad </w:t>
      </w:r>
      <w:r>
        <w:t xml:space="preserve">van de Europese Unie </w:t>
      </w:r>
      <w:r w:rsidRPr="003E50B3">
        <w:t xml:space="preserve">vastgestelde norm om te waarborgen dat het begrotingstekort en de overheidsschuld op de middellange termijn binnen de Europese referentiewaarden blijven. Deze vastgestelde norm voor het </w:t>
      </w:r>
      <w:proofErr w:type="spellStart"/>
      <w:r w:rsidRPr="003E50B3">
        <w:t>uitgavenpad</w:t>
      </w:r>
      <w:proofErr w:type="spellEnd"/>
      <w:r w:rsidRPr="003E50B3">
        <w:t xml:space="preserve"> is gebaseerd op het BSP van het kabinet</w:t>
      </w:r>
      <w:r>
        <w:t>-</w:t>
      </w:r>
      <w:r w:rsidRPr="003E50B3">
        <w:t xml:space="preserve">Schoof. </w:t>
      </w:r>
    </w:p>
    <w:p w:rsidR="00040FAF" w:rsidP="00040FAF" w:rsidRDefault="00040FAF" w14:paraId="3477DEEA" w14:textId="77777777"/>
    <w:p w:rsidR="00040FAF" w:rsidP="00040FAF" w:rsidRDefault="00040FAF" w14:paraId="75AF8827" w14:textId="77777777">
      <w:r>
        <w:t xml:space="preserve">De cijfers uit de Voortgangsrapportage laten zien dat de netto-uitgaven in de jaren 2026-2028 hoger zijn dan toegestaan, om op de middellange termijn binnen de referentiewaarden voor het begrotingstekort en overheidsschuld te blijven. In 2026 groeien de netto-uitgaven 1,4% meer dan genormeerd, in 2027 0,5% meer en in 2028 0,1% meer. De budgettaire effecten van het nieuwe coalitieakkoord zijn in deze cijfers van de Voortgangsrapportage verwerkt. </w:t>
      </w:r>
    </w:p>
    <w:p w:rsidR="00040FAF" w:rsidP="00040FAF" w:rsidRDefault="00040FAF" w14:paraId="6A073581" w14:textId="77777777"/>
    <w:p w:rsidRPr="0011254A" w:rsidR="00040FAF" w:rsidP="00040FAF" w:rsidRDefault="00040FAF" w14:paraId="319C8116" w14:textId="77777777">
      <w:r w:rsidRPr="0011254A">
        <w:t xml:space="preserve">Over- en onderschrijdingen van het </w:t>
      </w:r>
      <w:proofErr w:type="spellStart"/>
      <w:r w:rsidRPr="0011254A">
        <w:t>uitgavenpad</w:t>
      </w:r>
      <w:proofErr w:type="spellEnd"/>
      <w:r w:rsidRPr="0011254A">
        <w:t xml:space="preserve"> worden jaarlijks bijgehouden door de Commissie in de controlerekening. Het </w:t>
      </w:r>
      <w:proofErr w:type="spellStart"/>
      <w:r w:rsidRPr="0011254A">
        <w:t>uitgavenpad</w:t>
      </w:r>
      <w:proofErr w:type="spellEnd"/>
      <w:r w:rsidRPr="0011254A">
        <w:t xml:space="preserve"> heeft daarbij de status van een door de Raad </w:t>
      </w:r>
      <w:r>
        <w:t xml:space="preserve">van de Europese Unie </w:t>
      </w:r>
      <w:r w:rsidRPr="0011254A">
        <w:t xml:space="preserve">vastgestelde norm waaraan Nederland zich heeft verbonden. Bij aanhoudende of substantiële overschrijdingen kan de Commissie lidstaten aanbevelingen geven of kunnen correctieve maatregelen aan de orde komen. </w:t>
      </w:r>
    </w:p>
    <w:p w:rsidRPr="0011254A" w:rsidR="00040FAF" w:rsidP="00040FAF" w:rsidRDefault="00040FAF" w14:paraId="5C11000F" w14:textId="77777777"/>
    <w:p w:rsidRPr="0011254A" w:rsidR="00040FAF" w:rsidP="00040FAF" w:rsidRDefault="00040FAF" w14:paraId="133C1BD7" w14:textId="77777777">
      <w:r w:rsidRPr="0011254A">
        <w:t xml:space="preserve">De Afdeling stelt vast dat Nederland het </w:t>
      </w:r>
      <w:proofErr w:type="spellStart"/>
      <w:r w:rsidRPr="0011254A">
        <w:t>uitgavenpad</w:t>
      </w:r>
      <w:proofErr w:type="spellEnd"/>
      <w:r w:rsidRPr="0011254A">
        <w:t xml:space="preserve"> naar verwachting in 2026 en 2027 overschrijdt, omdat de geraamde </w:t>
      </w:r>
      <w:r>
        <w:t>netto-</w:t>
      </w:r>
      <w:r w:rsidRPr="0011254A">
        <w:t xml:space="preserve">uitgaven in die jaren boven de jaarlijkse drempelwaarde uitkomen. Ook cumulatief liggen de netto-uitgaven </w:t>
      </w:r>
      <w:r w:rsidRPr="0011254A">
        <w:lastRenderedPageBreak/>
        <w:t xml:space="preserve">hoger dan genormeerd. In 2028 komt de cumulatieve groei uit op 26,9%, waar dit volgens de norm uit zou mogen komen op 21%. </w:t>
      </w:r>
    </w:p>
    <w:p w:rsidRPr="0011254A" w:rsidR="00040FAF" w:rsidP="00040FAF" w:rsidRDefault="00040FAF" w14:paraId="0404B929" w14:textId="77777777"/>
    <w:p w:rsidRPr="0011254A" w:rsidR="00040FAF" w:rsidP="00040FAF" w:rsidRDefault="00040FAF" w14:paraId="44401A42" w14:textId="77777777">
      <w:r w:rsidRPr="0011254A">
        <w:t xml:space="preserve">Omdat </w:t>
      </w:r>
      <w:r>
        <w:t>de</w:t>
      </w:r>
      <w:r w:rsidRPr="0011254A">
        <w:t xml:space="preserve"> EMU-schuld van Nederland ruimschoots onder de referentiewaarde van 60% bbp blijft – ook gedurende de huidige kabinetsperiode – verwacht de Afdeling niet dat de Commissie op basis van deze overschrijdingen alleen een </w:t>
      </w:r>
      <w:proofErr w:type="spellStart"/>
      <w:r w:rsidRPr="0011254A">
        <w:t>buitensporigtekortprocedure</w:t>
      </w:r>
      <w:proofErr w:type="spellEnd"/>
      <w:r w:rsidRPr="0011254A">
        <w:t xml:space="preserve"> zal aanbevelen. De overschrijding zal daarom naar verwachting zonder directe formele gevolgen blijven.</w:t>
      </w:r>
      <w:r w:rsidRPr="0011254A">
        <w:rPr>
          <w:rStyle w:val="Voetnootmarkering"/>
        </w:rPr>
        <w:footnoteReference w:id="40"/>
      </w:r>
      <w:r w:rsidRPr="0011254A">
        <w:t xml:space="preserve"> </w:t>
      </w:r>
    </w:p>
    <w:p w:rsidR="00040FAF" w:rsidP="00040FAF" w:rsidRDefault="00040FAF" w14:paraId="6A3C30F0" w14:textId="77777777">
      <w:r w:rsidRPr="0011254A">
        <w:t xml:space="preserve">Dit neemt niet weg dat het overschrijden van het </w:t>
      </w:r>
      <w:proofErr w:type="spellStart"/>
      <w:r w:rsidRPr="0011254A">
        <w:t>uitgavenpad</w:t>
      </w:r>
      <w:proofErr w:type="spellEnd"/>
      <w:r w:rsidRPr="0011254A">
        <w:t xml:space="preserve"> </w:t>
      </w:r>
      <w:r>
        <w:t>betekenisvol is.</w:t>
      </w:r>
      <w:r w:rsidRPr="0011254A">
        <w:t xml:space="preserve"> </w:t>
      </w:r>
    </w:p>
    <w:p w:rsidR="00040FAF" w:rsidP="00040FAF" w:rsidRDefault="00040FAF" w14:paraId="222E54A9" w14:textId="77777777"/>
    <w:p w:rsidR="00040FAF" w:rsidP="00040FAF" w:rsidRDefault="00040FAF" w14:paraId="66729954" w14:textId="77777777">
      <w:r w:rsidRPr="00C3318B">
        <w:rPr>
          <w:b/>
          <w:bCs/>
        </w:rPr>
        <w:t xml:space="preserve">Nederland voldoet hiermee niet aan de aanbeveling van de Raad van de Europese Unie om te </w:t>
      </w:r>
      <w:r>
        <w:rPr>
          <w:b/>
          <w:bCs/>
        </w:rPr>
        <w:t xml:space="preserve">voorkomen dat de uitgavengroei uitkomt </w:t>
      </w:r>
      <w:r w:rsidRPr="00C3318B">
        <w:rPr>
          <w:b/>
          <w:bCs/>
        </w:rPr>
        <w:t>boven de maximale toegestane groei zoals vastgesteld door de Raad van de Europese Unie.</w:t>
      </w:r>
      <w:r w:rsidRPr="00C3318B">
        <w:rPr>
          <w:rStyle w:val="Voetnootmarkering"/>
          <w:b/>
          <w:bCs/>
        </w:rPr>
        <w:footnoteReference w:id="41"/>
      </w:r>
    </w:p>
    <w:p w:rsidR="00040FAF" w:rsidP="00040FAF" w:rsidRDefault="00040FAF" w14:paraId="557125B9" w14:textId="77777777"/>
    <w:p w:rsidRPr="0011254A" w:rsidR="00040FAF" w:rsidP="00040FAF" w:rsidRDefault="00040FAF" w14:paraId="70C10DDC" w14:textId="77777777">
      <w:r w:rsidRPr="0011254A">
        <w:t xml:space="preserve">Naleving van de preventieve arm is van belang omdat structurele overschrijdingen van het </w:t>
      </w:r>
      <w:proofErr w:type="spellStart"/>
      <w:r w:rsidRPr="0011254A">
        <w:t>uitgavenpad</w:t>
      </w:r>
      <w:proofErr w:type="spellEnd"/>
      <w:r w:rsidRPr="0011254A">
        <w:t xml:space="preserve"> leiden tot een verdere verslechtering van de overheidsfinanciën op de middellange termijn. Het zijn die situaties die ertoe kunnen leiden dat de correctieve arm van het SGP – en daarmee de </w:t>
      </w:r>
      <w:proofErr w:type="spellStart"/>
      <w:r w:rsidRPr="0011254A">
        <w:t>buitensporigtekortprocedure</w:t>
      </w:r>
      <w:proofErr w:type="spellEnd"/>
      <w:r w:rsidRPr="0011254A">
        <w:t xml:space="preserve"> – wel degelijk aan de orde kunnen komen. </w:t>
      </w:r>
    </w:p>
    <w:p w:rsidR="00040FAF" w:rsidP="00040FAF" w:rsidRDefault="00040FAF" w14:paraId="393DA117" w14:textId="77777777"/>
    <w:p w:rsidRPr="00C603C1" w:rsidR="00040FAF" w:rsidP="00040FAF" w:rsidRDefault="00040FAF" w14:paraId="0C59C60D" w14:textId="77777777">
      <w:r>
        <w:t xml:space="preserve">De CEP-raming bevestigt dit beeld. Het CPB laat de ontwikkeling van de overheidsfinanciën op de middellange termijn zien (t/m 2034). Hieruit blijkt dat het begrotingstekort de 3% bbp op de middellange termijn overschrijdt. Door de jaarlijks oplopende tekorten stijgt de schuld naar 52,5% bbp in 2034. Met name de intensiveringen in defensie en de uitgaven aan zorg, sociale zekerheid en de rente zorgen voor hogere uitgaven op de middellange termijn. Ook stijgen de uitgaven omdat de geraamde </w:t>
      </w:r>
      <w:proofErr w:type="spellStart"/>
      <w:r>
        <w:t>onderuitputting</w:t>
      </w:r>
      <w:proofErr w:type="spellEnd"/>
      <w:r>
        <w:t xml:space="preserve"> op de middellange termijn afneemt.</w:t>
      </w:r>
      <w:r>
        <w:rPr>
          <w:rStyle w:val="Voetnootmarkering"/>
        </w:rPr>
        <w:footnoteReference w:id="42"/>
      </w:r>
      <w:r>
        <w:t xml:space="preserve"> </w:t>
      </w:r>
    </w:p>
    <w:p w:rsidRPr="005258B7" w:rsidR="00040FAF" w:rsidP="00040FAF" w:rsidRDefault="00040FAF" w14:paraId="6B0F9A44" w14:textId="77777777"/>
    <w:p w:rsidRPr="00912EB9" w:rsidR="00040FAF" w:rsidP="00040FAF" w:rsidRDefault="00040FAF" w14:paraId="509E0FB9" w14:textId="77777777">
      <w:r>
        <w:t>Zodra</w:t>
      </w:r>
      <w:r w:rsidRPr="005258B7">
        <w:t xml:space="preserve"> de Raad</w:t>
      </w:r>
      <w:r>
        <w:t xml:space="preserve"> van de Europese Unie</w:t>
      </w:r>
      <w:r w:rsidRPr="005258B7">
        <w:t xml:space="preserve"> een nieuw </w:t>
      </w:r>
      <w:proofErr w:type="spellStart"/>
      <w:r w:rsidRPr="005258B7">
        <w:t>uitgavenpad</w:t>
      </w:r>
      <w:proofErr w:type="spellEnd"/>
      <w:r w:rsidRPr="005258B7">
        <w:t xml:space="preserve"> vaststelt</w:t>
      </w:r>
      <w:r>
        <w:t>,</w:t>
      </w:r>
      <w:r w:rsidRPr="005258B7">
        <w:t xml:space="preserve"> </w:t>
      </w:r>
      <w:r>
        <w:t>zal</w:t>
      </w:r>
      <w:r w:rsidRPr="005258B7">
        <w:t xml:space="preserve"> de Afdeling</w:t>
      </w:r>
      <w:r>
        <w:t xml:space="preserve"> daaraan toetsen</w:t>
      </w:r>
      <w:r w:rsidRPr="005258B7">
        <w:t>.</w:t>
      </w:r>
      <w:r>
        <w:rPr>
          <w:rStyle w:val="Voetnootmarkering"/>
        </w:rPr>
        <w:footnoteReference w:id="43"/>
      </w:r>
      <w:r w:rsidRPr="005258B7">
        <w:t xml:space="preserve"> De Afdeling zal hierover rapporteren in de eerstvolgende begrotingsrapportage na vaststelling van het herziene </w:t>
      </w:r>
      <w:r>
        <w:t>BSP</w:t>
      </w:r>
      <w:r w:rsidRPr="005258B7">
        <w:t>.</w:t>
      </w:r>
      <w:r>
        <w:t xml:space="preserve"> Hoewel de Afdeling dus formeel toetst aan het BSP van kabinet-Schoof, reflecteert de Afdeling hierna ook op het herziene BSP van het kabinet-</w:t>
      </w:r>
      <w:proofErr w:type="spellStart"/>
      <w:r>
        <w:t>Jetten</w:t>
      </w:r>
      <w:proofErr w:type="spellEnd"/>
      <w:r>
        <w:t>.</w:t>
      </w:r>
    </w:p>
    <w:p w:rsidR="00040FAF" w:rsidP="00040FAF" w:rsidRDefault="00040FAF" w14:paraId="5ACE1122" w14:textId="77777777">
      <w:r>
        <w:br w:type="page"/>
      </w:r>
    </w:p>
    <w:p w:rsidRPr="008B7612" w:rsidR="00040FAF" w:rsidP="00040FAF" w:rsidRDefault="00040FAF" w14:paraId="2E7438E4" w14:textId="77777777">
      <w:pPr>
        <w:rPr>
          <w:i/>
        </w:rPr>
      </w:pPr>
      <w:r w:rsidRPr="008B7612">
        <w:rPr>
          <w:iCs/>
        </w:rPr>
        <w:lastRenderedPageBreak/>
        <w:t>2.</w:t>
      </w:r>
      <w:r w:rsidRPr="008B7612">
        <w:rPr>
          <w:iCs/>
        </w:rPr>
        <w:tab/>
      </w:r>
      <w:r w:rsidRPr="008B7612">
        <w:rPr>
          <w:iCs/>
          <w:u w:val="single"/>
        </w:rPr>
        <w:t>Het nieuwe budgettair-structureel plan voor de middellange termijn</w:t>
      </w:r>
      <w:r w:rsidRPr="008B7612">
        <w:rPr>
          <w:iCs/>
        </w:rPr>
        <w:t xml:space="preserve"> </w:t>
      </w:r>
    </w:p>
    <w:p w:rsidR="00040FAF" w:rsidP="00040FAF" w:rsidRDefault="00040FAF" w14:paraId="3BB7601D" w14:textId="77777777">
      <w:pPr>
        <w:rPr>
          <w:i/>
        </w:rPr>
      </w:pPr>
    </w:p>
    <w:p w:rsidR="00040FAF" w:rsidP="00040FAF" w:rsidRDefault="00040FAF" w14:paraId="04EF17D9" w14:textId="77777777">
      <w:pPr>
        <w:rPr>
          <w:iCs/>
        </w:rPr>
      </w:pPr>
      <w:r>
        <w:rPr>
          <w:iCs/>
        </w:rPr>
        <w:t>Het nieuwe kabinet heeft bij aanvang van zijn periode een nieuw BSP ingediend bij de Europese Commissie. Het BSP bevat een meerjarig netto-</w:t>
      </w:r>
      <w:proofErr w:type="spellStart"/>
      <w:r>
        <w:rPr>
          <w:iCs/>
        </w:rPr>
        <w:t>uitgavenpad</w:t>
      </w:r>
      <w:proofErr w:type="spellEnd"/>
      <w:r>
        <w:rPr>
          <w:iCs/>
        </w:rPr>
        <w:t xml:space="preserve"> en een beschrijving van de hervormingen en investeringen die het kabinet zich voorgenomen heeft in het kader van de </w:t>
      </w:r>
      <w:proofErr w:type="spellStart"/>
      <w:r>
        <w:rPr>
          <w:iCs/>
        </w:rPr>
        <w:t>landspecifieke</w:t>
      </w:r>
      <w:proofErr w:type="spellEnd"/>
      <w:r>
        <w:rPr>
          <w:iCs/>
        </w:rPr>
        <w:t xml:space="preserve"> aanbevelingen en de gemeenschappelijke prioriteiten van de Europese Unie. </w:t>
      </w:r>
    </w:p>
    <w:p w:rsidR="00040FAF" w:rsidP="00040FAF" w:rsidRDefault="00040FAF" w14:paraId="6372951B" w14:textId="77777777">
      <w:pPr>
        <w:rPr>
          <w:iCs/>
        </w:rPr>
      </w:pPr>
    </w:p>
    <w:p w:rsidR="00040FAF" w:rsidP="00040FAF" w:rsidRDefault="00040FAF" w14:paraId="3DCF0C45" w14:textId="77777777">
      <w:pPr>
        <w:rPr>
          <w:iCs/>
        </w:rPr>
      </w:pPr>
      <w:r w:rsidRPr="00E53320">
        <w:rPr>
          <w:iCs/>
        </w:rPr>
        <w:t xml:space="preserve">Hoewel het </w:t>
      </w:r>
      <w:r>
        <w:rPr>
          <w:iCs/>
        </w:rPr>
        <w:t xml:space="preserve">nieuwe </w:t>
      </w:r>
      <w:proofErr w:type="gramStart"/>
      <w:r>
        <w:rPr>
          <w:iCs/>
        </w:rPr>
        <w:t>BSP</w:t>
      </w:r>
      <w:r w:rsidRPr="00E53320">
        <w:rPr>
          <w:iCs/>
        </w:rPr>
        <w:t xml:space="preserve"> hervormingen</w:t>
      </w:r>
      <w:proofErr w:type="gramEnd"/>
      <w:r w:rsidRPr="00E53320">
        <w:rPr>
          <w:iCs/>
        </w:rPr>
        <w:t xml:space="preserve"> en investeringen bevat, heeft het kabinet geen additionele hervormingen en investeringen opgevoerd om een verlenging aan te kunnen vragen van de aanpassingsperiode van maximaal drie jaar. Het </w:t>
      </w:r>
      <w:r>
        <w:rPr>
          <w:iCs/>
        </w:rPr>
        <w:t xml:space="preserve">BSP </w:t>
      </w:r>
      <w:r w:rsidRPr="00E53320">
        <w:rPr>
          <w:iCs/>
        </w:rPr>
        <w:t>zal daarom een tijdspad van vier jaar beslaan</w:t>
      </w:r>
      <w:r>
        <w:rPr>
          <w:iCs/>
        </w:rPr>
        <w:t xml:space="preserve"> (2026-2029).</w:t>
      </w:r>
      <w:r>
        <w:rPr>
          <w:rStyle w:val="Voetnootmarkering"/>
          <w:rFonts w:eastAsiaTheme="majorEastAsia"/>
          <w:iCs/>
        </w:rPr>
        <w:footnoteReference w:id="44"/>
      </w:r>
      <w:r w:rsidRPr="00E53320">
        <w:rPr>
          <w:iCs/>
        </w:rPr>
        <w:t xml:space="preserve"> </w:t>
      </w:r>
    </w:p>
    <w:p w:rsidR="00040FAF" w:rsidP="00040FAF" w:rsidRDefault="00040FAF" w14:paraId="4B167647" w14:textId="77777777">
      <w:pPr>
        <w:rPr>
          <w:iCs/>
        </w:rPr>
      </w:pPr>
    </w:p>
    <w:p w:rsidR="00040FAF" w:rsidP="00040FAF" w:rsidRDefault="00040FAF" w14:paraId="37C45903" w14:textId="77777777">
      <w:pPr>
        <w:rPr>
          <w:iCs/>
        </w:rPr>
      </w:pPr>
      <w:r>
        <w:rPr>
          <w:iCs/>
        </w:rPr>
        <w:t>Ten behoeve van het opstellen van het herziene BSP heeft het kabinet technische informatie opgevraagd bij de Europese Commissie. Deze technische informatie geeft inzicht in de begrotingsinspanning die nodig is om ervoor te zorgen dat het begrotingstekort onder de referentiewaarde van 3% bbp en de overheidsschuld onder de referentiewaarde van 60% bbp blijft op de middellange termijn.</w:t>
      </w:r>
      <w:r>
        <w:rPr>
          <w:rStyle w:val="Voetnootmarkering"/>
          <w:rFonts w:eastAsiaTheme="majorEastAsia"/>
          <w:iCs/>
        </w:rPr>
        <w:footnoteReference w:id="45"/>
      </w:r>
      <w:r>
        <w:rPr>
          <w:iCs/>
        </w:rPr>
        <w:t xml:space="preserve"> Box 2 licht toe hoe de berekening voor het netto-</w:t>
      </w:r>
      <w:proofErr w:type="spellStart"/>
      <w:r>
        <w:rPr>
          <w:iCs/>
        </w:rPr>
        <w:t>uitgavenpad</w:t>
      </w:r>
      <w:proofErr w:type="spellEnd"/>
      <w:r>
        <w:rPr>
          <w:iCs/>
        </w:rPr>
        <w:t xml:space="preserve"> tot stand komt. </w:t>
      </w:r>
    </w:p>
    <w:p w:rsidR="00040FAF" w:rsidP="00040FAF" w:rsidRDefault="00040FAF" w14:paraId="02978C0E" w14:textId="77777777">
      <w:pPr>
        <w:rPr>
          <w:iCs/>
        </w:rPr>
      </w:pPr>
    </w:p>
    <w:p w:rsidR="00040FAF" w:rsidP="00040FAF" w:rsidRDefault="00040FAF" w14:paraId="0AE49EE6" w14:textId="77777777">
      <w:pPr>
        <w:rPr>
          <w:iCs/>
        </w:rPr>
      </w:pPr>
      <w:r>
        <w:rPr>
          <w:iCs/>
        </w:rPr>
        <w:t xml:space="preserve">In de reflectie op het BSP beoordeelt de Afdeling of het nieuwe BSP voldoet aan de vereisten van het herziene SGP. </w:t>
      </w:r>
      <w:r w:rsidRPr="00572FFE">
        <w:rPr>
          <w:color w:val="000000" w:themeColor="text1"/>
        </w:rPr>
        <w:t xml:space="preserve">In het bijzonder kijkt de Afdeling of de geraamde groei van de netto-uitgaven in overeenstemming is met </w:t>
      </w:r>
      <w:r>
        <w:rPr>
          <w:iCs/>
          <w:color w:val="000000" w:themeColor="text1"/>
        </w:rPr>
        <w:t xml:space="preserve">de maximale toegestane groei op basis van de technische informatie. Geraamde groei van de netto-uitgaven moeten in overeenstemming zijn met dat maximum om </w:t>
      </w:r>
      <w:r w:rsidRPr="00572FFE">
        <w:rPr>
          <w:iCs/>
          <w:color w:val="000000" w:themeColor="text1"/>
        </w:rPr>
        <w:t>ervoor</w:t>
      </w:r>
      <w:r w:rsidRPr="00572FFE">
        <w:rPr>
          <w:color w:val="000000" w:themeColor="text1"/>
        </w:rPr>
        <w:t xml:space="preserve"> te zorgen dat de overheidsschuld (maximaal 60% bbp) en het begrotingstekort (maximaal 3% bbp) op de middellange termijn – dat wil zeggen tot 2039 – binnen de referentiewaarden blijven.</w:t>
      </w:r>
    </w:p>
    <w:p w:rsidR="00040FAF" w:rsidP="00040FAF" w:rsidRDefault="00040FAF" w14:paraId="7FB09EAB" w14:textId="72509A5B">
      <w:pPr>
        <w:rPr>
          <w:iCs/>
        </w:rPr>
      </w:pPr>
      <w:r>
        <w:rPr>
          <w:iCs/>
          <w:noProof/>
        </w:rPr>
        <w:lastRenderedPageBreak/>
        <mc:AlternateContent>
          <mc:Choice Requires="wps">
            <w:drawing>
              <wp:inline distT="0" distB="0" distL="0" distR="0" wp14:anchorId="60D8AD77" wp14:editId="7383A73D">
                <wp:extent cx="5368925" cy="6402705"/>
                <wp:effectExtent l="0" t="0" r="22225" b="17145"/>
                <wp:docPr id="1515304155" name="Tekstvak 1"/>
                <wp:cNvGraphicFramePr/>
                <a:graphic xmlns:a="http://schemas.openxmlformats.org/drawingml/2006/main">
                  <a:graphicData uri="http://schemas.microsoft.com/office/word/2010/wordprocessingShape">
                    <wps:wsp>
                      <wps:cNvSpPr txBox="1"/>
                      <wps:spPr>
                        <a:xfrm>
                          <a:off x="0" y="0"/>
                          <a:ext cx="5368925" cy="6402705"/>
                        </a:xfrm>
                        <a:prstGeom prst="rect">
                          <a:avLst/>
                        </a:prstGeom>
                        <a:solidFill>
                          <a:sysClr val="window" lastClr="FFFFFF"/>
                        </a:solidFill>
                        <a:ln w="6350">
                          <a:solidFill>
                            <a:prstClr val="black"/>
                          </a:solidFill>
                        </a:ln>
                      </wps:spPr>
                      <wps:txbx>
                        <w:txbxContent>
                          <w:p w:rsidR="00040FAF" w:rsidP="00040FAF" w:rsidRDefault="00040FAF" w14:paraId="16BA6DBE" w14:textId="77777777">
                            <w:pPr>
                              <w:rPr>
                                <w:b/>
                                <w:bCs/>
                              </w:rPr>
                            </w:pPr>
                            <w:r>
                              <w:rPr>
                                <w:b/>
                                <w:bCs/>
                              </w:rPr>
                              <w:t>Box 2: Het uitgavenpad als sturingsvariabele in het SGP</w:t>
                            </w:r>
                          </w:p>
                          <w:p w:rsidR="00040FAF" w:rsidP="00040FAF" w:rsidRDefault="00040FAF" w14:paraId="0910D2B1" w14:textId="77777777">
                            <w:pPr>
                              <w:rPr>
                                <w:b/>
                                <w:bCs/>
                              </w:rPr>
                            </w:pPr>
                          </w:p>
                          <w:p w:rsidR="00040FAF" w:rsidP="00040FAF" w:rsidRDefault="00040FAF" w14:paraId="656F7A69" w14:textId="77777777">
                            <w:r>
                              <w:t xml:space="preserve">In het nieuwe Europese begrotingsraamwerk staat één indicator centraal: een landspecifiek uitgavenpad uitgedrukt in netto-uitgaven. Dit zijn de nationale overheidsuitgaven gecorrigeerd voor rente-uitgaven, tijdelijke en eenmalige uitgaven, uitgaven die worden bekostigd met inkomsten uit EU-fondsen en nationale cofinanciering voor EU-programma’s, conjuncturele werkoosheidsuitgaven en eventuele maatregelen die zorgen voor hogere inkomsten. </w:t>
                            </w:r>
                          </w:p>
                          <w:p w:rsidR="00040FAF" w:rsidP="00040FAF" w:rsidRDefault="00040FAF" w14:paraId="00B7EB22" w14:textId="77777777"/>
                          <w:p w:rsidR="00040FAF" w:rsidP="00040FAF" w:rsidRDefault="00040FAF" w14:paraId="2AC43ACA" w14:textId="77777777">
                            <w:r w:rsidRPr="0061363F">
                              <w:t>Het landspecifieke uitgavenpad schrijft een maximale jaarlijkse groei van de netto</w:t>
                            </w:r>
                            <w:r>
                              <w:t>-</w:t>
                            </w:r>
                            <w:r w:rsidRPr="0061363F">
                              <w:t xml:space="preserve">uitgaven voor. Dat zal worden afgeleid van het structureel primair saldo aan het einde van de aanpassingsperiode. Het structureel primair saldo is het reguliere EMU-saldo gecorrigeerd voor de stand van de economie en rentelasten (dat wil zeggen het structureel saldo gecorrigeerd voor rentelasten). In de norm voor het structureel primair saldo wordt teruggerekend welke begrotingsaanpassing er door een lidstaat nodig is om de overheidsschuld op een geloofwaardig dalend pad of op prudente niveaus onder de 60% bbp op de middellange termijn te brengen of houden, en om het begrotingstekort op de middellange termijn onder de 3% bbp te brengen of houden. </w:t>
                            </w:r>
                          </w:p>
                          <w:p w:rsidR="00040FAF" w:rsidP="00040FAF" w:rsidRDefault="00040FAF" w14:paraId="45101D24" w14:textId="77777777"/>
                          <w:p w:rsidR="00040FAF" w:rsidP="00040FAF" w:rsidRDefault="00040FAF" w14:paraId="163AD78B" w14:textId="77777777">
                            <w:r w:rsidRPr="0069177E">
                              <w:t>Hiervoor maakt de Commissie gebruik van een schuldhoudbaarheidsanalyse</w:t>
                            </w:r>
                            <w:r>
                              <w:t xml:space="preserve"> (</w:t>
                            </w:r>
                            <w:r>
                              <w:rPr>
                                <w:i/>
                                <w:iCs/>
                              </w:rPr>
                              <w:t>debt sustainability analysis, DSA).</w:t>
                            </w:r>
                            <w:r w:rsidRPr="0069177E">
                              <w:t xml:space="preserve"> Daarin worden verschillende scenario’s van onder meer uiteenlopende rentetarieven, bbp-groei en vergrijzingslasten meegewogen. Op deze manier toetst de Commissie hoe de overheidsschuld en het begrotingstekort zich in diverse (meevallende en tegenvallende) situaties kunnen ontwikkelen, gedurende een periode van tien jaar na de aanpassingsperiode. De Commissie toetst daarnaast of de kans voldoende laag is dat de schuld binnen vijf jaar na uitvoering van het </w:t>
                            </w:r>
                            <w:r>
                              <w:t>BSP</w:t>
                            </w:r>
                            <w:r w:rsidRPr="0069177E">
                              <w:t xml:space="preserve"> alsnog stijgt. Ook moet de schuld binnen een bepaalde bandbreedte blijven onder een set aan mogelijke economische schokken. </w:t>
                            </w:r>
                          </w:p>
                          <w:p w:rsidR="00040FAF" w:rsidP="00040FAF" w:rsidRDefault="00040FAF" w14:paraId="6A6BA90A" w14:textId="77777777"/>
                          <w:p w:rsidRPr="009B0749" w:rsidR="00040FAF" w:rsidP="00040FAF" w:rsidRDefault="00040FAF" w14:paraId="3F40D1A7" w14:textId="77777777">
                            <w:r w:rsidRPr="00F368D0">
                              <w:t xml:space="preserve">De maximale nominale groei van de netto gefinancierde primaire uitgaven van een lidstaat wordt bepaald door de (jaarlijkse) potentiële bbp-groei plus de inflatie minus de vereiste aanpassing in het structureel primair saldo ten opzichte van de primaire uitgaven uitgedrukt in percentages.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7" style="width:422.75pt;height:504.15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" w14:anchorId="60D8AD77">
                <v:textbox>
                  <w:txbxContent>
                    <w:p w:rsidR="00040FAF" w:rsidP="00040FAF" w:rsidRDefault="00040FAF" w14:paraId="16BA6DBE" w14:textId="77777777">
                      <w:pPr>
                        <w:rPr>
                          <w:b/>
                          <w:bCs/>
                        </w:rPr>
                      </w:pPr>
                      <w:r>
                        <w:rPr>
                          <w:b/>
                          <w:bCs/>
                        </w:rPr>
                        <w:t>Box 2: Het uitgavenpad als sturingsvariabele in het SGP</w:t>
                      </w:r>
                    </w:p>
                    <w:p w:rsidR="00040FAF" w:rsidP="00040FAF" w:rsidRDefault="00040FAF" w14:paraId="0910D2B1" w14:textId="77777777">
                      <w:pPr>
                        <w:rPr>
                          <w:b/>
                          <w:bCs/>
                        </w:rPr>
                      </w:pPr>
                    </w:p>
                    <w:p w:rsidR="00040FAF" w:rsidP="00040FAF" w:rsidRDefault="00040FAF" w14:paraId="656F7A69" w14:textId="77777777">
                      <w:r>
                        <w:t xml:space="preserve">In het nieuwe Europese begrotingsraamwerk staat één indicator centraal: een landspecifiek uitgavenpad uitgedrukt in netto-uitgaven. Dit zijn de nationale overheidsuitgaven gecorrigeerd voor rente-uitgaven, tijdelijke en eenmalige uitgaven, uitgaven die worden bekostigd met inkomsten uit EU-fondsen en nationale cofinanciering voor EU-programma’s, conjuncturele werkoosheidsuitgaven en eventuele maatregelen die zorgen voor hogere inkomsten. </w:t>
                      </w:r>
                    </w:p>
                    <w:p w:rsidR="00040FAF" w:rsidP="00040FAF" w:rsidRDefault="00040FAF" w14:paraId="00B7EB22" w14:textId="77777777"/>
                    <w:p w:rsidR="00040FAF" w:rsidP="00040FAF" w:rsidRDefault="00040FAF" w14:paraId="2AC43ACA" w14:textId="77777777">
                      <w:r w:rsidRPr="0061363F">
                        <w:t>Het landspecifieke uitgavenpad schrijft een maximale jaarlijkse groei van de netto</w:t>
                      </w:r>
                      <w:r>
                        <w:t>-</w:t>
                      </w:r>
                      <w:r w:rsidRPr="0061363F">
                        <w:t xml:space="preserve">uitgaven voor. Dat zal worden afgeleid van het structureel primair saldo aan het einde van de aanpassingsperiode. Het structureel primair saldo is het reguliere EMU-saldo gecorrigeerd voor de stand van de economie en rentelasten (dat wil zeggen het structureel saldo gecorrigeerd voor rentelasten). In de norm voor het structureel primair saldo wordt teruggerekend welke begrotingsaanpassing er door een lidstaat nodig is om de overheidsschuld op een geloofwaardig dalend pad of op prudente niveaus onder de 60% bbp op de middellange termijn te brengen of houden, en om het begrotingstekort op de middellange termijn onder de 3% bbp te brengen of houden. </w:t>
                      </w:r>
                    </w:p>
                    <w:p w:rsidR="00040FAF" w:rsidP="00040FAF" w:rsidRDefault="00040FAF" w14:paraId="45101D24" w14:textId="77777777"/>
                    <w:p w:rsidR="00040FAF" w:rsidP="00040FAF" w:rsidRDefault="00040FAF" w14:paraId="163AD78B" w14:textId="77777777">
                      <w:r w:rsidRPr="0069177E">
                        <w:t>Hiervoor maakt de Commissie gebruik van een schuldhoudbaarheidsanalyse</w:t>
                      </w:r>
                      <w:r>
                        <w:t xml:space="preserve"> (</w:t>
                      </w:r>
                      <w:r>
                        <w:rPr>
                          <w:i/>
                          <w:iCs/>
                        </w:rPr>
                        <w:t>debt sustainability analysis, DSA).</w:t>
                      </w:r>
                      <w:r w:rsidRPr="0069177E">
                        <w:t xml:space="preserve"> Daarin worden verschillende scenario’s van onder meer uiteenlopende rentetarieven, bbp-groei en vergrijzingslasten meegewogen. Op deze manier toetst de Commissie hoe de overheidsschuld en het begrotingstekort zich in diverse (meevallende en tegenvallende) situaties kunnen ontwikkelen, gedurende een periode van tien jaar na de aanpassingsperiode. De Commissie toetst daarnaast of de kans voldoende laag is dat de schuld binnen vijf jaar na uitvoering van het </w:t>
                      </w:r>
                      <w:r>
                        <w:t>BSP</w:t>
                      </w:r>
                      <w:r w:rsidRPr="0069177E">
                        <w:t xml:space="preserve"> alsnog stijgt. Ook moet de schuld binnen een bepaalde bandbreedte blijven onder een set aan mogelijke economische schokken. </w:t>
                      </w:r>
                    </w:p>
                    <w:p w:rsidR="00040FAF" w:rsidP="00040FAF" w:rsidRDefault="00040FAF" w14:paraId="6A6BA90A" w14:textId="77777777"/>
                    <w:p w:rsidRPr="009B0749" w:rsidR="00040FAF" w:rsidP="00040FAF" w:rsidRDefault="00040FAF" w14:paraId="3F40D1A7" w14:textId="77777777">
                      <w:r w:rsidRPr="00F368D0">
                        <w:t xml:space="preserve">De maximale nominale groei van de netto gefinancierde primaire uitgaven van een lidstaat wordt bepaald door de (jaarlijkse) potentiële bbp-groei plus de inflatie minus de vereiste aanpassing in het structureel primair saldo ten opzichte van de primaire uitgaven uitgedrukt in percentages. </w:t>
                      </w:r>
                    </w:p>
                  </w:txbxContent>
                </v:textbox>
                <w10:anchorlock/>
              </v:shape>
            </w:pict>
          </mc:Fallback>
        </mc:AlternateContent>
      </w:r>
    </w:p>
    <w:p w:rsidR="00040FAF" w:rsidP="00040FAF" w:rsidRDefault="00040FAF" w14:paraId="35C3F109" w14:textId="77777777">
      <w:pPr>
        <w:rPr>
          <w:iCs/>
        </w:rPr>
      </w:pPr>
    </w:p>
    <w:p w:rsidR="00040FAF" w:rsidP="00040FAF" w:rsidRDefault="00040FAF" w14:paraId="3902B89E" w14:textId="77777777">
      <w:pPr>
        <w:rPr>
          <w:iCs/>
        </w:rPr>
      </w:pPr>
      <w:r>
        <w:rPr>
          <w:iCs/>
        </w:rPr>
        <w:t>Uit de aangepaste technische informatie</w:t>
      </w:r>
      <w:r>
        <w:rPr>
          <w:rStyle w:val="Voetnootmarkering"/>
          <w:iCs/>
        </w:rPr>
        <w:footnoteReference w:id="46"/>
      </w:r>
      <w:r>
        <w:rPr>
          <w:iCs/>
        </w:rPr>
        <w:t xml:space="preserve"> van de Commissie volgt dat Nederland de netto-uitgaven cumulatief met 15,6% mag laten groeien van 2026 tot en met 2029 om op de middellange termijn binnen de Europese referentiewaarden te blijven. Dat is </w:t>
      </w:r>
      <w:r w:rsidRPr="00AC2630">
        <w:rPr>
          <w:iCs/>
        </w:rPr>
        <w:t>gemiddeld 3,7% per</w:t>
      </w:r>
      <w:r>
        <w:rPr>
          <w:iCs/>
        </w:rPr>
        <w:t xml:space="preserve"> jaar.</w:t>
      </w:r>
      <w:r>
        <w:rPr>
          <w:rStyle w:val="Voetnootmarkering"/>
          <w:rFonts w:eastAsiaTheme="majorEastAsia"/>
          <w:iCs/>
        </w:rPr>
        <w:footnoteReference w:id="47"/>
      </w:r>
    </w:p>
    <w:p w:rsidR="00040FAF" w:rsidP="00040FAF" w:rsidRDefault="00040FAF" w14:paraId="387150C7" w14:textId="77777777">
      <w:pPr>
        <w:rPr>
          <w:iCs/>
        </w:rPr>
      </w:pPr>
      <w:r>
        <w:rPr>
          <w:iCs/>
        </w:rPr>
        <w:lastRenderedPageBreak/>
        <w:t xml:space="preserve">Op basis van de CEP-raming van het CPB bedraagt de geraamde cumulatieve groei van de netto-uitgaven over de aanpassingsperiode eveneens 15,6% in 2029. Nederland voldoet daarmee formeel aan de norm voor de netto-uitgavengroei zoals deze volgt uit de technische informatie van de Europese Commissie. De Afdeling constateert daarmee dat het BSP op het eerste gezicht voldoet aan de vereisten van de preventieve arm van het SGP. </w:t>
      </w:r>
    </w:p>
    <w:p w:rsidR="00040FAF" w:rsidP="00040FAF" w:rsidRDefault="00040FAF" w14:paraId="6E34B1CA" w14:textId="77777777">
      <w:pPr>
        <w:rPr>
          <w:iCs/>
        </w:rPr>
      </w:pPr>
    </w:p>
    <w:p w:rsidR="00040FAF" w:rsidP="00040FAF" w:rsidRDefault="00040FAF" w14:paraId="769587DE" w14:textId="77777777">
      <w:pPr>
        <w:rPr>
          <w:iCs/>
        </w:rPr>
      </w:pPr>
      <w:r>
        <w:rPr>
          <w:iCs/>
        </w:rPr>
        <w:t xml:space="preserve">Bij nadere beschouwing plaatst de Afdeling echter kanttekeningen bij de wijze waarop het kabinet tot deze uitkomst is gekomen. De formele naleving van de Europese norm is het resultaat van methodologische keuzes die de Afdeling als niet zuiver en niet transparant beoordeelt. Bovendien staan sommige keuzes op gespannen voet met de Wet Houdbare overheidsfinanciën (Wet Hof). </w:t>
      </w:r>
    </w:p>
    <w:p w:rsidR="00040FAF" w:rsidP="00040FAF" w:rsidRDefault="00040FAF" w14:paraId="618A48A8" w14:textId="77777777">
      <w:pPr>
        <w:rPr>
          <w:iCs/>
        </w:rPr>
      </w:pPr>
    </w:p>
    <w:p w:rsidR="00040FAF" w:rsidP="00040FAF" w:rsidRDefault="00040FAF" w14:paraId="11123C5C" w14:textId="77777777">
      <w:pPr>
        <w:rPr>
          <w:i/>
        </w:rPr>
      </w:pPr>
      <w:r>
        <w:rPr>
          <w:i/>
        </w:rPr>
        <w:t>Methodologische knelpunten</w:t>
      </w:r>
    </w:p>
    <w:p w:rsidR="00040FAF" w:rsidP="00040FAF" w:rsidRDefault="00040FAF" w14:paraId="06997149" w14:textId="77777777">
      <w:pPr>
        <w:rPr>
          <w:iCs/>
        </w:rPr>
      </w:pPr>
      <w:r>
        <w:rPr>
          <w:iCs/>
        </w:rPr>
        <w:t xml:space="preserve">Een centrale vraag bij de reflectie op het BSP is of het voorgestelde </w:t>
      </w:r>
      <w:proofErr w:type="spellStart"/>
      <w:r>
        <w:rPr>
          <w:iCs/>
        </w:rPr>
        <w:t>uitgavenpad</w:t>
      </w:r>
      <w:proofErr w:type="spellEnd"/>
      <w:r>
        <w:rPr>
          <w:iCs/>
        </w:rPr>
        <w:t xml:space="preserve"> ervoor zorgt dat de overheidsschuld op de middellange termijn op een houdbaar en prudent niveau blijft. Voor de beantwoording op die vraag zijn de projecties tot 2039 onmisbaar. Uit het BSP blijkt dat voor het kabinet de berekening van de maximale netto-uitgaven, de budgettaire aannames en ramingen van de Europese Commissie leidend zijn. Deze aannames wijken af van de aannames en ramingen van het CPB (zie box 3).</w:t>
      </w:r>
    </w:p>
    <w:p w:rsidR="00040FAF" w:rsidP="00040FAF" w:rsidRDefault="00040FAF" w14:paraId="479BC274" w14:textId="77777777">
      <w:pPr>
        <w:rPr>
          <w:iCs/>
        </w:rPr>
      </w:pPr>
    </w:p>
    <w:p w:rsidR="00040FAF" w:rsidP="00040FAF" w:rsidRDefault="00040FAF" w14:paraId="3D7FBA2D" w14:textId="77777777">
      <w:pPr>
        <w:rPr>
          <w:iCs/>
        </w:rPr>
      </w:pPr>
      <w:r>
        <w:rPr>
          <w:iCs/>
        </w:rPr>
        <w:t xml:space="preserve">De Afdeling stelt vast dat de projecties die voortvloeien uit de methode van de Europese Commissie en die van het CPB dermate van elkaar afwijken, dat dit voor Nederland betekenisvol is: </w:t>
      </w:r>
    </w:p>
    <w:p w:rsidR="00040FAF" w:rsidP="00040FAF" w:rsidRDefault="00040FAF" w14:paraId="6816289C" w14:textId="77777777">
      <w:pPr>
        <w:rPr>
          <w:iCs/>
        </w:rPr>
      </w:pPr>
    </w:p>
    <w:p w:rsidR="00040FAF" w:rsidP="00040FAF" w:rsidRDefault="00040FAF" w14:paraId="3520E7D3" w14:textId="77777777">
      <w:pPr>
        <w:pStyle w:val="Lijstalinea"/>
        <w:numPr>
          <w:ilvl w:val="0"/>
          <w:numId w:val="14"/>
        </w:numPr>
        <w:rPr>
          <w:iCs/>
        </w:rPr>
      </w:pPr>
      <w:r>
        <w:rPr>
          <w:iCs/>
        </w:rPr>
        <w:t xml:space="preserve">Volgens de projecties op basis van </w:t>
      </w:r>
      <w:proofErr w:type="gramStart"/>
      <w:r>
        <w:rPr>
          <w:iCs/>
        </w:rPr>
        <w:t>het methode</w:t>
      </w:r>
      <w:proofErr w:type="gramEnd"/>
      <w:r>
        <w:rPr>
          <w:iCs/>
        </w:rPr>
        <w:t xml:space="preserve"> van de Europese Commissie blijft de overheidsschuld en het begrotingstekort tot en met 2039 binnen de referentiewaarden van respectievelijk 60% bbp en 3% bbp.</w:t>
      </w:r>
      <w:r>
        <w:rPr>
          <w:rStyle w:val="Voetnootmarkering"/>
          <w:iCs/>
        </w:rPr>
        <w:footnoteReference w:id="48"/>
      </w:r>
    </w:p>
    <w:p w:rsidRPr="001E17B4" w:rsidR="00040FAF" w:rsidP="00040FAF" w:rsidRDefault="00040FAF" w14:paraId="4A6A6CDB" w14:textId="77777777">
      <w:pPr>
        <w:pStyle w:val="Lijstalinea"/>
        <w:numPr>
          <w:ilvl w:val="0"/>
          <w:numId w:val="14"/>
        </w:numPr>
        <w:rPr>
          <w:iCs/>
        </w:rPr>
      </w:pPr>
      <w:r>
        <w:rPr>
          <w:iCs/>
        </w:rPr>
        <w:t xml:space="preserve">Volgens de projecties van het CPB overschrijdt de overheidsschuld en het begrotingstekort tot en met 2039 deze referentiewaarden (respectievelijk 62,0% bbp schuld in jaar 2039 en -3,1% bbp </w:t>
      </w:r>
      <w:proofErr w:type="gramStart"/>
      <w:r>
        <w:rPr>
          <w:iCs/>
        </w:rPr>
        <w:t>tekort</w:t>
      </w:r>
      <w:proofErr w:type="gramEnd"/>
      <w:r>
        <w:rPr>
          <w:iCs/>
        </w:rPr>
        <w:t xml:space="preserve"> vanaf 2034).</w:t>
      </w:r>
      <w:r>
        <w:rPr>
          <w:rStyle w:val="Voetnootmarkering"/>
          <w:iCs/>
        </w:rPr>
        <w:footnoteReference w:id="49"/>
      </w:r>
      <w:r>
        <w:rPr>
          <w:iCs/>
        </w:rPr>
        <w:t xml:space="preserve"> </w:t>
      </w:r>
    </w:p>
    <w:p w:rsidRPr="001E17B4" w:rsidR="00040FAF" w:rsidP="00040FAF" w:rsidRDefault="00040FAF" w14:paraId="6FDEFA47" w14:textId="77777777">
      <w:pPr>
        <w:rPr>
          <w:b/>
          <w:bCs/>
          <w:iCs/>
        </w:rPr>
      </w:pPr>
    </w:p>
    <w:p w:rsidR="00040FAF" w:rsidP="00040FAF" w:rsidRDefault="00040FAF" w14:paraId="58346523" w14:textId="77777777">
      <w:r>
        <w:br w:type="page"/>
      </w:r>
    </w:p>
    <w:tbl>
      <w:tblPr>
        <w:tblW w:w="8244" w:type="dxa"/>
        <w:tblCellMar>
          <w:left w:w="70" w:type="dxa"/>
          <w:right w:w="70" w:type="dxa"/>
        </w:tblCellMar>
        <w:tblLook w:val="04A0" w:firstRow="1" w:lastRow="0" w:firstColumn="1" w:lastColumn="0" w:noHBand="0" w:noVBand="1"/>
      </w:tblPr>
      <w:tblGrid>
        <w:gridCol w:w="1927"/>
        <w:gridCol w:w="491"/>
        <w:gridCol w:w="748"/>
        <w:gridCol w:w="748"/>
        <w:gridCol w:w="748"/>
        <w:gridCol w:w="748"/>
        <w:gridCol w:w="748"/>
        <w:gridCol w:w="748"/>
        <w:gridCol w:w="748"/>
        <w:gridCol w:w="594"/>
      </w:tblGrid>
      <w:tr w:rsidRPr="007211E7" w:rsidR="00040FAF" w:rsidTr="00040FAF" w14:paraId="6A86236E" w14:textId="77777777">
        <w:trPr>
          <w:trHeight w:val="270"/>
        </w:trPr>
        <w:tc>
          <w:tcPr>
            <w:tcW w:w="8244" w:type="dxa"/>
            <w:gridSpan w:val="10"/>
            <w:tcBorders>
              <w:top w:val="nil"/>
              <w:left w:val="nil"/>
              <w:bottom w:val="single" w:color="auto" w:sz="12" w:space="0"/>
              <w:right w:val="nil"/>
            </w:tcBorders>
            <w:noWrap/>
            <w:vAlign w:val="bottom"/>
            <w:hideMark/>
          </w:tcPr>
          <w:p w:rsidRPr="007211E7" w:rsidR="00040FAF" w:rsidP="00040FAF" w:rsidRDefault="00040FAF" w14:paraId="6D18C68E" w14:textId="77777777">
            <w:pPr>
              <w:rPr>
                <w:b/>
                <w:bCs/>
                <w:color w:val="000000"/>
                <w:sz w:val="18"/>
                <w:szCs w:val="18"/>
              </w:rPr>
            </w:pPr>
            <w:r w:rsidRPr="007211E7">
              <w:rPr>
                <w:b/>
                <w:bCs/>
                <w:color w:val="000000"/>
                <w:sz w:val="18"/>
                <w:szCs w:val="18"/>
              </w:rPr>
              <w:lastRenderedPageBreak/>
              <w:t xml:space="preserve">Tabel </w:t>
            </w:r>
            <w:r>
              <w:rPr>
                <w:b/>
                <w:bCs/>
                <w:color w:val="000000"/>
                <w:sz w:val="18"/>
                <w:szCs w:val="18"/>
              </w:rPr>
              <w:t>5</w:t>
            </w:r>
            <w:r w:rsidRPr="007211E7">
              <w:rPr>
                <w:b/>
                <w:bCs/>
                <w:color w:val="000000"/>
                <w:sz w:val="18"/>
                <w:szCs w:val="18"/>
              </w:rPr>
              <w:t>: Vergelijking cijfers EMU-schuld en EMU-saldo CPB en BSP tot 2039</w:t>
            </w:r>
          </w:p>
        </w:tc>
      </w:tr>
      <w:tr w:rsidRPr="007211E7" w:rsidR="00040FAF" w:rsidTr="00040FAF" w14:paraId="485096D4" w14:textId="77777777">
        <w:trPr>
          <w:trHeight w:val="270"/>
        </w:trPr>
        <w:tc>
          <w:tcPr>
            <w:tcW w:w="1927" w:type="dxa"/>
            <w:tcBorders>
              <w:top w:val="single" w:color="auto" w:sz="12" w:space="0"/>
              <w:left w:val="nil"/>
              <w:bottom w:val="single" w:color="auto" w:sz="8" w:space="0"/>
              <w:right w:val="nil"/>
            </w:tcBorders>
            <w:noWrap/>
            <w:vAlign w:val="bottom"/>
            <w:hideMark/>
          </w:tcPr>
          <w:p w:rsidRPr="007211E7" w:rsidR="00040FAF" w:rsidP="00040FAF" w:rsidRDefault="00040FAF" w14:paraId="370A17E4" w14:textId="77777777">
            <w:pPr>
              <w:rPr>
                <w:b/>
                <w:bCs/>
                <w:color w:val="000000"/>
                <w:sz w:val="18"/>
                <w:szCs w:val="18"/>
              </w:rPr>
            </w:pPr>
            <w:r w:rsidRPr="007211E7">
              <w:rPr>
                <w:b/>
                <w:bCs/>
                <w:color w:val="000000"/>
                <w:sz w:val="18"/>
                <w:szCs w:val="18"/>
              </w:rPr>
              <w:t>Indicator (in % bbp)</w:t>
            </w:r>
          </w:p>
        </w:tc>
        <w:tc>
          <w:tcPr>
            <w:tcW w:w="487" w:type="dxa"/>
            <w:tcBorders>
              <w:top w:val="single" w:color="auto" w:sz="12" w:space="0"/>
              <w:left w:val="nil"/>
              <w:bottom w:val="single" w:color="auto" w:sz="8" w:space="0"/>
              <w:right w:val="nil"/>
            </w:tcBorders>
            <w:noWrap/>
            <w:vAlign w:val="bottom"/>
            <w:hideMark/>
          </w:tcPr>
          <w:p w:rsidRPr="007211E7" w:rsidR="00040FAF" w:rsidP="00040FAF" w:rsidRDefault="00040FAF" w14:paraId="19435302" w14:textId="77777777">
            <w:pPr>
              <w:rPr>
                <w:b/>
                <w:bCs/>
                <w:color w:val="000000"/>
                <w:sz w:val="18"/>
                <w:szCs w:val="18"/>
              </w:rPr>
            </w:pPr>
            <w:r w:rsidRPr="007211E7">
              <w:rPr>
                <w:b/>
                <w:bCs/>
                <w:color w:val="000000"/>
                <w:sz w:val="18"/>
                <w:szCs w:val="18"/>
              </w:rPr>
              <w:t> </w:t>
            </w:r>
          </w:p>
        </w:tc>
        <w:tc>
          <w:tcPr>
            <w:tcW w:w="748" w:type="dxa"/>
            <w:tcBorders>
              <w:top w:val="single" w:color="auto" w:sz="12" w:space="0"/>
              <w:left w:val="nil"/>
              <w:bottom w:val="single" w:color="auto" w:sz="8" w:space="0"/>
              <w:right w:val="nil"/>
            </w:tcBorders>
            <w:noWrap/>
            <w:vAlign w:val="bottom"/>
            <w:hideMark/>
          </w:tcPr>
          <w:p w:rsidRPr="007211E7" w:rsidR="00040FAF" w:rsidP="00040FAF" w:rsidRDefault="00040FAF" w14:paraId="46D42AA6" w14:textId="77777777">
            <w:pPr>
              <w:jc w:val="right"/>
              <w:rPr>
                <w:b/>
                <w:bCs/>
                <w:color w:val="000000"/>
                <w:sz w:val="18"/>
                <w:szCs w:val="18"/>
              </w:rPr>
            </w:pPr>
            <w:r w:rsidRPr="007211E7">
              <w:rPr>
                <w:b/>
                <w:bCs/>
                <w:color w:val="000000"/>
                <w:sz w:val="18"/>
                <w:szCs w:val="18"/>
              </w:rPr>
              <w:t>2025</w:t>
            </w:r>
          </w:p>
        </w:tc>
        <w:tc>
          <w:tcPr>
            <w:tcW w:w="748" w:type="dxa"/>
            <w:tcBorders>
              <w:top w:val="single" w:color="auto" w:sz="12" w:space="0"/>
              <w:left w:val="nil"/>
              <w:bottom w:val="single" w:color="auto" w:sz="8" w:space="0"/>
              <w:right w:val="nil"/>
            </w:tcBorders>
            <w:noWrap/>
            <w:vAlign w:val="bottom"/>
            <w:hideMark/>
          </w:tcPr>
          <w:p w:rsidRPr="007211E7" w:rsidR="00040FAF" w:rsidP="00040FAF" w:rsidRDefault="00040FAF" w14:paraId="5475019D" w14:textId="77777777">
            <w:pPr>
              <w:jc w:val="right"/>
              <w:rPr>
                <w:b/>
                <w:bCs/>
                <w:color w:val="000000"/>
                <w:sz w:val="18"/>
                <w:szCs w:val="18"/>
              </w:rPr>
            </w:pPr>
            <w:r w:rsidRPr="007211E7">
              <w:rPr>
                <w:b/>
                <w:bCs/>
                <w:color w:val="000000"/>
                <w:sz w:val="18"/>
                <w:szCs w:val="18"/>
              </w:rPr>
              <w:t>2026</w:t>
            </w:r>
          </w:p>
        </w:tc>
        <w:tc>
          <w:tcPr>
            <w:tcW w:w="748" w:type="dxa"/>
            <w:tcBorders>
              <w:top w:val="single" w:color="auto" w:sz="12" w:space="0"/>
              <w:left w:val="nil"/>
              <w:bottom w:val="single" w:color="auto" w:sz="8" w:space="0"/>
              <w:right w:val="nil"/>
            </w:tcBorders>
            <w:noWrap/>
            <w:vAlign w:val="bottom"/>
            <w:hideMark/>
          </w:tcPr>
          <w:p w:rsidRPr="007211E7" w:rsidR="00040FAF" w:rsidP="00040FAF" w:rsidRDefault="00040FAF" w14:paraId="27CBBFAD" w14:textId="77777777">
            <w:pPr>
              <w:jc w:val="right"/>
              <w:rPr>
                <w:b/>
                <w:bCs/>
                <w:color w:val="000000"/>
                <w:sz w:val="18"/>
                <w:szCs w:val="18"/>
              </w:rPr>
            </w:pPr>
            <w:r w:rsidRPr="007211E7">
              <w:rPr>
                <w:b/>
                <w:bCs/>
                <w:color w:val="000000"/>
                <w:sz w:val="18"/>
                <w:szCs w:val="18"/>
              </w:rPr>
              <w:t>2027</w:t>
            </w:r>
          </w:p>
        </w:tc>
        <w:tc>
          <w:tcPr>
            <w:tcW w:w="748" w:type="dxa"/>
            <w:tcBorders>
              <w:top w:val="single" w:color="auto" w:sz="12" w:space="0"/>
              <w:left w:val="nil"/>
              <w:bottom w:val="single" w:color="auto" w:sz="8" w:space="0"/>
              <w:right w:val="nil"/>
            </w:tcBorders>
            <w:noWrap/>
            <w:vAlign w:val="bottom"/>
            <w:hideMark/>
          </w:tcPr>
          <w:p w:rsidRPr="007211E7" w:rsidR="00040FAF" w:rsidP="00040FAF" w:rsidRDefault="00040FAF" w14:paraId="4E8508F1" w14:textId="77777777">
            <w:pPr>
              <w:jc w:val="right"/>
              <w:rPr>
                <w:b/>
                <w:bCs/>
                <w:color w:val="000000"/>
                <w:sz w:val="18"/>
                <w:szCs w:val="18"/>
              </w:rPr>
            </w:pPr>
            <w:r w:rsidRPr="007211E7">
              <w:rPr>
                <w:b/>
                <w:bCs/>
                <w:color w:val="000000"/>
                <w:sz w:val="18"/>
                <w:szCs w:val="18"/>
              </w:rPr>
              <w:t>2028</w:t>
            </w:r>
          </w:p>
        </w:tc>
        <w:tc>
          <w:tcPr>
            <w:tcW w:w="748" w:type="dxa"/>
            <w:tcBorders>
              <w:top w:val="single" w:color="auto" w:sz="12" w:space="0"/>
              <w:left w:val="nil"/>
              <w:bottom w:val="single" w:color="auto" w:sz="8" w:space="0"/>
              <w:right w:val="nil"/>
            </w:tcBorders>
            <w:noWrap/>
            <w:vAlign w:val="bottom"/>
            <w:hideMark/>
          </w:tcPr>
          <w:p w:rsidRPr="007211E7" w:rsidR="00040FAF" w:rsidP="00040FAF" w:rsidRDefault="00040FAF" w14:paraId="60B4EF20" w14:textId="77777777">
            <w:pPr>
              <w:jc w:val="right"/>
              <w:rPr>
                <w:b/>
                <w:bCs/>
                <w:color w:val="000000"/>
                <w:sz w:val="18"/>
                <w:szCs w:val="18"/>
              </w:rPr>
            </w:pPr>
            <w:r w:rsidRPr="007211E7">
              <w:rPr>
                <w:b/>
                <w:bCs/>
                <w:color w:val="000000"/>
                <w:sz w:val="18"/>
                <w:szCs w:val="18"/>
              </w:rPr>
              <w:t>2029</w:t>
            </w:r>
          </w:p>
        </w:tc>
        <w:tc>
          <w:tcPr>
            <w:tcW w:w="748" w:type="dxa"/>
            <w:tcBorders>
              <w:top w:val="single" w:color="auto" w:sz="12" w:space="0"/>
              <w:left w:val="nil"/>
              <w:bottom w:val="single" w:color="auto" w:sz="8" w:space="0"/>
              <w:right w:val="nil"/>
            </w:tcBorders>
            <w:noWrap/>
            <w:vAlign w:val="bottom"/>
            <w:hideMark/>
          </w:tcPr>
          <w:p w:rsidRPr="007211E7" w:rsidR="00040FAF" w:rsidP="00040FAF" w:rsidRDefault="00040FAF" w14:paraId="184675D8" w14:textId="77777777">
            <w:pPr>
              <w:jc w:val="right"/>
              <w:rPr>
                <w:b/>
                <w:bCs/>
                <w:color w:val="000000"/>
                <w:sz w:val="18"/>
                <w:szCs w:val="18"/>
              </w:rPr>
            </w:pPr>
            <w:r w:rsidRPr="007211E7">
              <w:rPr>
                <w:b/>
                <w:bCs/>
                <w:color w:val="000000"/>
                <w:sz w:val="18"/>
                <w:szCs w:val="18"/>
              </w:rPr>
              <w:t>2030</w:t>
            </w:r>
          </w:p>
        </w:tc>
        <w:tc>
          <w:tcPr>
            <w:tcW w:w="748" w:type="dxa"/>
            <w:tcBorders>
              <w:top w:val="single" w:color="auto" w:sz="12" w:space="0"/>
              <w:left w:val="nil"/>
              <w:bottom w:val="single" w:color="auto" w:sz="8" w:space="0"/>
              <w:right w:val="nil"/>
            </w:tcBorders>
            <w:noWrap/>
            <w:vAlign w:val="bottom"/>
            <w:hideMark/>
          </w:tcPr>
          <w:p w:rsidRPr="007211E7" w:rsidR="00040FAF" w:rsidP="00040FAF" w:rsidRDefault="00040FAF" w14:paraId="6223A36D" w14:textId="77777777">
            <w:pPr>
              <w:jc w:val="right"/>
              <w:rPr>
                <w:b/>
                <w:bCs/>
                <w:color w:val="000000"/>
                <w:sz w:val="18"/>
                <w:szCs w:val="18"/>
              </w:rPr>
            </w:pPr>
            <w:r w:rsidRPr="007211E7">
              <w:rPr>
                <w:b/>
                <w:bCs/>
                <w:color w:val="000000"/>
                <w:sz w:val="18"/>
                <w:szCs w:val="18"/>
              </w:rPr>
              <w:t>2031</w:t>
            </w:r>
          </w:p>
        </w:tc>
        <w:tc>
          <w:tcPr>
            <w:tcW w:w="594" w:type="dxa"/>
            <w:tcBorders>
              <w:top w:val="single" w:color="auto" w:sz="12" w:space="0"/>
              <w:left w:val="nil"/>
              <w:bottom w:val="single" w:color="auto" w:sz="8" w:space="0"/>
              <w:right w:val="nil"/>
            </w:tcBorders>
            <w:noWrap/>
            <w:vAlign w:val="bottom"/>
            <w:hideMark/>
          </w:tcPr>
          <w:p w:rsidRPr="007211E7" w:rsidR="00040FAF" w:rsidP="00040FAF" w:rsidRDefault="00040FAF" w14:paraId="0C418323" w14:textId="77777777">
            <w:pPr>
              <w:jc w:val="right"/>
              <w:rPr>
                <w:b/>
                <w:bCs/>
                <w:color w:val="000000"/>
                <w:sz w:val="18"/>
                <w:szCs w:val="18"/>
              </w:rPr>
            </w:pPr>
            <w:r w:rsidRPr="007211E7">
              <w:rPr>
                <w:b/>
                <w:bCs/>
                <w:color w:val="000000"/>
                <w:sz w:val="18"/>
                <w:szCs w:val="18"/>
              </w:rPr>
              <w:t>2032</w:t>
            </w:r>
          </w:p>
        </w:tc>
      </w:tr>
      <w:tr w:rsidRPr="007211E7" w:rsidR="00040FAF" w:rsidTr="00040FAF" w14:paraId="49309479" w14:textId="77777777">
        <w:trPr>
          <w:trHeight w:val="255"/>
        </w:trPr>
        <w:tc>
          <w:tcPr>
            <w:tcW w:w="1927" w:type="dxa"/>
            <w:vMerge w:val="restart"/>
            <w:tcBorders>
              <w:top w:val="nil"/>
              <w:left w:val="nil"/>
              <w:bottom w:val="nil"/>
              <w:right w:val="nil"/>
            </w:tcBorders>
            <w:noWrap/>
            <w:vAlign w:val="center"/>
            <w:hideMark/>
          </w:tcPr>
          <w:p w:rsidRPr="007211E7" w:rsidR="00040FAF" w:rsidP="00040FAF" w:rsidRDefault="00040FAF" w14:paraId="56B716EF" w14:textId="77777777">
            <w:pPr>
              <w:rPr>
                <w:color w:val="000000"/>
                <w:sz w:val="18"/>
                <w:szCs w:val="18"/>
              </w:rPr>
            </w:pPr>
            <w:r w:rsidRPr="007211E7">
              <w:rPr>
                <w:color w:val="000000"/>
                <w:sz w:val="18"/>
                <w:szCs w:val="18"/>
              </w:rPr>
              <w:t>EMU-schuld</w:t>
            </w:r>
          </w:p>
        </w:tc>
        <w:tc>
          <w:tcPr>
            <w:tcW w:w="487" w:type="dxa"/>
            <w:tcBorders>
              <w:top w:val="nil"/>
              <w:left w:val="nil"/>
              <w:bottom w:val="nil"/>
              <w:right w:val="nil"/>
            </w:tcBorders>
            <w:noWrap/>
            <w:vAlign w:val="bottom"/>
            <w:hideMark/>
          </w:tcPr>
          <w:p w:rsidRPr="007211E7" w:rsidR="00040FAF" w:rsidP="00040FAF" w:rsidRDefault="00040FAF" w14:paraId="48F7B972" w14:textId="77777777">
            <w:pPr>
              <w:rPr>
                <w:color w:val="000000"/>
                <w:sz w:val="18"/>
                <w:szCs w:val="18"/>
              </w:rPr>
            </w:pPr>
            <w:r w:rsidRPr="007211E7">
              <w:rPr>
                <w:color w:val="000000"/>
                <w:sz w:val="18"/>
                <w:szCs w:val="18"/>
              </w:rPr>
              <w:t>CPB</w:t>
            </w:r>
          </w:p>
        </w:tc>
        <w:tc>
          <w:tcPr>
            <w:tcW w:w="748" w:type="dxa"/>
            <w:tcBorders>
              <w:top w:val="nil"/>
              <w:left w:val="nil"/>
              <w:bottom w:val="nil"/>
              <w:right w:val="nil"/>
            </w:tcBorders>
            <w:noWrap/>
            <w:vAlign w:val="bottom"/>
            <w:hideMark/>
          </w:tcPr>
          <w:p w:rsidRPr="007211E7" w:rsidR="00040FAF" w:rsidP="00040FAF" w:rsidRDefault="00040FAF" w14:paraId="62923675" w14:textId="77777777">
            <w:pPr>
              <w:jc w:val="right"/>
              <w:rPr>
                <w:color w:val="000000"/>
                <w:sz w:val="18"/>
                <w:szCs w:val="18"/>
              </w:rPr>
            </w:pPr>
            <w:r w:rsidRPr="007211E7">
              <w:rPr>
                <w:color w:val="000000"/>
                <w:sz w:val="18"/>
                <w:szCs w:val="18"/>
              </w:rPr>
              <w:t>42,6</w:t>
            </w:r>
          </w:p>
        </w:tc>
        <w:tc>
          <w:tcPr>
            <w:tcW w:w="748" w:type="dxa"/>
            <w:tcBorders>
              <w:top w:val="nil"/>
              <w:left w:val="nil"/>
              <w:bottom w:val="nil"/>
              <w:right w:val="nil"/>
            </w:tcBorders>
            <w:noWrap/>
            <w:vAlign w:val="bottom"/>
            <w:hideMark/>
          </w:tcPr>
          <w:p w:rsidRPr="007211E7" w:rsidR="00040FAF" w:rsidP="00040FAF" w:rsidRDefault="00040FAF" w14:paraId="1E4023DC" w14:textId="77777777">
            <w:pPr>
              <w:jc w:val="right"/>
              <w:rPr>
                <w:color w:val="000000"/>
                <w:sz w:val="18"/>
                <w:szCs w:val="18"/>
              </w:rPr>
            </w:pPr>
            <w:r w:rsidRPr="007211E7">
              <w:rPr>
                <w:color w:val="000000"/>
                <w:sz w:val="18"/>
                <w:szCs w:val="18"/>
              </w:rPr>
              <w:t>45,3</w:t>
            </w:r>
          </w:p>
        </w:tc>
        <w:tc>
          <w:tcPr>
            <w:tcW w:w="748" w:type="dxa"/>
            <w:tcBorders>
              <w:top w:val="nil"/>
              <w:left w:val="nil"/>
              <w:bottom w:val="nil"/>
              <w:right w:val="nil"/>
            </w:tcBorders>
            <w:noWrap/>
            <w:vAlign w:val="bottom"/>
            <w:hideMark/>
          </w:tcPr>
          <w:p w:rsidRPr="007211E7" w:rsidR="00040FAF" w:rsidP="00040FAF" w:rsidRDefault="00040FAF" w14:paraId="1DAC8458" w14:textId="77777777">
            <w:pPr>
              <w:jc w:val="right"/>
              <w:rPr>
                <w:color w:val="000000"/>
                <w:sz w:val="18"/>
                <w:szCs w:val="18"/>
              </w:rPr>
            </w:pPr>
            <w:r w:rsidRPr="007211E7">
              <w:rPr>
                <w:color w:val="000000"/>
                <w:sz w:val="18"/>
                <w:szCs w:val="18"/>
              </w:rPr>
              <w:t>45,3</w:t>
            </w:r>
          </w:p>
        </w:tc>
        <w:tc>
          <w:tcPr>
            <w:tcW w:w="748" w:type="dxa"/>
            <w:tcBorders>
              <w:top w:val="nil"/>
              <w:left w:val="nil"/>
              <w:bottom w:val="nil"/>
              <w:right w:val="nil"/>
            </w:tcBorders>
            <w:noWrap/>
            <w:vAlign w:val="bottom"/>
            <w:hideMark/>
          </w:tcPr>
          <w:p w:rsidRPr="007211E7" w:rsidR="00040FAF" w:rsidP="00040FAF" w:rsidRDefault="00040FAF" w14:paraId="7E5DDA23" w14:textId="77777777">
            <w:pPr>
              <w:jc w:val="right"/>
              <w:rPr>
                <w:color w:val="000000"/>
                <w:sz w:val="18"/>
                <w:szCs w:val="18"/>
              </w:rPr>
            </w:pPr>
            <w:r w:rsidRPr="007211E7">
              <w:rPr>
                <w:color w:val="000000"/>
                <w:sz w:val="18"/>
                <w:szCs w:val="18"/>
              </w:rPr>
              <w:t>45,6</w:t>
            </w:r>
          </w:p>
        </w:tc>
        <w:tc>
          <w:tcPr>
            <w:tcW w:w="748" w:type="dxa"/>
            <w:tcBorders>
              <w:top w:val="nil"/>
              <w:left w:val="nil"/>
              <w:bottom w:val="nil"/>
              <w:right w:val="nil"/>
            </w:tcBorders>
            <w:noWrap/>
            <w:vAlign w:val="bottom"/>
            <w:hideMark/>
          </w:tcPr>
          <w:p w:rsidRPr="007211E7" w:rsidR="00040FAF" w:rsidP="00040FAF" w:rsidRDefault="00040FAF" w14:paraId="71867D6D" w14:textId="77777777">
            <w:pPr>
              <w:jc w:val="right"/>
              <w:rPr>
                <w:color w:val="000000"/>
                <w:sz w:val="18"/>
                <w:szCs w:val="18"/>
              </w:rPr>
            </w:pPr>
            <w:r w:rsidRPr="007211E7">
              <w:rPr>
                <w:color w:val="000000"/>
                <w:sz w:val="18"/>
                <w:szCs w:val="18"/>
              </w:rPr>
              <w:t>46,0</w:t>
            </w:r>
          </w:p>
        </w:tc>
        <w:tc>
          <w:tcPr>
            <w:tcW w:w="748" w:type="dxa"/>
            <w:tcBorders>
              <w:top w:val="nil"/>
              <w:left w:val="nil"/>
              <w:bottom w:val="nil"/>
              <w:right w:val="nil"/>
            </w:tcBorders>
            <w:noWrap/>
            <w:vAlign w:val="bottom"/>
            <w:hideMark/>
          </w:tcPr>
          <w:p w:rsidRPr="007211E7" w:rsidR="00040FAF" w:rsidP="00040FAF" w:rsidRDefault="00040FAF" w14:paraId="4F86C398" w14:textId="77777777">
            <w:pPr>
              <w:jc w:val="right"/>
              <w:rPr>
                <w:color w:val="000000"/>
                <w:sz w:val="18"/>
                <w:szCs w:val="18"/>
              </w:rPr>
            </w:pPr>
            <w:r w:rsidRPr="007211E7">
              <w:rPr>
                <w:color w:val="000000"/>
                <w:sz w:val="18"/>
                <w:szCs w:val="18"/>
              </w:rPr>
              <w:t>46,9</w:t>
            </w:r>
          </w:p>
        </w:tc>
        <w:tc>
          <w:tcPr>
            <w:tcW w:w="748" w:type="dxa"/>
            <w:tcBorders>
              <w:top w:val="nil"/>
              <w:left w:val="nil"/>
              <w:bottom w:val="nil"/>
              <w:right w:val="nil"/>
            </w:tcBorders>
            <w:noWrap/>
            <w:vAlign w:val="bottom"/>
            <w:hideMark/>
          </w:tcPr>
          <w:p w:rsidRPr="007211E7" w:rsidR="00040FAF" w:rsidP="00040FAF" w:rsidRDefault="00040FAF" w14:paraId="000A87F2" w14:textId="77777777">
            <w:pPr>
              <w:jc w:val="right"/>
              <w:rPr>
                <w:color w:val="000000"/>
                <w:sz w:val="18"/>
                <w:szCs w:val="18"/>
              </w:rPr>
            </w:pPr>
            <w:r w:rsidRPr="007211E7">
              <w:rPr>
                <w:color w:val="000000"/>
                <w:sz w:val="18"/>
                <w:szCs w:val="18"/>
              </w:rPr>
              <w:t>47,9</w:t>
            </w:r>
          </w:p>
        </w:tc>
        <w:tc>
          <w:tcPr>
            <w:tcW w:w="594" w:type="dxa"/>
            <w:tcBorders>
              <w:top w:val="nil"/>
              <w:left w:val="nil"/>
              <w:bottom w:val="nil"/>
              <w:right w:val="nil"/>
            </w:tcBorders>
            <w:noWrap/>
            <w:vAlign w:val="bottom"/>
            <w:hideMark/>
          </w:tcPr>
          <w:p w:rsidRPr="007211E7" w:rsidR="00040FAF" w:rsidP="00040FAF" w:rsidRDefault="00040FAF" w14:paraId="2F0E0DB5" w14:textId="77777777">
            <w:pPr>
              <w:jc w:val="right"/>
              <w:rPr>
                <w:color w:val="000000"/>
                <w:sz w:val="18"/>
                <w:szCs w:val="18"/>
              </w:rPr>
            </w:pPr>
            <w:r w:rsidRPr="007211E7">
              <w:rPr>
                <w:color w:val="000000"/>
                <w:sz w:val="18"/>
                <w:szCs w:val="18"/>
              </w:rPr>
              <w:t>49,3</w:t>
            </w:r>
          </w:p>
        </w:tc>
      </w:tr>
      <w:tr w:rsidRPr="007211E7" w:rsidR="00040FAF" w:rsidTr="00040FAF" w14:paraId="6DDF80E5" w14:textId="77777777">
        <w:trPr>
          <w:trHeight w:val="255"/>
        </w:trPr>
        <w:tc>
          <w:tcPr>
            <w:tcW w:w="1927" w:type="dxa"/>
            <w:vMerge/>
            <w:tcBorders>
              <w:top w:val="nil"/>
              <w:left w:val="nil"/>
              <w:bottom w:val="nil"/>
              <w:right w:val="nil"/>
            </w:tcBorders>
            <w:vAlign w:val="center"/>
            <w:hideMark/>
          </w:tcPr>
          <w:p w:rsidRPr="007211E7" w:rsidR="00040FAF" w:rsidP="00040FAF" w:rsidRDefault="00040FAF" w14:paraId="67BCC484" w14:textId="77777777">
            <w:pPr>
              <w:rPr>
                <w:color w:val="000000"/>
                <w:sz w:val="18"/>
                <w:szCs w:val="18"/>
              </w:rPr>
            </w:pPr>
          </w:p>
        </w:tc>
        <w:tc>
          <w:tcPr>
            <w:tcW w:w="487" w:type="dxa"/>
            <w:tcBorders>
              <w:top w:val="nil"/>
              <w:left w:val="nil"/>
              <w:bottom w:val="nil"/>
              <w:right w:val="nil"/>
            </w:tcBorders>
            <w:shd w:val="clear" w:color="000000" w:fill="F2F2F2"/>
            <w:noWrap/>
            <w:vAlign w:val="bottom"/>
            <w:hideMark/>
          </w:tcPr>
          <w:p w:rsidRPr="007211E7" w:rsidR="00040FAF" w:rsidP="00040FAF" w:rsidRDefault="00040FAF" w14:paraId="4FCBDEA2" w14:textId="77777777">
            <w:pPr>
              <w:rPr>
                <w:color w:val="000000"/>
                <w:sz w:val="18"/>
                <w:szCs w:val="18"/>
              </w:rPr>
            </w:pPr>
            <w:r w:rsidRPr="007211E7">
              <w:rPr>
                <w:color w:val="000000"/>
                <w:sz w:val="18"/>
                <w:szCs w:val="18"/>
              </w:rPr>
              <w:t>BSP</w:t>
            </w:r>
          </w:p>
        </w:tc>
        <w:tc>
          <w:tcPr>
            <w:tcW w:w="748" w:type="dxa"/>
            <w:tcBorders>
              <w:top w:val="nil"/>
              <w:left w:val="nil"/>
              <w:bottom w:val="nil"/>
              <w:right w:val="nil"/>
            </w:tcBorders>
            <w:shd w:val="clear" w:color="000000" w:fill="F2F2F2"/>
            <w:noWrap/>
            <w:vAlign w:val="bottom"/>
            <w:hideMark/>
          </w:tcPr>
          <w:p w:rsidRPr="007211E7" w:rsidR="00040FAF" w:rsidP="00040FAF" w:rsidRDefault="00040FAF" w14:paraId="5B28CF28" w14:textId="77777777">
            <w:pPr>
              <w:jc w:val="right"/>
              <w:rPr>
                <w:color w:val="000000"/>
                <w:sz w:val="18"/>
                <w:szCs w:val="18"/>
              </w:rPr>
            </w:pPr>
            <w:r w:rsidRPr="007211E7">
              <w:rPr>
                <w:color w:val="000000"/>
                <w:sz w:val="18"/>
                <w:szCs w:val="18"/>
              </w:rPr>
              <w:t>44,4</w:t>
            </w:r>
          </w:p>
        </w:tc>
        <w:tc>
          <w:tcPr>
            <w:tcW w:w="748" w:type="dxa"/>
            <w:tcBorders>
              <w:top w:val="nil"/>
              <w:left w:val="nil"/>
              <w:bottom w:val="nil"/>
              <w:right w:val="nil"/>
            </w:tcBorders>
            <w:shd w:val="clear" w:color="000000" w:fill="F2F2F2"/>
            <w:noWrap/>
            <w:vAlign w:val="bottom"/>
            <w:hideMark/>
          </w:tcPr>
          <w:p w:rsidRPr="007211E7" w:rsidR="00040FAF" w:rsidP="00040FAF" w:rsidRDefault="00040FAF" w14:paraId="47A0175C" w14:textId="77777777">
            <w:pPr>
              <w:jc w:val="right"/>
              <w:rPr>
                <w:color w:val="000000"/>
                <w:sz w:val="18"/>
                <w:szCs w:val="18"/>
              </w:rPr>
            </w:pPr>
            <w:r w:rsidRPr="007211E7">
              <w:rPr>
                <w:color w:val="000000"/>
                <w:sz w:val="18"/>
                <w:szCs w:val="18"/>
              </w:rPr>
              <w:t>46,8</w:t>
            </w:r>
          </w:p>
        </w:tc>
        <w:tc>
          <w:tcPr>
            <w:tcW w:w="748" w:type="dxa"/>
            <w:tcBorders>
              <w:top w:val="nil"/>
              <w:left w:val="nil"/>
              <w:bottom w:val="nil"/>
              <w:right w:val="nil"/>
            </w:tcBorders>
            <w:shd w:val="clear" w:color="000000" w:fill="F2F2F2"/>
            <w:noWrap/>
            <w:vAlign w:val="bottom"/>
            <w:hideMark/>
          </w:tcPr>
          <w:p w:rsidRPr="007211E7" w:rsidR="00040FAF" w:rsidP="00040FAF" w:rsidRDefault="00040FAF" w14:paraId="63ACF87D" w14:textId="77777777">
            <w:pPr>
              <w:jc w:val="right"/>
              <w:rPr>
                <w:color w:val="000000"/>
                <w:sz w:val="18"/>
                <w:szCs w:val="18"/>
              </w:rPr>
            </w:pPr>
            <w:r w:rsidRPr="007211E7">
              <w:rPr>
                <w:color w:val="000000"/>
                <w:sz w:val="18"/>
                <w:szCs w:val="18"/>
              </w:rPr>
              <w:t>46,5</w:t>
            </w:r>
          </w:p>
        </w:tc>
        <w:tc>
          <w:tcPr>
            <w:tcW w:w="748" w:type="dxa"/>
            <w:tcBorders>
              <w:top w:val="nil"/>
              <w:left w:val="nil"/>
              <w:bottom w:val="nil"/>
              <w:right w:val="nil"/>
            </w:tcBorders>
            <w:shd w:val="clear" w:color="000000" w:fill="F2F2F2"/>
            <w:noWrap/>
            <w:vAlign w:val="bottom"/>
            <w:hideMark/>
          </w:tcPr>
          <w:p w:rsidRPr="007211E7" w:rsidR="00040FAF" w:rsidP="00040FAF" w:rsidRDefault="00040FAF" w14:paraId="7DC5CBF7" w14:textId="77777777">
            <w:pPr>
              <w:jc w:val="right"/>
              <w:rPr>
                <w:color w:val="000000"/>
                <w:sz w:val="18"/>
                <w:szCs w:val="18"/>
              </w:rPr>
            </w:pPr>
            <w:r w:rsidRPr="007211E7">
              <w:rPr>
                <w:color w:val="000000"/>
                <w:sz w:val="18"/>
                <w:szCs w:val="18"/>
              </w:rPr>
              <w:t>46,1</w:t>
            </w:r>
          </w:p>
        </w:tc>
        <w:tc>
          <w:tcPr>
            <w:tcW w:w="748" w:type="dxa"/>
            <w:tcBorders>
              <w:top w:val="nil"/>
              <w:left w:val="nil"/>
              <w:bottom w:val="nil"/>
              <w:right w:val="nil"/>
            </w:tcBorders>
            <w:shd w:val="clear" w:color="000000" w:fill="F2F2F2"/>
            <w:noWrap/>
            <w:vAlign w:val="bottom"/>
            <w:hideMark/>
          </w:tcPr>
          <w:p w:rsidRPr="007211E7" w:rsidR="00040FAF" w:rsidP="00040FAF" w:rsidRDefault="00040FAF" w14:paraId="282ECCE6" w14:textId="77777777">
            <w:pPr>
              <w:jc w:val="right"/>
              <w:rPr>
                <w:color w:val="000000"/>
                <w:sz w:val="18"/>
                <w:szCs w:val="18"/>
              </w:rPr>
            </w:pPr>
            <w:r w:rsidRPr="007211E7">
              <w:rPr>
                <w:color w:val="000000"/>
                <w:sz w:val="18"/>
                <w:szCs w:val="18"/>
              </w:rPr>
              <w:t>45,6</w:t>
            </w:r>
          </w:p>
        </w:tc>
        <w:tc>
          <w:tcPr>
            <w:tcW w:w="748" w:type="dxa"/>
            <w:tcBorders>
              <w:top w:val="nil"/>
              <w:left w:val="nil"/>
              <w:bottom w:val="nil"/>
              <w:right w:val="nil"/>
            </w:tcBorders>
            <w:shd w:val="clear" w:color="000000" w:fill="F2F2F2"/>
            <w:noWrap/>
            <w:vAlign w:val="bottom"/>
            <w:hideMark/>
          </w:tcPr>
          <w:p w:rsidRPr="007211E7" w:rsidR="00040FAF" w:rsidP="00040FAF" w:rsidRDefault="00040FAF" w14:paraId="26776B4C" w14:textId="77777777">
            <w:pPr>
              <w:jc w:val="right"/>
              <w:rPr>
                <w:color w:val="000000"/>
                <w:sz w:val="18"/>
                <w:szCs w:val="18"/>
              </w:rPr>
            </w:pPr>
            <w:r w:rsidRPr="007211E7">
              <w:rPr>
                <w:color w:val="000000"/>
                <w:sz w:val="18"/>
                <w:szCs w:val="18"/>
              </w:rPr>
              <w:t>45,2</w:t>
            </w:r>
          </w:p>
        </w:tc>
        <w:tc>
          <w:tcPr>
            <w:tcW w:w="748" w:type="dxa"/>
            <w:tcBorders>
              <w:top w:val="nil"/>
              <w:left w:val="nil"/>
              <w:bottom w:val="nil"/>
              <w:right w:val="nil"/>
            </w:tcBorders>
            <w:shd w:val="clear" w:color="000000" w:fill="F2F2F2"/>
            <w:noWrap/>
            <w:vAlign w:val="bottom"/>
            <w:hideMark/>
          </w:tcPr>
          <w:p w:rsidRPr="007211E7" w:rsidR="00040FAF" w:rsidP="00040FAF" w:rsidRDefault="00040FAF" w14:paraId="4E5C10FC" w14:textId="77777777">
            <w:pPr>
              <w:jc w:val="right"/>
              <w:rPr>
                <w:color w:val="000000"/>
                <w:sz w:val="18"/>
                <w:szCs w:val="18"/>
              </w:rPr>
            </w:pPr>
            <w:r w:rsidRPr="007211E7">
              <w:rPr>
                <w:color w:val="000000"/>
                <w:sz w:val="18"/>
                <w:szCs w:val="18"/>
              </w:rPr>
              <w:t>45,1</w:t>
            </w:r>
          </w:p>
        </w:tc>
        <w:tc>
          <w:tcPr>
            <w:tcW w:w="594" w:type="dxa"/>
            <w:tcBorders>
              <w:top w:val="nil"/>
              <w:left w:val="nil"/>
              <w:bottom w:val="nil"/>
              <w:right w:val="nil"/>
            </w:tcBorders>
            <w:shd w:val="clear" w:color="000000" w:fill="F2F2F2"/>
            <w:noWrap/>
            <w:vAlign w:val="bottom"/>
            <w:hideMark/>
          </w:tcPr>
          <w:p w:rsidRPr="007211E7" w:rsidR="00040FAF" w:rsidP="00040FAF" w:rsidRDefault="00040FAF" w14:paraId="3D046D3D" w14:textId="77777777">
            <w:pPr>
              <w:jc w:val="right"/>
              <w:rPr>
                <w:color w:val="000000"/>
                <w:sz w:val="18"/>
                <w:szCs w:val="18"/>
              </w:rPr>
            </w:pPr>
            <w:r w:rsidRPr="007211E7">
              <w:rPr>
                <w:color w:val="000000"/>
                <w:sz w:val="18"/>
                <w:szCs w:val="18"/>
              </w:rPr>
              <w:t>45,2</w:t>
            </w:r>
          </w:p>
        </w:tc>
      </w:tr>
      <w:tr w:rsidRPr="007211E7" w:rsidR="00040FAF" w:rsidTr="00040FAF" w14:paraId="24BAD59A" w14:textId="77777777">
        <w:trPr>
          <w:trHeight w:val="285"/>
        </w:trPr>
        <w:tc>
          <w:tcPr>
            <w:tcW w:w="1927" w:type="dxa"/>
            <w:vMerge w:val="restart"/>
            <w:tcBorders>
              <w:top w:val="single" w:color="auto" w:sz="4" w:space="0"/>
              <w:left w:val="nil"/>
              <w:bottom w:val="nil"/>
              <w:right w:val="nil"/>
            </w:tcBorders>
            <w:noWrap/>
            <w:vAlign w:val="center"/>
            <w:hideMark/>
          </w:tcPr>
          <w:p w:rsidRPr="007211E7" w:rsidR="00040FAF" w:rsidP="00040FAF" w:rsidRDefault="00040FAF" w14:paraId="3260B2D3" w14:textId="77777777">
            <w:pPr>
              <w:rPr>
                <w:color w:val="000000"/>
                <w:sz w:val="18"/>
                <w:szCs w:val="18"/>
              </w:rPr>
            </w:pPr>
            <w:r w:rsidRPr="007211E7">
              <w:rPr>
                <w:color w:val="000000"/>
                <w:sz w:val="18"/>
                <w:szCs w:val="18"/>
              </w:rPr>
              <w:t>EMU-saldo</w:t>
            </w:r>
          </w:p>
        </w:tc>
        <w:tc>
          <w:tcPr>
            <w:tcW w:w="487" w:type="dxa"/>
            <w:tcBorders>
              <w:top w:val="single" w:color="auto" w:sz="4" w:space="0"/>
              <w:left w:val="nil"/>
              <w:bottom w:val="nil"/>
              <w:right w:val="nil"/>
            </w:tcBorders>
            <w:noWrap/>
            <w:vAlign w:val="bottom"/>
            <w:hideMark/>
          </w:tcPr>
          <w:p w:rsidRPr="007211E7" w:rsidR="00040FAF" w:rsidP="00040FAF" w:rsidRDefault="00040FAF" w14:paraId="42B91634" w14:textId="77777777">
            <w:pPr>
              <w:rPr>
                <w:color w:val="000000"/>
                <w:sz w:val="18"/>
                <w:szCs w:val="18"/>
              </w:rPr>
            </w:pPr>
            <w:r w:rsidRPr="007211E7">
              <w:rPr>
                <w:color w:val="000000"/>
                <w:sz w:val="18"/>
                <w:szCs w:val="18"/>
              </w:rPr>
              <w:t>CPB</w:t>
            </w:r>
          </w:p>
        </w:tc>
        <w:tc>
          <w:tcPr>
            <w:tcW w:w="748" w:type="dxa"/>
            <w:tcBorders>
              <w:top w:val="single" w:color="auto" w:sz="4" w:space="0"/>
              <w:left w:val="nil"/>
              <w:bottom w:val="nil"/>
              <w:right w:val="nil"/>
            </w:tcBorders>
            <w:noWrap/>
            <w:vAlign w:val="bottom"/>
            <w:hideMark/>
          </w:tcPr>
          <w:p w:rsidRPr="007211E7" w:rsidR="00040FAF" w:rsidP="00040FAF" w:rsidRDefault="00040FAF" w14:paraId="5195A2A7" w14:textId="77777777">
            <w:pPr>
              <w:jc w:val="right"/>
              <w:rPr>
                <w:color w:val="000000"/>
                <w:sz w:val="18"/>
                <w:szCs w:val="18"/>
              </w:rPr>
            </w:pPr>
            <w:r w:rsidRPr="007211E7">
              <w:rPr>
                <w:color w:val="000000"/>
                <w:sz w:val="18"/>
                <w:szCs w:val="18"/>
              </w:rPr>
              <w:t>-1,6</w:t>
            </w:r>
          </w:p>
        </w:tc>
        <w:tc>
          <w:tcPr>
            <w:tcW w:w="748" w:type="dxa"/>
            <w:tcBorders>
              <w:top w:val="single" w:color="auto" w:sz="4" w:space="0"/>
              <w:left w:val="nil"/>
              <w:bottom w:val="nil"/>
              <w:right w:val="nil"/>
            </w:tcBorders>
            <w:noWrap/>
            <w:vAlign w:val="bottom"/>
            <w:hideMark/>
          </w:tcPr>
          <w:p w:rsidRPr="007211E7" w:rsidR="00040FAF" w:rsidP="00040FAF" w:rsidRDefault="00040FAF" w14:paraId="748DD1BB" w14:textId="77777777">
            <w:pPr>
              <w:jc w:val="right"/>
              <w:rPr>
                <w:color w:val="000000"/>
                <w:sz w:val="18"/>
                <w:szCs w:val="18"/>
              </w:rPr>
            </w:pPr>
            <w:r w:rsidRPr="007211E7">
              <w:rPr>
                <w:color w:val="000000"/>
                <w:sz w:val="18"/>
                <w:szCs w:val="18"/>
              </w:rPr>
              <w:t>-2,6</w:t>
            </w:r>
          </w:p>
        </w:tc>
        <w:tc>
          <w:tcPr>
            <w:tcW w:w="748" w:type="dxa"/>
            <w:tcBorders>
              <w:top w:val="single" w:color="auto" w:sz="4" w:space="0"/>
              <w:left w:val="nil"/>
              <w:bottom w:val="nil"/>
              <w:right w:val="nil"/>
            </w:tcBorders>
            <w:noWrap/>
            <w:vAlign w:val="bottom"/>
            <w:hideMark/>
          </w:tcPr>
          <w:p w:rsidRPr="007211E7" w:rsidR="00040FAF" w:rsidP="00040FAF" w:rsidRDefault="00040FAF" w14:paraId="7FB3F6CE" w14:textId="77777777">
            <w:pPr>
              <w:jc w:val="right"/>
              <w:rPr>
                <w:color w:val="000000"/>
                <w:sz w:val="18"/>
                <w:szCs w:val="18"/>
              </w:rPr>
            </w:pPr>
            <w:r w:rsidRPr="007211E7">
              <w:rPr>
                <w:color w:val="000000"/>
                <w:sz w:val="18"/>
                <w:szCs w:val="18"/>
              </w:rPr>
              <w:t>-1,9</w:t>
            </w:r>
          </w:p>
        </w:tc>
        <w:tc>
          <w:tcPr>
            <w:tcW w:w="748" w:type="dxa"/>
            <w:tcBorders>
              <w:top w:val="single" w:color="auto" w:sz="4" w:space="0"/>
              <w:left w:val="nil"/>
              <w:bottom w:val="nil"/>
              <w:right w:val="nil"/>
            </w:tcBorders>
            <w:noWrap/>
            <w:vAlign w:val="bottom"/>
            <w:hideMark/>
          </w:tcPr>
          <w:p w:rsidRPr="007211E7" w:rsidR="00040FAF" w:rsidP="00040FAF" w:rsidRDefault="00040FAF" w14:paraId="3610310D" w14:textId="77777777">
            <w:pPr>
              <w:jc w:val="right"/>
              <w:rPr>
                <w:color w:val="000000"/>
                <w:sz w:val="18"/>
                <w:szCs w:val="18"/>
              </w:rPr>
            </w:pPr>
            <w:r w:rsidRPr="007211E7">
              <w:rPr>
                <w:color w:val="000000"/>
                <w:sz w:val="18"/>
                <w:szCs w:val="18"/>
              </w:rPr>
              <w:t>-1,7</w:t>
            </w:r>
          </w:p>
        </w:tc>
        <w:tc>
          <w:tcPr>
            <w:tcW w:w="748" w:type="dxa"/>
            <w:tcBorders>
              <w:top w:val="single" w:color="auto" w:sz="4" w:space="0"/>
              <w:left w:val="nil"/>
              <w:bottom w:val="nil"/>
              <w:right w:val="nil"/>
            </w:tcBorders>
            <w:noWrap/>
            <w:vAlign w:val="bottom"/>
            <w:hideMark/>
          </w:tcPr>
          <w:p w:rsidRPr="007211E7" w:rsidR="00040FAF" w:rsidP="00040FAF" w:rsidRDefault="00040FAF" w14:paraId="26368F13" w14:textId="77777777">
            <w:pPr>
              <w:jc w:val="right"/>
              <w:rPr>
                <w:color w:val="000000"/>
                <w:sz w:val="18"/>
                <w:szCs w:val="18"/>
              </w:rPr>
            </w:pPr>
            <w:r w:rsidRPr="007211E7">
              <w:rPr>
                <w:color w:val="000000"/>
                <w:sz w:val="18"/>
                <w:szCs w:val="18"/>
              </w:rPr>
              <w:t>-2,0</w:t>
            </w:r>
          </w:p>
        </w:tc>
        <w:tc>
          <w:tcPr>
            <w:tcW w:w="748" w:type="dxa"/>
            <w:tcBorders>
              <w:top w:val="single" w:color="auto" w:sz="4" w:space="0"/>
              <w:left w:val="nil"/>
              <w:bottom w:val="nil"/>
              <w:right w:val="nil"/>
            </w:tcBorders>
            <w:noWrap/>
            <w:vAlign w:val="bottom"/>
            <w:hideMark/>
          </w:tcPr>
          <w:p w:rsidRPr="007211E7" w:rsidR="00040FAF" w:rsidP="00040FAF" w:rsidRDefault="00040FAF" w14:paraId="161B8D18" w14:textId="77777777">
            <w:pPr>
              <w:jc w:val="right"/>
              <w:rPr>
                <w:color w:val="000000"/>
                <w:sz w:val="18"/>
                <w:szCs w:val="18"/>
              </w:rPr>
            </w:pPr>
            <w:r w:rsidRPr="007211E7">
              <w:rPr>
                <w:color w:val="000000"/>
                <w:sz w:val="18"/>
                <w:szCs w:val="18"/>
              </w:rPr>
              <w:t>-2,2</w:t>
            </w:r>
          </w:p>
        </w:tc>
        <w:tc>
          <w:tcPr>
            <w:tcW w:w="748" w:type="dxa"/>
            <w:tcBorders>
              <w:top w:val="single" w:color="auto" w:sz="4" w:space="0"/>
              <w:left w:val="nil"/>
              <w:bottom w:val="nil"/>
              <w:right w:val="nil"/>
            </w:tcBorders>
            <w:noWrap/>
            <w:vAlign w:val="bottom"/>
            <w:hideMark/>
          </w:tcPr>
          <w:p w:rsidRPr="007211E7" w:rsidR="00040FAF" w:rsidP="00040FAF" w:rsidRDefault="00040FAF" w14:paraId="3A00863F" w14:textId="77777777">
            <w:pPr>
              <w:jc w:val="right"/>
              <w:rPr>
                <w:color w:val="000000"/>
                <w:sz w:val="18"/>
                <w:szCs w:val="18"/>
              </w:rPr>
            </w:pPr>
            <w:r w:rsidRPr="007211E7">
              <w:rPr>
                <w:color w:val="000000"/>
                <w:sz w:val="18"/>
                <w:szCs w:val="18"/>
              </w:rPr>
              <w:t>-2,4</w:t>
            </w:r>
          </w:p>
        </w:tc>
        <w:tc>
          <w:tcPr>
            <w:tcW w:w="594" w:type="dxa"/>
            <w:tcBorders>
              <w:top w:val="single" w:color="auto" w:sz="4" w:space="0"/>
              <w:left w:val="nil"/>
              <w:bottom w:val="nil"/>
              <w:right w:val="nil"/>
            </w:tcBorders>
            <w:noWrap/>
            <w:vAlign w:val="bottom"/>
            <w:hideMark/>
          </w:tcPr>
          <w:p w:rsidRPr="007211E7" w:rsidR="00040FAF" w:rsidP="00040FAF" w:rsidRDefault="00040FAF" w14:paraId="412ADF07" w14:textId="77777777">
            <w:pPr>
              <w:jc w:val="right"/>
              <w:rPr>
                <w:color w:val="000000"/>
                <w:sz w:val="18"/>
                <w:szCs w:val="18"/>
              </w:rPr>
            </w:pPr>
            <w:r w:rsidRPr="007211E7">
              <w:rPr>
                <w:color w:val="000000"/>
                <w:sz w:val="18"/>
                <w:szCs w:val="18"/>
              </w:rPr>
              <w:t>-2,8</w:t>
            </w:r>
          </w:p>
        </w:tc>
      </w:tr>
      <w:tr w:rsidRPr="007211E7" w:rsidR="00040FAF" w:rsidTr="00040FAF" w14:paraId="1381B047" w14:textId="77777777">
        <w:trPr>
          <w:trHeight w:val="270"/>
        </w:trPr>
        <w:tc>
          <w:tcPr>
            <w:tcW w:w="1927" w:type="dxa"/>
            <w:vMerge/>
            <w:tcBorders>
              <w:top w:val="single" w:color="auto" w:sz="4" w:space="0"/>
              <w:left w:val="nil"/>
              <w:bottom w:val="double" w:color="auto" w:sz="4" w:space="0"/>
              <w:right w:val="nil"/>
            </w:tcBorders>
            <w:vAlign w:val="center"/>
            <w:hideMark/>
          </w:tcPr>
          <w:p w:rsidRPr="007211E7" w:rsidR="00040FAF" w:rsidP="00040FAF" w:rsidRDefault="00040FAF" w14:paraId="2EA1486B" w14:textId="77777777">
            <w:pPr>
              <w:rPr>
                <w:color w:val="000000"/>
                <w:sz w:val="18"/>
                <w:szCs w:val="18"/>
              </w:rPr>
            </w:pPr>
          </w:p>
        </w:tc>
        <w:tc>
          <w:tcPr>
            <w:tcW w:w="487" w:type="dxa"/>
            <w:tcBorders>
              <w:top w:val="nil"/>
              <w:left w:val="nil"/>
              <w:bottom w:val="double" w:color="auto" w:sz="4" w:space="0"/>
              <w:right w:val="nil"/>
            </w:tcBorders>
            <w:shd w:val="clear" w:color="000000" w:fill="F2F2F2"/>
            <w:noWrap/>
            <w:vAlign w:val="bottom"/>
            <w:hideMark/>
          </w:tcPr>
          <w:p w:rsidRPr="007211E7" w:rsidR="00040FAF" w:rsidP="00040FAF" w:rsidRDefault="00040FAF" w14:paraId="7C63F1AE" w14:textId="77777777">
            <w:pPr>
              <w:rPr>
                <w:color w:val="000000"/>
                <w:sz w:val="18"/>
                <w:szCs w:val="18"/>
              </w:rPr>
            </w:pPr>
            <w:r w:rsidRPr="007211E7">
              <w:rPr>
                <w:color w:val="000000"/>
                <w:sz w:val="18"/>
                <w:szCs w:val="18"/>
              </w:rPr>
              <w:t>BSP</w:t>
            </w:r>
          </w:p>
        </w:tc>
        <w:tc>
          <w:tcPr>
            <w:tcW w:w="748" w:type="dxa"/>
            <w:tcBorders>
              <w:top w:val="nil"/>
              <w:left w:val="nil"/>
              <w:bottom w:val="double" w:color="auto" w:sz="4" w:space="0"/>
              <w:right w:val="nil"/>
            </w:tcBorders>
            <w:shd w:val="clear" w:color="000000" w:fill="F2F2F2"/>
            <w:noWrap/>
            <w:vAlign w:val="bottom"/>
            <w:hideMark/>
          </w:tcPr>
          <w:p w:rsidRPr="007211E7" w:rsidR="00040FAF" w:rsidP="00040FAF" w:rsidRDefault="00040FAF" w14:paraId="213BA4FC" w14:textId="77777777">
            <w:pPr>
              <w:jc w:val="right"/>
              <w:rPr>
                <w:color w:val="000000"/>
                <w:sz w:val="18"/>
                <w:szCs w:val="18"/>
              </w:rPr>
            </w:pPr>
            <w:r w:rsidRPr="007211E7">
              <w:rPr>
                <w:color w:val="000000"/>
                <w:sz w:val="18"/>
                <w:szCs w:val="18"/>
              </w:rPr>
              <w:t>-1,6</w:t>
            </w:r>
          </w:p>
        </w:tc>
        <w:tc>
          <w:tcPr>
            <w:tcW w:w="748" w:type="dxa"/>
            <w:tcBorders>
              <w:top w:val="nil"/>
              <w:left w:val="nil"/>
              <w:bottom w:val="double" w:color="auto" w:sz="4" w:space="0"/>
              <w:right w:val="nil"/>
            </w:tcBorders>
            <w:shd w:val="clear" w:color="000000" w:fill="F2F2F2"/>
            <w:noWrap/>
            <w:vAlign w:val="bottom"/>
            <w:hideMark/>
          </w:tcPr>
          <w:p w:rsidRPr="007211E7" w:rsidR="00040FAF" w:rsidP="00040FAF" w:rsidRDefault="00040FAF" w14:paraId="08352C4B" w14:textId="77777777">
            <w:pPr>
              <w:jc w:val="right"/>
              <w:rPr>
                <w:color w:val="000000"/>
                <w:sz w:val="18"/>
                <w:szCs w:val="18"/>
              </w:rPr>
            </w:pPr>
            <w:r w:rsidRPr="007211E7">
              <w:rPr>
                <w:color w:val="000000"/>
                <w:sz w:val="18"/>
                <w:szCs w:val="18"/>
              </w:rPr>
              <w:t>-2,4</w:t>
            </w:r>
          </w:p>
        </w:tc>
        <w:tc>
          <w:tcPr>
            <w:tcW w:w="748" w:type="dxa"/>
            <w:tcBorders>
              <w:top w:val="nil"/>
              <w:left w:val="nil"/>
              <w:bottom w:val="double" w:color="auto" w:sz="4" w:space="0"/>
              <w:right w:val="nil"/>
            </w:tcBorders>
            <w:shd w:val="clear" w:color="000000" w:fill="F2F2F2"/>
            <w:noWrap/>
            <w:vAlign w:val="bottom"/>
            <w:hideMark/>
          </w:tcPr>
          <w:p w:rsidRPr="007211E7" w:rsidR="00040FAF" w:rsidP="00040FAF" w:rsidRDefault="00040FAF" w14:paraId="7AF0FD6D" w14:textId="77777777">
            <w:pPr>
              <w:jc w:val="right"/>
              <w:rPr>
                <w:color w:val="000000"/>
                <w:sz w:val="18"/>
                <w:szCs w:val="18"/>
              </w:rPr>
            </w:pPr>
            <w:r w:rsidRPr="007211E7">
              <w:rPr>
                <w:color w:val="000000"/>
                <w:sz w:val="18"/>
                <w:szCs w:val="18"/>
              </w:rPr>
              <w:t>-1,5</w:t>
            </w:r>
          </w:p>
        </w:tc>
        <w:tc>
          <w:tcPr>
            <w:tcW w:w="748" w:type="dxa"/>
            <w:tcBorders>
              <w:top w:val="nil"/>
              <w:left w:val="nil"/>
              <w:bottom w:val="double" w:color="auto" w:sz="4" w:space="0"/>
              <w:right w:val="nil"/>
            </w:tcBorders>
            <w:shd w:val="clear" w:color="000000" w:fill="F2F2F2"/>
            <w:noWrap/>
            <w:vAlign w:val="bottom"/>
            <w:hideMark/>
          </w:tcPr>
          <w:p w:rsidRPr="007211E7" w:rsidR="00040FAF" w:rsidP="00040FAF" w:rsidRDefault="00040FAF" w14:paraId="0A374A0B" w14:textId="77777777">
            <w:pPr>
              <w:jc w:val="right"/>
              <w:rPr>
                <w:color w:val="000000"/>
                <w:sz w:val="18"/>
                <w:szCs w:val="18"/>
              </w:rPr>
            </w:pPr>
            <w:r w:rsidRPr="007211E7">
              <w:rPr>
                <w:color w:val="000000"/>
                <w:sz w:val="18"/>
                <w:szCs w:val="18"/>
              </w:rPr>
              <w:t>-1,3</w:t>
            </w:r>
          </w:p>
        </w:tc>
        <w:tc>
          <w:tcPr>
            <w:tcW w:w="748" w:type="dxa"/>
            <w:tcBorders>
              <w:top w:val="nil"/>
              <w:left w:val="nil"/>
              <w:bottom w:val="double" w:color="auto" w:sz="4" w:space="0"/>
              <w:right w:val="nil"/>
            </w:tcBorders>
            <w:shd w:val="clear" w:color="000000" w:fill="F2F2F2"/>
            <w:noWrap/>
            <w:vAlign w:val="bottom"/>
            <w:hideMark/>
          </w:tcPr>
          <w:p w:rsidRPr="007211E7" w:rsidR="00040FAF" w:rsidP="00040FAF" w:rsidRDefault="00040FAF" w14:paraId="06203CD3" w14:textId="77777777">
            <w:pPr>
              <w:jc w:val="right"/>
              <w:rPr>
                <w:color w:val="000000"/>
                <w:sz w:val="18"/>
                <w:szCs w:val="18"/>
              </w:rPr>
            </w:pPr>
            <w:r w:rsidRPr="007211E7">
              <w:rPr>
                <w:color w:val="000000"/>
                <w:sz w:val="18"/>
                <w:szCs w:val="18"/>
              </w:rPr>
              <w:t>-1,2</w:t>
            </w:r>
          </w:p>
        </w:tc>
        <w:tc>
          <w:tcPr>
            <w:tcW w:w="748" w:type="dxa"/>
            <w:tcBorders>
              <w:top w:val="nil"/>
              <w:left w:val="nil"/>
              <w:bottom w:val="double" w:color="auto" w:sz="4" w:space="0"/>
              <w:right w:val="nil"/>
            </w:tcBorders>
            <w:shd w:val="clear" w:color="000000" w:fill="F2F2F2"/>
            <w:noWrap/>
            <w:vAlign w:val="bottom"/>
            <w:hideMark/>
          </w:tcPr>
          <w:p w:rsidRPr="007211E7" w:rsidR="00040FAF" w:rsidP="00040FAF" w:rsidRDefault="00040FAF" w14:paraId="1DCA204E" w14:textId="77777777">
            <w:pPr>
              <w:jc w:val="right"/>
              <w:rPr>
                <w:color w:val="000000"/>
                <w:sz w:val="18"/>
                <w:szCs w:val="18"/>
              </w:rPr>
            </w:pPr>
            <w:r w:rsidRPr="007211E7">
              <w:rPr>
                <w:color w:val="000000"/>
                <w:sz w:val="18"/>
                <w:szCs w:val="18"/>
              </w:rPr>
              <w:t>-1,2</w:t>
            </w:r>
          </w:p>
        </w:tc>
        <w:tc>
          <w:tcPr>
            <w:tcW w:w="748" w:type="dxa"/>
            <w:tcBorders>
              <w:top w:val="nil"/>
              <w:left w:val="nil"/>
              <w:bottom w:val="double" w:color="auto" w:sz="4" w:space="0"/>
              <w:right w:val="nil"/>
            </w:tcBorders>
            <w:shd w:val="clear" w:color="000000" w:fill="F2F2F2"/>
            <w:noWrap/>
            <w:vAlign w:val="bottom"/>
            <w:hideMark/>
          </w:tcPr>
          <w:p w:rsidRPr="007211E7" w:rsidR="00040FAF" w:rsidP="00040FAF" w:rsidRDefault="00040FAF" w14:paraId="6E4605E8" w14:textId="77777777">
            <w:pPr>
              <w:jc w:val="right"/>
              <w:rPr>
                <w:color w:val="000000"/>
                <w:sz w:val="18"/>
                <w:szCs w:val="18"/>
              </w:rPr>
            </w:pPr>
            <w:r w:rsidRPr="007211E7">
              <w:rPr>
                <w:color w:val="000000"/>
                <w:sz w:val="18"/>
                <w:szCs w:val="18"/>
              </w:rPr>
              <w:t>-1,5</w:t>
            </w:r>
          </w:p>
        </w:tc>
        <w:tc>
          <w:tcPr>
            <w:tcW w:w="594" w:type="dxa"/>
            <w:tcBorders>
              <w:top w:val="nil"/>
              <w:left w:val="nil"/>
              <w:bottom w:val="double" w:color="auto" w:sz="4" w:space="0"/>
              <w:right w:val="nil"/>
            </w:tcBorders>
            <w:shd w:val="clear" w:color="000000" w:fill="F2F2F2"/>
            <w:noWrap/>
            <w:vAlign w:val="bottom"/>
            <w:hideMark/>
          </w:tcPr>
          <w:p w:rsidRPr="007211E7" w:rsidR="00040FAF" w:rsidP="00040FAF" w:rsidRDefault="00040FAF" w14:paraId="0F5D909E" w14:textId="77777777">
            <w:pPr>
              <w:jc w:val="right"/>
              <w:rPr>
                <w:color w:val="000000"/>
                <w:sz w:val="18"/>
                <w:szCs w:val="18"/>
              </w:rPr>
            </w:pPr>
            <w:r w:rsidRPr="007211E7">
              <w:rPr>
                <w:color w:val="000000"/>
                <w:sz w:val="18"/>
                <w:szCs w:val="18"/>
              </w:rPr>
              <w:t>-1,7</w:t>
            </w:r>
          </w:p>
        </w:tc>
      </w:tr>
      <w:tr w:rsidRPr="007211E7" w:rsidR="00040FAF" w:rsidTr="00040FAF" w14:paraId="7D75740B" w14:textId="77777777">
        <w:trPr>
          <w:trHeight w:val="270"/>
        </w:trPr>
        <w:tc>
          <w:tcPr>
            <w:tcW w:w="1927" w:type="dxa"/>
            <w:tcBorders>
              <w:top w:val="double" w:color="auto" w:sz="4" w:space="0"/>
              <w:left w:val="nil"/>
              <w:bottom w:val="single" w:color="auto" w:sz="8" w:space="0"/>
              <w:right w:val="nil"/>
            </w:tcBorders>
            <w:noWrap/>
            <w:vAlign w:val="bottom"/>
            <w:hideMark/>
          </w:tcPr>
          <w:p w:rsidRPr="007211E7" w:rsidR="00040FAF" w:rsidP="00040FAF" w:rsidRDefault="00040FAF" w14:paraId="71545414" w14:textId="77777777">
            <w:pPr>
              <w:rPr>
                <w:color w:val="000000"/>
                <w:sz w:val="18"/>
                <w:szCs w:val="18"/>
              </w:rPr>
            </w:pPr>
            <w:r w:rsidRPr="007211E7">
              <w:rPr>
                <w:color w:val="000000"/>
                <w:sz w:val="18"/>
                <w:szCs w:val="18"/>
              </w:rPr>
              <w:t> </w:t>
            </w:r>
          </w:p>
        </w:tc>
        <w:tc>
          <w:tcPr>
            <w:tcW w:w="487" w:type="dxa"/>
            <w:tcBorders>
              <w:top w:val="double" w:color="auto" w:sz="4" w:space="0"/>
              <w:left w:val="nil"/>
              <w:bottom w:val="single" w:color="auto" w:sz="8" w:space="0"/>
              <w:right w:val="nil"/>
            </w:tcBorders>
            <w:noWrap/>
            <w:vAlign w:val="bottom"/>
            <w:hideMark/>
          </w:tcPr>
          <w:p w:rsidRPr="007211E7" w:rsidR="00040FAF" w:rsidP="00040FAF" w:rsidRDefault="00040FAF" w14:paraId="4B2A7DA0" w14:textId="77777777">
            <w:pPr>
              <w:rPr>
                <w:color w:val="000000"/>
                <w:sz w:val="18"/>
                <w:szCs w:val="18"/>
              </w:rPr>
            </w:pPr>
            <w:r w:rsidRPr="007211E7">
              <w:rPr>
                <w:color w:val="000000"/>
                <w:sz w:val="18"/>
                <w:szCs w:val="18"/>
              </w:rPr>
              <w:t> </w:t>
            </w:r>
          </w:p>
        </w:tc>
        <w:tc>
          <w:tcPr>
            <w:tcW w:w="748" w:type="dxa"/>
            <w:tcBorders>
              <w:top w:val="double" w:color="auto" w:sz="4" w:space="0"/>
              <w:left w:val="nil"/>
              <w:bottom w:val="single" w:color="auto" w:sz="8" w:space="0"/>
              <w:right w:val="nil"/>
            </w:tcBorders>
            <w:noWrap/>
            <w:vAlign w:val="bottom"/>
            <w:hideMark/>
          </w:tcPr>
          <w:p w:rsidRPr="007211E7" w:rsidR="00040FAF" w:rsidP="00040FAF" w:rsidRDefault="00040FAF" w14:paraId="38222E6E" w14:textId="77777777">
            <w:pPr>
              <w:jc w:val="right"/>
              <w:rPr>
                <w:b/>
                <w:bCs/>
                <w:color w:val="000000"/>
                <w:sz w:val="18"/>
                <w:szCs w:val="18"/>
              </w:rPr>
            </w:pPr>
            <w:r w:rsidRPr="007211E7">
              <w:rPr>
                <w:b/>
                <w:bCs/>
                <w:color w:val="000000"/>
                <w:sz w:val="18"/>
                <w:szCs w:val="18"/>
              </w:rPr>
              <w:t>2033</w:t>
            </w:r>
          </w:p>
        </w:tc>
        <w:tc>
          <w:tcPr>
            <w:tcW w:w="748" w:type="dxa"/>
            <w:tcBorders>
              <w:top w:val="double" w:color="auto" w:sz="4" w:space="0"/>
              <w:left w:val="nil"/>
              <w:bottom w:val="single" w:color="auto" w:sz="8" w:space="0"/>
              <w:right w:val="nil"/>
            </w:tcBorders>
            <w:noWrap/>
            <w:vAlign w:val="bottom"/>
            <w:hideMark/>
          </w:tcPr>
          <w:p w:rsidRPr="007211E7" w:rsidR="00040FAF" w:rsidP="00040FAF" w:rsidRDefault="00040FAF" w14:paraId="125BFA7F" w14:textId="77777777">
            <w:pPr>
              <w:jc w:val="right"/>
              <w:rPr>
                <w:b/>
                <w:bCs/>
                <w:color w:val="000000"/>
                <w:sz w:val="18"/>
                <w:szCs w:val="18"/>
              </w:rPr>
            </w:pPr>
            <w:r w:rsidRPr="007211E7">
              <w:rPr>
                <w:b/>
                <w:bCs/>
                <w:color w:val="000000"/>
                <w:sz w:val="18"/>
                <w:szCs w:val="18"/>
              </w:rPr>
              <w:t>2034</w:t>
            </w:r>
          </w:p>
        </w:tc>
        <w:tc>
          <w:tcPr>
            <w:tcW w:w="748" w:type="dxa"/>
            <w:tcBorders>
              <w:top w:val="double" w:color="auto" w:sz="4" w:space="0"/>
              <w:left w:val="nil"/>
              <w:bottom w:val="single" w:color="auto" w:sz="8" w:space="0"/>
              <w:right w:val="nil"/>
            </w:tcBorders>
            <w:noWrap/>
            <w:vAlign w:val="bottom"/>
            <w:hideMark/>
          </w:tcPr>
          <w:p w:rsidRPr="007211E7" w:rsidR="00040FAF" w:rsidP="00040FAF" w:rsidRDefault="00040FAF" w14:paraId="6DA58704" w14:textId="77777777">
            <w:pPr>
              <w:jc w:val="right"/>
              <w:rPr>
                <w:b/>
                <w:bCs/>
                <w:color w:val="000000"/>
                <w:sz w:val="18"/>
                <w:szCs w:val="18"/>
              </w:rPr>
            </w:pPr>
            <w:r w:rsidRPr="007211E7">
              <w:rPr>
                <w:b/>
                <w:bCs/>
                <w:color w:val="000000"/>
                <w:sz w:val="18"/>
                <w:szCs w:val="18"/>
              </w:rPr>
              <w:t>2035</w:t>
            </w:r>
          </w:p>
        </w:tc>
        <w:tc>
          <w:tcPr>
            <w:tcW w:w="748" w:type="dxa"/>
            <w:tcBorders>
              <w:top w:val="double" w:color="auto" w:sz="4" w:space="0"/>
              <w:left w:val="nil"/>
              <w:bottom w:val="single" w:color="auto" w:sz="8" w:space="0"/>
              <w:right w:val="nil"/>
            </w:tcBorders>
            <w:noWrap/>
            <w:vAlign w:val="bottom"/>
            <w:hideMark/>
          </w:tcPr>
          <w:p w:rsidRPr="007211E7" w:rsidR="00040FAF" w:rsidP="00040FAF" w:rsidRDefault="00040FAF" w14:paraId="02399D17" w14:textId="77777777">
            <w:pPr>
              <w:jc w:val="right"/>
              <w:rPr>
                <w:b/>
                <w:bCs/>
                <w:color w:val="000000"/>
                <w:sz w:val="18"/>
                <w:szCs w:val="18"/>
              </w:rPr>
            </w:pPr>
            <w:r w:rsidRPr="007211E7">
              <w:rPr>
                <w:b/>
                <w:bCs/>
                <w:color w:val="000000"/>
                <w:sz w:val="18"/>
                <w:szCs w:val="18"/>
              </w:rPr>
              <w:t>2036</w:t>
            </w:r>
          </w:p>
        </w:tc>
        <w:tc>
          <w:tcPr>
            <w:tcW w:w="748" w:type="dxa"/>
            <w:tcBorders>
              <w:top w:val="double" w:color="auto" w:sz="4" w:space="0"/>
              <w:left w:val="nil"/>
              <w:bottom w:val="single" w:color="auto" w:sz="8" w:space="0"/>
              <w:right w:val="nil"/>
            </w:tcBorders>
            <w:noWrap/>
            <w:vAlign w:val="bottom"/>
            <w:hideMark/>
          </w:tcPr>
          <w:p w:rsidRPr="007211E7" w:rsidR="00040FAF" w:rsidP="00040FAF" w:rsidRDefault="00040FAF" w14:paraId="774C3FE9" w14:textId="77777777">
            <w:pPr>
              <w:jc w:val="right"/>
              <w:rPr>
                <w:b/>
                <w:bCs/>
                <w:color w:val="000000"/>
                <w:sz w:val="18"/>
                <w:szCs w:val="18"/>
              </w:rPr>
            </w:pPr>
            <w:r w:rsidRPr="007211E7">
              <w:rPr>
                <w:b/>
                <w:bCs/>
                <w:color w:val="000000"/>
                <w:sz w:val="18"/>
                <w:szCs w:val="18"/>
              </w:rPr>
              <w:t>2037</w:t>
            </w:r>
          </w:p>
        </w:tc>
        <w:tc>
          <w:tcPr>
            <w:tcW w:w="748" w:type="dxa"/>
            <w:tcBorders>
              <w:top w:val="double" w:color="auto" w:sz="4" w:space="0"/>
              <w:left w:val="nil"/>
              <w:bottom w:val="single" w:color="auto" w:sz="8" w:space="0"/>
              <w:right w:val="nil"/>
            </w:tcBorders>
            <w:noWrap/>
            <w:vAlign w:val="bottom"/>
            <w:hideMark/>
          </w:tcPr>
          <w:p w:rsidRPr="007211E7" w:rsidR="00040FAF" w:rsidP="00040FAF" w:rsidRDefault="00040FAF" w14:paraId="433CD591" w14:textId="77777777">
            <w:pPr>
              <w:jc w:val="right"/>
              <w:rPr>
                <w:b/>
                <w:bCs/>
                <w:color w:val="000000"/>
                <w:sz w:val="18"/>
                <w:szCs w:val="18"/>
              </w:rPr>
            </w:pPr>
            <w:r w:rsidRPr="007211E7">
              <w:rPr>
                <w:b/>
                <w:bCs/>
                <w:color w:val="000000"/>
                <w:sz w:val="18"/>
                <w:szCs w:val="18"/>
              </w:rPr>
              <w:t>2038</w:t>
            </w:r>
          </w:p>
        </w:tc>
        <w:tc>
          <w:tcPr>
            <w:tcW w:w="748" w:type="dxa"/>
            <w:tcBorders>
              <w:top w:val="double" w:color="auto" w:sz="4" w:space="0"/>
              <w:left w:val="nil"/>
              <w:bottom w:val="single" w:color="auto" w:sz="8" w:space="0"/>
              <w:right w:val="nil"/>
            </w:tcBorders>
            <w:noWrap/>
            <w:vAlign w:val="bottom"/>
            <w:hideMark/>
          </w:tcPr>
          <w:p w:rsidRPr="007211E7" w:rsidR="00040FAF" w:rsidP="00040FAF" w:rsidRDefault="00040FAF" w14:paraId="0FD9F944" w14:textId="77777777">
            <w:pPr>
              <w:jc w:val="right"/>
              <w:rPr>
                <w:b/>
                <w:bCs/>
                <w:color w:val="000000"/>
                <w:sz w:val="18"/>
                <w:szCs w:val="18"/>
              </w:rPr>
            </w:pPr>
            <w:r w:rsidRPr="007211E7">
              <w:rPr>
                <w:b/>
                <w:bCs/>
                <w:color w:val="000000"/>
                <w:sz w:val="18"/>
                <w:szCs w:val="18"/>
              </w:rPr>
              <w:t>2039</w:t>
            </w:r>
          </w:p>
        </w:tc>
        <w:tc>
          <w:tcPr>
            <w:tcW w:w="594" w:type="dxa"/>
            <w:tcBorders>
              <w:top w:val="double" w:color="auto" w:sz="4" w:space="0"/>
              <w:left w:val="nil"/>
              <w:bottom w:val="single" w:color="auto" w:sz="8" w:space="0"/>
              <w:right w:val="nil"/>
            </w:tcBorders>
            <w:noWrap/>
            <w:vAlign w:val="bottom"/>
            <w:hideMark/>
          </w:tcPr>
          <w:p w:rsidRPr="007211E7" w:rsidR="00040FAF" w:rsidP="00040FAF" w:rsidRDefault="00040FAF" w14:paraId="383C5429" w14:textId="77777777">
            <w:pPr>
              <w:rPr>
                <w:b/>
                <w:bCs/>
                <w:color w:val="000000"/>
                <w:sz w:val="18"/>
                <w:szCs w:val="18"/>
              </w:rPr>
            </w:pPr>
            <w:r w:rsidRPr="007211E7">
              <w:rPr>
                <w:b/>
                <w:bCs/>
                <w:color w:val="000000"/>
                <w:sz w:val="18"/>
                <w:szCs w:val="18"/>
              </w:rPr>
              <w:t> </w:t>
            </w:r>
          </w:p>
        </w:tc>
      </w:tr>
      <w:tr w:rsidRPr="007211E7" w:rsidR="00040FAF" w:rsidTr="00040FAF" w14:paraId="76FEE036" w14:textId="77777777">
        <w:trPr>
          <w:trHeight w:val="270"/>
        </w:trPr>
        <w:tc>
          <w:tcPr>
            <w:tcW w:w="1927" w:type="dxa"/>
            <w:vMerge w:val="restart"/>
            <w:tcBorders>
              <w:top w:val="nil"/>
              <w:left w:val="nil"/>
              <w:bottom w:val="nil"/>
              <w:right w:val="nil"/>
            </w:tcBorders>
            <w:noWrap/>
            <w:vAlign w:val="center"/>
            <w:hideMark/>
          </w:tcPr>
          <w:p w:rsidRPr="007211E7" w:rsidR="00040FAF" w:rsidP="00040FAF" w:rsidRDefault="00040FAF" w14:paraId="1DF1D152" w14:textId="77777777">
            <w:pPr>
              <w:rPr>
                <w:color w:val="000000"/>
                <w:sz w:val="18"/>
                <w:szCs w:val="18"/>
              </w:rPr>
            </w:pPr>
            <w:r w:rsidRPr="007211E7">
              <w:rPr>
                <w:color w:val="000000"/>
                <w:sz w:val="18"/>
                <w:szCs w:val="18"/>
              </w:rPr>
              <w:t>EMU-schuld</w:t>
            </w:r>
          </w:p>
        </w:tc>
        <w:tc>
          <w:tcPr>
            <w:tcW w:w="487" w:type="dxa"/>
            <w:tcBorders>
              <w:top w:val="nil"/>
              <w:left w:val="nil"/>
              <w:bottom w:val="nil"/>
              <w:right w:val="nil"/>
            </w:tcBorders>
            <w:noWrap/>
            <w:vAlign w:val="bottom"/>
            <w:hideMark/>
          </w:tcPr>
          <w:p w:rsidRPr="007211E7" w:rsidR="00040FAF" w:rsidP="00040FAF" w:rsidRDefault="00040FAF" w14:paraId="60F7EC10" w14:textId="77777777">
            <w:pPr>
              <w:rPr>
                <w:color w:val="000000"/>
                <w:sz w:val="18"/>
                <w:szCs w:val="18"/>
              </w:rPr>
            </w:pPr>
            <w:r w:rsidRPr="007211E7">
              <w:rPr>
                <w:color w:val="000000"/>
                <w:sz w:val="18"/>
                <w:szCs w:val="18"/>
              </w:rPr>
              <w:t>CPB</w:t>
            </w:r>
          </w:p>
        </w:tc>
        <w:tc>
          <w:tcPr>
            <w:tcW w:w="748" w:type="dxa"/>
            <w:tcBorders>
              <w:top w:val="nil"/>
              <w:left w:val="nil"/>
              <w:bottom w:val="nil"/>
              <w:right w:val="nil"/>
            </w:tcBorders>
            <w:noWrap/>
            <w:vAlign w:val="bottom"/>
            <w:hideMark/>
          </w:tcPr>
          <w:p w:rsidRPr="007211E7" w:rsidR="00040FAF" w:rsidP="00040FAF" w:rsidRDefault="00040FAF" w14:paraId="22280146" w14:textId="77777777">
            <w:pPr>
              <w:jc w:val="right"/>
              <w:rPr>
                <w:color w:val="000000"/>
                <w:sz w:val="18"/>
                <w:szCs w:val="18"/>
              </w:rPr>
            </w:pPr>
            <w:r w:rsidRPr="007211E7">
              <w:rPr>
                <w:color w:val="000000"/>
                <w:sz w:val="18"/>
                <w:szCs w:val="18"/>
              </w:rPr>
              <w:t>50,9</w:t>
            </w:r>
          </w:p>
        </w:tc>
        <w:tc>
          <w:tcPr>
            <w:tcW w:w="748" w:type="dxa"/>
            <w:tcBorders>
              <w:top w:val="nil"/>
              <w:left w:val="nil"/>
              <w:bottom w:val="nil"/>
              <w:right w:val="nil"/>
            </w:tcBorders>
            <w:noWrap/>
            <w:vAlign w:val="bottom"/>
            <w:hideMark/>
          </w:tcPr>
          <w:p w:rsidRPr="007211E7" w:rsidR="00040FAF" w:rsidP="00040FAF" w:rsidRDefault="00040FAF" w14:paraId="73C59DA3" w14:textId="77777777">
            <w:pPr>
              <w:jc w:val="right"/>
              <w:rPr>
                <w:color w:val="000000"/>
                <w:sz w:val="18"/>
                <w:szCs w:val="18"/>
              </w:rPr>
            </w:pPr>
            <w:r w:rsidRPr="007211E7">
              <w:rPr>
                <w:color w:val="000000"/>
                <w:sz w:val="18"/>
                <w:szCs w:val="18"/>
              </w:rPr>
              <w:t>52,5</w:t>
            </w:r>
          </w:p>
        </w:tc>
        <w:tc>
          <w:tcPr>
            <w:tcW w:w="748" w:type="dxa"/>
            <w:tcBorders>
              <w:top w:val="nil"/>
              <w:left w:val="nil"/>
              <w:bottom w:val="nil"/>
              <w:right w:val="nil"/>
            </w:tcBorders>
            <w:noWrap/>
            <w:vAlign w:val="bottom"/>
            <w:hideMark/>
          </w:tcPr>
          <w:p w:rsidRPr="007211E7" w:rsidR="00040FAF" w:rsidP="00040FAF" w:rsidRDefault="00040FAF" w14:paraId="7F3D73CB" w14:textId="77777777">
            <w:pPr>
              <w:jc w:val="right"/>
              <w:rPr>
                <w:color w:val="000000"/>
                <w:sz w:val="18"/>
                <w:szCs w:val="18"/>
              </w:rPr>
            </w:pPr>
            <w:r w:rsidRPr="007211E7">
              <w:rPr>
                <w:color w:val="000000"/>
                <w:sz w:val="18"/>
                <w:szCs w:val="18"/>
              </w:rPr>
              <w:t>54,1</w:t>
            </w:r>
          </w:p>
        </w:tc>
        <w:tc>
          <w:tcPr>
            <w:tcW w:w="748" w:type="dxa"/>
            <w:tcBorders>
              <w:top w:val="nil"/>
              <w:left w:val="nil"/>
              <w:bottom w:val="nil"/>
              <w:right w:val="nil"/>
            </w:tcBorders>
            <w:noWrap/>
            <w:vAlign w:val="bottom"/>
            <w:hideMark/>
          </w:tcPr>
          <w:p w:rsidRPr="007211E7" w:rsidR="00040FAF" w:rsidP="00040FAF" w:rsidRDefault="00040FAF" w14:paraId="73901D11" w14:textId="77777777">
            <w:pPr>
              <w:jc w:val="right"/>
              <w:rPr>
                <w:color w:val="000000"/>
                <w:sz w:val="18"/>
                <w:szCs w:val="18"/>
              </w:rPr>
            </w:pPr>
            <w:r w:rsidRPr="007211E7">
              <w:rPr>
                <w:color w:val="000000"/>
                <w:sz w:val="18"/>
                <w:szCs w:val="18"/>
              </w:rPr>
              <w:t>55,9</w:t>
            </w:r>
          </w:p>
        </w:tc>
        <w:tc>
          <w:tcPr>
            <w:tcW w:w="748" w:type="dxa"/>
            <w:tcBorders>
              <w:top w:val="nil"/>
              <w:left w:val="nil"/>
              <w:bottom w:val="nil"/>
              <w:right w:val="nil"/>
            </w:tcBorders>
            <w:noWrap/>
            <w:vAlign w:val="bottom"/>
            <w:hideMark/>
          </w:tcPr>
          <w:p w:rsidRPr="007211E7" w:rsidR="00040FAF" w:rsidP="00040FAF" w:rsidRDefault="00040FAF" w14:paraId="7AB80BC9" w14:textId="77777777">
            <w:pPr>
              <w:jc w:val="right"/>
              <w:rPr>
                <w:color w:val="000000"/>
                <w:sz w:val="18"/>
                <w:szCs w:val="18"/>
              </w:rPr>
            </w:pPr>
            <w:r w:rsidRPr="007211E7">
              <w:rPr>
                <w:color w:val="000000"/>
                <w:sz w:val="18"/>
                <w:szCs w:val="18"/>
              </w:rPr>
              <w:t>57,9</w:t>
            </w:r>
          </w:p>
        </w:tc>
        <w:tc>
          <w:tcPr>
            <w:tcW w:w="748" w:type="dxa"/>
            <w:tcBorders>
              <w:top w:val="nil"/>
              <w:left w:val="nil"/>
              <w:bottom w:val="nil"/>
              <w:right w:val="nil"/>
            </w:tcBorders>
            <w:noWrap/>
            <w:vAlign w:val="bottom"/>
            <w:hideMark/>
          </w:tcPr>
          <w:p w:rsidRPr="007211E7" w:rsidR="00040FAF" w:rsidP="00040FAF" w:rsidRDefault="00040FAF" w14:paraId="01A90C8B" w14:textId="77777777">
            <w:pPr>
              <w:jc w:val="right"/>
              <w:rPr>
                <w:color w:val="000000"/>
                <w:sz w:val="18"/>
                <w:szCs w:val="18"/>
              </w:rPr>
            </w:pPr>
            <w:r w:rsidRPr="007211E7">
              <w:rPr>
                <w:color w:val="000000"/>
                <w:sz w:val="18"/>
                <w:szCs w:val="18"/>
              </w:rPr>
              <w:t>59,9</w:t>
            </w:r>
          </w:p>
        </w:tc>
        <w:tc>
          <w:tcPr>
            <w:tcW w:w="748" w:type="dxa"/>
            <w:tcBorders>
              <w:top w:val="nil"/>
              <w:left w:val="nil"/>
              <w:bottom w:val="nil"/>
              <w:right w:val="nil"/>
            </w:tcBorders>
            <w:noWrap/>
            <w:vAlign w:val="bottom"/>
            <w:hideMark/>
          </w:tcPr>
          <w:p w:rsidRPr="007747E6" w:rsidR="00040FAF" w:rsidP="00040FAF" w:rsidRDefault="00040FAF" w14:paraId="4D52E0F9" w14:textId="77777777">
            <w:pPr>
              <w:jc w:val="right"/>
              <w:rPr>
                <w:b/>
                <w:bCs/>
                <w:color w:val="000000"/>
                <w:sz w:val="18"/>
                <w:szCs w:val="18"/>
              </w:rPr>
            </w:pPr>
            <w:r w:rsidRPr="007747E6">
              <w:rPr>
                <w:b/>
                <w:bCs/>
                <w:color w:val="000000"/>
                <w:sz w:val="18"/>
                <w:szCs w:val="18"/>
              </w:rPr>
              <w:t>62,0</w:t>
            </w:r>
          </w:p>
        </w:tc>
        <w:tc>
          <w:tcPr>
            <w:tcW w:w="594" w:type="dxa"/>
            <w:tcBorders>
              <w:top w:val="nil"/>
              <w:left w:val="nil"/>
              <w:bottom w:val="nil"/>
              <w:right w:val="nil"/>
            </w:tcBorders>
            <w:noWrap/>
            <w:vAlign w:val="bottom"/>
            <w:hideMark/>
          </w:tcPr>
          <w:p w:rsidRPr="007211E7" w:rsidR="00040FAF" w:rsidP="00040FAF" w:rsidRDefault="00040FAF" w14:paraId="7F8D9E4D" w14:textId="77777777">
            <w:pPr>
              <w:jc w:val="right"/>
              <w:rPr>
                <w:color w:val="000000"/>
                <w:sz w:val="18"/>
                <w:szCs w:val="18"/>
              </w:rPr>
            </w:pPr>
          </w:p>
        </w:tc>
      </w:tr>
      <w:tr w:rsidRPr="007211E7" w:rsidR="00040FAF" w:rsidTr="00040FAF" w14:paraId="4A56A6C4" w14:textId="77777777">
        <w:trPr>
          <w:trHeight w:val="270"/>
        </w:trPr>
        <w:tc>
          <w:tcPr>
            <w:tcW w:w="1927" w:type="dxa"/>
            <w:vMerge/>
            <w:tcBorders>
              <w:top w:val="nil"/>
              <w:left w:val="nil"/>
              <w:bottom w:val="single" w:color="auto" w:sz="4" w:space="0"/>
              <w:right w:val="nil"/>
            </w:tcBorders>
            <w:vAlign w:val="center"/>
            <w:hideMark/>
          </w:tcPr>
          <w:p w:rsidRPr="007211E7" w:rsidR="00040FAF" w:rsidP="00040FAF" w:rsidRDefault="00040FAF" w14:paraId="2AEC7BB8" w14:textId="77777777">
            <w:pPr>
              <w:rPr>
                <w:color w:val="000000"/>
                <w:sz w:val="18"/>
                <w:szCs w:val="18"/>
              </w:rPr>
            </w:pPr>
          </w:p>
        </w:tc>
        <w:tc>
          <w:tcPr>
            <w:tcW w:w="487" w:type="dxa"/>
            <w:tcBorders>
              <w:top w:val="nil"/>
              <w:left w:val="nil"/>
              <w:bottom w:val="single" w:color="auto" w:sz="4" w:space="0"/>
              <w:right w:val="nil"/>
            </w:tcBorders>
            <w:shd w:val="clear" w:color="000000" w:fill="F2F2F2"/>
            <w:noWrap/>
            <w:vAlign w:val="bottom"/>
            <w:hideMark/>
          </w:tcPr>
          <w:p w:rsidRPr="007211E7" w:rsidR="00040FAF" w:rsidP="00040FAF" w:rsidRDefault="00040FAF" w14:paraId="4D52FE4F" w14:textId="77777777">
            <w:pPr>
              <w:rPr>
                <w:color w:val="000000"/>
                <w:sz w:val="18"/>
                <w:szCs w:val="18"/>
              </w:rPr>
            </w:pPr>
            <w:r w:rsidRPr="007211E7">
              <w:rPr>
                <w:color w:val="000000"/>
                <w:sz w:val="18"/>
                <w:szCs w:val="18"/>
              </w:rPr>
              <w:t>BSP</w:t>
            </w:r>
          </w:p>
        </w:tc>
        <w:tc>
          <w:tcPr>
            <w:tcW w:w="748" w:type="dxa"/>
            <w:tcBorders>
              <w:top w:val="nil"/>
              <w:left w:val="nil"/>
              <w:bottom w:val="single" w:color="auto" w:sz="4" w:space="0"/>
              <w:right w:val="nil"/>
            </w:tcBorders>
            <w:shd w:val="clear" w:color="000000" w:fill="F2F2F2"/>
            <w:noWrap/>
            <w:vAlign w:val="bottom"/>
            <w:hideMark/>
          </w:tcPr>
          <w:p w:rsidRPr="007211E7" w:rsidR="00040FAF" w:rsidP="00040FAF" w:rsidRDefault="00040FAF" w14:paraId="03F30CF2" w14:textId="77777777">
            <w:pPr>
              <w:jc w:val="right"/>
              <w:rPr>
                <w:color w:val="000000"/>
                <w:sz w:val="18"/>
                <w:szCs w:val="18"/>
              </w:rPr>
            </w:pPr>
            <w:r w:rsidRPr="007211E7">
              <w:rPr>
                <w:color w:val="000000"/>
                <w:sz w:val="18"/>
                <w:szCs w:val="18"/>
              </w:rPr>
              <w:t>45,5</w:t>
            </w:r>
          </w:p>
        </w:tc>
        <w:tc>
          <w:tcPr>
            <w:tcW w:w="748" w:type="dxa"/>
            <w:tcBorders>
              <w:top w:val="nil"/>
              <w:left w:val="nil"/>
              <w:bottom w:val="single" w:color="auto" w:sz="4" w:space="0"/>
              <w:right w:val="nil"/>
            </w:tcBorders>
            <w:shd w:val="clear" w:color="000000" w:fill="F2F2F2"/>
            <w:noWrap/>
            <w:vAlign w:val="bottom"/>
            <w:hideMark/>
          </w:tcPr>
          <w:p w:rsidRPr="007211E7" w:rsidR="00040FAF" w:rsidP="00040FAF" w:rsidRDefault="00040FAF" w14:paraId="1E445723" w14:textId="77777777">
            <w:pPr>
              <w:jc w:val="right"/>
              <w:rPr>
                <w:color w:val="000000"/>
                <w:sz w:val="18"/>
                <w:szCs w:val="18"/>
              </w:rPr>
            </w:pPr>
            <w:r w:rsidRPr="007211E7">
              <w:rPr>
                <w:color w:val="000000"/>
                <w:sz w:val="18"/>
                <w:szCs w:val="18"/>
              </w:rPr>
              <w:t>46,1</w:t>
            </w:r>
          </w:p>
        </w:tc>
        <w:tc>
          <w:tcPr>
            <w:tcW w:w="748" w:type="dxa"/>
            <w:tcBorders>
              <w:top w:val="nil"/>
              <w:left w:val="nil"/>
              <w:bottom w:val="single" w:color="auto" w:sz="4" w:space="0"/>
              <w:right w:val="nil"/>
            </w:tcBorders>
            <w:shd w:val="clear" w:color="000000" w:fill="F2F2F2"/>
            <w:noWrap/>
            <w:vAlign w:val="bottom"/>
            <w:hideMark/>
          </w:tcPr>
          <w:p w:rsidRPr="007211E7" w:rsidR="00040FAF" w:rsidP="00040FAF" w:rsidRDefault="00040FAF" w14:paraId="3ECFAE89" w14:textId="77777777">
            <w:pPr>
              <w:jc w:val="right"/>
              <w:rPr>
                <w:color w:val="000000"/>
                <w:sz w:val="18"/>
                <w:szCs w:val="18"/>
              </w:rPr>
            </w:pPr>
            <w:r w:rsidRPr="007211E7">
              <w:rPr>
                <w:color w:val="000000"/>
                <w:sz w:val="18"/>
                <w:szCs w:val="18"/>
              </w:rPr>
              <w:t>46,8</w:t>
            </w:r>
          </w:p>
        </w:tc>
        <w:tc>
          <w:tcPr>
            <w:tcW w:w="748" w:type="dxa"/>
            <w:tcBorders>
              <w:top w:val="nil"/>
              <w:left w:val="nil"/>
              <w:bottom w:val="single" w:color="auto" w:sz="4" w:space="0"/>
              <w:right w:val="nil"/>
            </w:tcBorders>
            <w:shd w:val="clear" w:color="000000" w:fill="F2F2F2"/>
            <w:noWrap/>
            <w:vAlign w:val="bottom"/>
            <w:hideMark/>
          </w:tcPr>
          <w:p w:rsidRPr="007211E7" w:rsidR="00040FAF" w:rsidP="00040FAF" w:rsidRDefault="00040FAF" w14:paraId="406788EC" w14:textId="77777777">
            <w:pPr>
              <w:jc w:val="right"/>
              <w:rPr>
                <w:color w:val="000000"/>
                <w:sz w:val="18"/>
                <w:szCs w:val="18"/>
              </w:rPr>
            </w:pPr>
            <w:r w:rsidRPr="007211E7">
              <w:rPr>
                <w:color w:val="000000"/>
                <w:sz w:val="18"/>
                <w:szCs w:val="18"/>
              </w:rPr>
              <w:t>47,7</w:t>
            </w:r>
          </w:p>
        </w:tc>
        <w:tc>
          <w:tcPr>
            <w:tcW w:w="748" w:type="dxa"/>
            <w:tcBorders>
              <w:top w:val="nil"/>
              <w:left w:val="nil"/>
              <w:bottom w:val="single" w:color="auto" w:sz="4" w:space="0"/>
              <w:right w:val="nil"/>
            </w:tcBorders>
            <w:shd w:val="clear" w:color="000000" w:fill="F2F2F2"/>
            <w:noWrap/>
            <w:vAlign w:val="bottom"/>
            <w:hideMark/>
          </w:tcPr>
          <w:p w:rsidRPr="007211E7" w:rsidR="00040FAF" w:rsidP="00040FAF" w:rsidRDefault="00040FAF" w14:paraId="5EFCA6B1" w14:textId="77777777">
            <w:pPr>
              <w:jc w:val="right"/>
              <w:rPr>
                <w:color w:val="000000"/>
                <w:sz w:val="18"/>
                <w:szCs w:val="18"/>
              </w:rPr>
            </w:pPr>
            <w:r w:rsidRPr="007211E7">
              <w:rPr>
                <w:color w:val="000000"/>
                <w:sz w:val="18"/>
                <w:szCs w:val="18"/>
              </w:rPr>
              <w:t>48,8</w:t>
            </w:r>
          </w:p>
        </w:tc>
        <w:tc>
          <w:tcPr>
            <w:tcW w:w="748" w:type="dxa"/>
            <w:tcBorders>
              <w:top w:val="nil"/>
              <w:left w:val="nil"/>
              <w:bottom w:val="single" w:color="auto" w:sz="4" w:space="0"/>
              <w:right w:val="nil"/>
            </w:tcBorders>
            <w:shd w:val="clear" w:color="000000" w:fill="F2F2F2"/>
            <w:noWrap/>
            <w:vAlign w:val="bottom"/>
            <w:hideMark/>
          </w:tcPr>
          <w:p w:rsidRPr="007211E7" w:rsidR="00040FAF" w:rsidP="00040FAF" w:rsidRDefault="00040FAF" w14:paraId="1D93AFCA" w14:textId="77777777">
            <w:pPr>
              <w:jc w:val="right"/>
              <w:rPr>
                <w:color w:val="000000"/>
                <w:sz w:val="18"/>
                <w:szCs w:val="18"/>
              </w:rPr>
            </w:pPr>
            <w:r w:rsidRPr="007211E7">
              <w:rPr>
                <w:color w:val="000000"/>
                <w:sz w:val="18"/>
                <w:szCs w:val="18"/>
              </w:rPr>
              <w:t>50,0</w:t>
            </w:r>
          </w:p>
        </w:tc>
        <w:tc>
          <w:tcPr>
            <w:tcW w:w="748" w:type="dxa"/>
            <w:tcBorders>
              <w:top w:val="nil"/>
              <w:left w:val="nil"/>
              <w:bottom w:val="single" w:color="auto" w:sz="4" w:space="0"/>
              <w:right w:val="nil"/>
            </w:tcBorders>
            <w:shd w:val="clear" w:color="000000" w:fill="F2F2F2"/>
            <w:noWrap/>
            <w:vAlign w:val="bottom"/>
            <w:hideMark/>
          </w:tcPr>
          <w:p w:rsidRPr="007211E7" w:rsidR="00040FAF" w:rsidP="00040FAF" w:rsidRDefault="00040FAF" w14:paraId="45CBA9E8" w14:textId="77777777">
            <w:pPr>
              <w:jc w:val="right"/>
              <w:rPr>
                <w:color w:val="000000"/>
                <w:sz w:val="18"/>
                <w:szCs w:val="18"/>
              </w:rPr>
            </w:pPr>
            <w:r w:rsidRPr="007211E7">
              <w:rPr>
                <w:color w:val="000000"/>
                <w:sz w:val="18"/>
                <w:szCs w:val="18"/>
              </w:rPr>
              <w:t>51,2</w:t>
            </w:r>
          </w:p>
        </w:tc>
        <w:tc>
          <w:tcPr>
            <w:tcW w:w="594" w:type="dxa"/>
            <w:tcBorders>
              <w:top w:val="nil"/>
              <w:left w:val="nil"/>
              <w:bottom w:val="single" w:color="auto" w:sz="4" w:space="0"/>
              <w:right w:val="nil"/>
            </w:tcBorders>
            <w:noWrap/>
            <w:vAlign w:val="bottom"/>
            <w:hideMark/>
          </w:tcPr>
          <w:p w:rsidRPr="007211E7" w:rsidR="00040FAF" w:rsidP="00040FAF" w:rsidRDefault="00040FAF" w14:paraId="3141F4BC" w14:textId="77777777">
            <w:pPr>
              <w:jc w:val="right"/>
              <w:rPr>
                <w:color w:val="000000"/>
                <w:sz w:val="18"/>
                <w:szCs w:val="18"/>
              </w:rPr>
            </w:pPr>
          </w:p>
        </w:tc>
      </w:tr>
      <w:tr w:rsidRPr="007211E7" w:rsidR="00040FAF" w:rsidTr="00040FAF" w14:paraId="7878B4CB" w14:textId="77777777">
        <w:trPr>
          <w:trHeight w:val="270"/>
        </w:trPr>
        <w:tc>
          <w:tcPr>
            <w:tcW w:w="1927" w:type="dxa"/>
            <w:vMerge w:val="restart"/>
            <w:tcBorders>
              <w:top w:val="single" w:color="auto" w:sz="4" w:space="0"/>
              <w:left w:val="nil"/>
              <w:bottom w:val="single" w:color="000000" w:sz="8" w:space="0"/>
              <w:right w:val="nil"/>
            </w:tcBorders>
            <w:noWrap/>
            <w:vAlign w:val="center"/>
            <w:hideMark/>
          </w:tcPr>
          <w:p w:rsidRPr="007211E7" w:rsidR="00040FAF" w:rsidP="00040FAF" w:rsidRDefault="00040FAF" w14:paraId="79487834" w14:textId="77777777">
            <w:pPr>
              <w:rPr>
                <w:color w:val="000000"/>
                <w:sz w:val="18"/>
                <w:szCs w:val="18"/>
              </w:rPr>
            </w:pPr>
            <w:r w:rsidRPr="007211E7">
              <w:rPr>
                <w:color w:val="000000"/>
                <w:sz w:val="18"/>
                <w:szCs w:val="18"/>
              </w:rPr>
              <w:t>EMU-saldo</w:t>
            </w:r>
          </w:p>
        </w:tc>
        <w:tc>
          <w:tcPr>
            <w:tcW w:w="487" w:type="dxa"/>
            <w:tcBorders>
              <w:top w:val="single" w:color="auto" w:sz="4" w:space="0"/>
              <w:left w:val="nil"/>
              <w:bottom w:val="nil"/>
              <w:right w:val="nil"/>
            </w:tcBorders>
            <w:noWrap/>
            <w:vAlign w:val="bottom"/>
            <w:hideMark/>
          </w:tcPr>
          <w:p w:rsidRPr="007211E7" w:rsidR="00040FAF" w:rsidP="00040FAF" w:rsidRDefault="00040FAF" w14:paraId="6C385C46" w14:textId="77777777">
            <w:pPr>
              <w:rPr>
                <w:color w:val="000000"/>
                <w:sz w:val="18"/>
                <w:szCs w:val="18"/>
              </w:rPr>
            </w:pPr>
            <w:r w:rsidRPr="007211E7">
              <w:rPr>
                <w:color w:val="000000"/>
                <w:sz w:val="18"/>
                <w:szCs w:val="18"/>
              </w:rPr>
              <w:t>CPB</w:t>
            </w:r>
          </w:p>
        </w:tc>
        <w:tc>
          <w:tcPr>
            <w:tcW w:w="748" w:type="dxa"/>
            <w:tcBorders>
              <w:top w:val="single" w:color="auto" w:sz="4" w:space="0"/>
              <w:left w:val="nil"/>
              <w:bottom w:val="nil"/>
              <w:right w:val="nil"/>
            </w:tcBorders>
            <w:noWrap/>
            <w:vAlign w:val="bottom"/>
            <w:hideMark/>
          </w:tcPr>
          <w:p w:rsidRPr="007211E7" w:rsidR="00040FAF" w:rsidP="00040FAF" w:rsidRDefault="00040FAF" w14:paraId="4938CD29" w14:textId="77777777">
            <w:pPr>
              <w:jc w:val="right"/>
              <w:rPr>
                <w:color w:val="000000"/>
                <w:sz w:val="18"/>
                <w:szCs w:val="18"/>
              </w:rPr>
            </w:pPr>
            <w:r w:rsidRPr="007211E7">
              <w:rPr>
                <w:color w:val="000000"/>
                <w:sz w:val="18"/>
                <w:szCs w:val="18"/>
              </w:rPr>
              <w:t>-2,9</w:t>
            </w:r>
          </w:p>
        </w:tc>
        <w:tc>
          <w:tcPr>
            <w:tcW w:w="748" w:type="dxa"/>
            <w:tcBorders>
              <w:top w:val="single" w:color="auto" w:sz="4" w:space="0"/>
              <w:left w:val="nil"/>
              <w:bottom w:val="nil"/>
              <w:right w:val="nil"/>
            </w:tcBorders>
            <w:noWrap/>
            <w:vAlign w:val="bottom"/>
            <w:hideMark/>
          </w:tcPr>
          <w:p w:rsidRPr="007747E6" w:rsidR="00040FAF" w:rsidP="00040FAF" w:rsidRDefault="00040FAF" w14:paraId="23236EBF" w14:textId="77777777">
            <w:pPr>
              <w:jc w:val="right"/>
              <w:rPr>
                <w:b/>
                <w:bCs/>
                <w:color w:val="000000"/>
                <w:sz w:val="18"/>
                <w:szCs w:val="18"/>
              </w:rPr>
            </w:pPr>
            <w:r w:rsidRPr="007747E6">
              <w:rPr>
                <w:b/>
                <w:bCs/>
                <w:color w:val="000000"/>
                <w:sz w:val="18"/>
                <w:szCs w:val="18"/>
              </w:rPr>
              <w:t>-3,1</w:t>
            </w:r>
          </w:p>
        </w:tc>
        <w:tc>
          <w:tcPr>
            <w:tcW w:w="748" w:type="dxa"/>
            <w:tcBorders>
              <w:top w:val="single" w:color="auto" w:sz="4" w:space="0"/>
              <w:left w:val="nil"/>
              <w:bottom w:val="nil"/>
              <w:right w:val="nil"/>
            </w:tcBorders>
            <w:noWrap/>
            <w:vAlign w:val="bottom"/>
            <w:hideMark/>
          </w:tcPr>
          <w:p w:rsidRPr="007747E6" w:rsidR="00040FAF" w:rsidP="00040FAF" w:rsidRDefault="00040FAF" w14:paraId="215C487D" w14:textId="77777777">
            <w:pPr>
              <w:jc w:val="right"/>
              <w:rPr>
                <w:b/>
                <w:bCs/>
                <w:color w:val="000000"/>
                <w:sz w:val="18"/>
                <w:szCs w:val="18"/>
              </w:rPr>
            </w:pPr>
            <w:r w:rsidRPr="007747E6">
              <w:rPr>
                <w:b/>
                <w:bCs/>
                <w:color w:val="000000"/>
                <w:sz w:val="18"/>
                <w:szCs w:val="18"/>
              </w:rPr>
              <w:t>-3,3</w:t>
            </w:r>
          </w:p>
        </w:tc>
        <w:tc>
          <w:tcPr>
            <w:tcW w:w="748" w:type="dxa"/>
            <w:tcBorders>
              <w:top w:val="single" w:color="auto" w:sz="4" w:space="0"/>
              <w:left w:val="nil"/>
              <w:bottom w:val="nil"/>
              <w:right w:val="nil"/>
            </w:tcBorders>
            <w:noWrap/>
            <w:vAlign w:val="bottom"/>
            <w:hideMark/>
          </w:tcPr>
          <w:p w:rsidRPr="007747E6" w:rsidR="00040FAF" w:rsidP="00040FAF" w:rsidRDefault="00040FAF" w14:paraId="6C55B89A" w14:textId="77777777">
            <w:pPr>
              <w:jc w:val="right"/>
              <w:rPr>
                <w:b/>
                <w:bCs/>
                <w:color w:val="000000"/>
                <w:sz w:val="18"/>
                <w:szCs w:val="18"/>
              </w:rPr>
            </w:pPr>
            <w:r w:rsidRPr="007747E6">
              <w:rPr>
                <w:b/>
                <w:bCs/>
                <w:color w:val="000000"/>
                <w:sz w:val="18"/>
                <w:szCs w:val="18"/>
              </w:rPr>
              <w:t>-3,6</w:t>
            </w:r>
          </w:p>
        </w:tc>
        <w:tc>
          <w:tcPr>
            <w:tcW w:w="748" w:type="dxa"/>
            <w:tcBorders>
              <w:top w:val="single" w:color="auto" w:sz="4" w:space="0"/>
              <w:left w:val="nil"/>
              <w:bottom w:val="nil"/>
              <w:right w:val="nil"/>
            </w:tcBorders>
            <w:noWrap/>
            <w:vAlign w:val="bottom"/>
            <w:hideMark/>
          </w:tcPr>
          <w:p w:rsidRPr="007747E6" w:rsidR="00040FAF" w:rsidP="00040FAF" w:rsidRDefault="00040FAF" w14:paraId="2F97D9F1" w14:textId="77777777">
            <w:pPr>
              <w:jc w:val="right"/>
              <w:rPr>
                <w:b/>
                <w:bCs/>
                <w:color w:val="000000"/>
                <w:sz w:val="18"/>
                <w:szCs w:val="18"/>
              </w:rPr>
            </w:pPr>
            <w:r w:rsidRPr="007747E6">
              <w:rPr>
                <w:b/>
                <w:bCs/>
                <w:color w:val="000000"/>
                <w:sz w:val="18"/>
                <w:szCs w:val="18"/>
              </w:rPr>
              <w:t>-3,9</w:t>
            </w:r>
          </w:p>
        </w:tc>
        <w:tc>
          <w:tcPr>
            <w:tcW w:w="748" w:type="dxa"/>
            <w:tcBorders>
              <w:top w:val="single" w:color="auto" w:sz="4" w:space="0"/>
              <w:left w:val="nil"/>
              <w:bottom w:val="nil"/>
              <w:right w:val="nil"/>
            </w:tcBorders>
            <w:noWrap/>
            <w:vAlign w:val="bottom"/>
            <w:hideMark/>
          </w:tcPr>
          <w:p w:rsidRPr="007747E6" w:rsidR="00040FAF" w:rsidP="00040FAF" w:rsidRDefault="00040FAF" w14:paraId="6F90BEE6" w14:textId="77777777">
            <w:pPr>
              <w:jc w:val="right"/>
              <w:rPr>
                <w:b/>
                <w:bCs/>
                <w:color w:val="000000"/>
                <w:sz w:val="18"/>
                <w:szCs w:val="18"/>
              </w:rPr>
            </w:pPr>
            <w:r w:rsidRPr="007747E6">
              <w:rPr>
                <w:b/>
                <w:bCs/>
                <w:color w:val="000000"/>
                <w:sz w:val="18"/>
                <w:szCs w:val="18"/>
              </w:rPr>
              <w:t>-4,0</w:t>
            </w:r>
          </w:p>
        </w:tc>
        <w:tc>
          <w:tcPr>
            <w:tcW w:w="748" w:type="dxa"/>
            <w:tcBorders>
              <w:top w:val="single" w:color="auto" w:sz="4" w:space="0"/>
              <w:left w:val="nil"/>
              <w:bottom w:val="nil"/>
              <w:right w:val="nil"/>
            </w:tcBorders>
            <w:noWrap/>
            <w:vAlign w:val="bottom"/>
            <w:hideMark/>
          </w:tcPr>
          <w:p w:rsidRPr="007747E6" w:rsidR="00040FAF" w:rsidP="00040FAF" w:rsidRDefault="00040FAF" w14:paraId="1EF88148" w14:textId="77777777">
            <w:pPr>
              <w:jc w:val="right"/>
              <w:rPr>
                <w:b/>
                <w:bCs/>
                <w:color w:val="000000"/>
                <w:sz w:val="18"/>
                <w:szCs w:val="18"/>
              </w:rPr>
            </w:pPr>
            <w:r w:rsidRPr="007747E6">
              <w:rPr>
                <w:b/>
                <w:bCs/>
                <w:color w:val="000000"/>
                <w:sz w:val="18"/>
                <w:szCs w:val="18"/>
              </w:rPr>
              <w:t>-4,2</w:t>
            </w:r>
          </w:p>
        </w:tc>
        <w:tc>
          <w:tcPr>
            <w:tcW w:w="594" w:type="dxa"/>
            <w:tcBorders>
              <w:top w:val="single" w:color="auto" w:sz="4" w:space="0"/>
              <w:left w:val="nil"/>
              <w:bottom w:val="nil"/>
              <w:right w:val="nil"/>
            </w:tcBorders>
            <w:noWrap/>
            <w:vAlign w:val="bottom"/>
            <w:hideMark/>
          </w:tcPr>
          <w:p w:rsidRPr="007211E7" w:rsidR="00040FAF" w:rsidP="00040FAF" w:rsidRDefault="00040FAF" w14:paraId="3E846738" w14:textId="77777777">
            <w:pPr>
              <w:jc w:val="right"/>
              <w:rPr>
                <w:color w:val="000000"/>
                <w:sz w:val="18"/>
                <w:szCs w:val="18"/>
              </w:rPr>
            </w:pPr>
            <w:r w:rsidRPr="007211E7">
              <w:rPr>
                <w:color w:val="000000"/>
                <w:sz w:val="18"/>
                <w:szCs w:val="18"/>
              </w:rPr>
              <w:t> </w:t>
            </w:r>
          </w:p>
        </w:tc>
      </w:tr>
      <w:tr w:rsidRPr="007211E7" w:rsidR="00040FAF" w:rsidTr="00040FAF" w14:paraId="0D979CCD" w14:textId="77777777">
        <w:trPr>
          <w:trHeight w:val="270"/>
        </w:trPr>
        <w:tc>
          <w:tcPr>
            <w:tcW w:w="1927" w:type="dxa"/>
            <w:vMerge/>
            <w:tcBorders>
              <w:top w:val="single" w:color="auto" w:sz="4" w:space="0"/>
              <w:left w:val="nil"/>
              <w:bottom w:val="single" w:color="auto" w:sz="12" w:space="0"/>
              <w:right w:val="nil"/>
            </w:tcBorders>
            <w:vAlign w:val="center"/>
            <w:hideMark/>
          </w:tcPr>
          <w:p w:rsidRPr="007211E7" w:rsidR="00040FAF" w:rsidP="00040FAF" w:rsidRDefault="00040FAF" w14:paraId="49BCCDB3" w14:textId="77777777">
            <w:pPr>
              <w:rPr>
                <w:color w:val="000000"/>
                <w:sz w:val="18"/>
                <w:szCs w:val="18"/>
              </w:rPr>
            </w:pPr>
          </w:p>
        </w:tc>
        <w:tc>
          <w:tcPr>
            <w:tcW w:w="487" w:type="dxa"/>
            <w:tcBorders>
              <w:top w:val="nil"/>
              <w:left w:val="nil"/>
              <w:bottom w:val="single" w:color="auto" w:sz="12" w:space="0"/>
              <w:right w:val="nil"/>
            </w:tcBorders>
            <w:shd w:val="clear" w:color="000000" w:fill="F2F2F2"/>
            <w:noWrap/>
            <w:vAlign w:val="bottom"/>
            <w:hideMark/>
          </w:tcPr>
          <w:p w:rsidRPr="007211E7" w:rsidR="00040FAF" w:rsidP="00040FAF" w:rsidRDefault="00040FAF" w14:paraId="6B2C32E7" w14:textId="77777777">
            <w:pPr>
              <w:rPr>
                <w:color w:val="000000"/>
                <w:sz w:val="18"/>
                <w:szCs w:val="18"/>
              </w:rPr>
            </w:pPr>
            <w:r w:rsidRPr="007211E7">
              <w:rPr>
                <w:color w:val="000000"/>
                <w:sz w:val="18"/>
                <w:szCs w:val="18"/>
              </w:rPr>
              <w:t>BSP</w:t>
            </w:r>
          </w:p>
        </w:tc>
        <w:tc>
          <w:tcPr>
            <w:tcW w:w="748" w:type="dxa"/>
            <w:tcBorders>
              <w:top w:val="nil"/>
              <w:left w:val="nil"/>
              <w:bottom w:val="single" w:color="auto" w:sz="12" w:space="0"/>
              <w:right w:val="nil"/>
            </w:tcBorders>
            <w:shd w:val="clear" w:color="000000" w:fill="F2F2F2"/>
            <w:noWrap/>
            <w:vAlign w:val="bottom"/>
            <w:hideMark/>
          </w:tcPr>
          <w:p w:rsidRPr="007211E7" w:rsidR="00040FAF" w:rsidP="00040FAF" w:rsidRDefault="00040FAF" w14:paraId="19A9B0D2" w14:textId="77777777">
            <w:pPr>
              <w:jc w:val="right"/>
              <w:rPr>
                <w:color w:val="000000"/>
                <w:sz w:val="18"/>
                <w:szCs w:val="18"/>
              </w:rPr>
            </w:pPr>
            <w:r w:rsidRPr="007211E7">
              <w:rPr>
                <w:color w:val="000000"/>
                <w:sz w:val="18"/>
                <w:szCs w:val="18"/>
              </w:rPr>
              <w:t>-1,8</w:t>
            </w:r>
          </w:p>
        </w:tc>
        <w:tc>
          <w:tcPr>
            <w:tcW w:w="748" w:type="dxa"/>
            <w:tcBorders>
              <w:top w:val="nil"/>
              <w:left w:val="nil"/>
              <w:bottom w:val="single" w:color="auto" w:sz="12" w:space="0"/>
              <w:right w:val="nil"/>
            </w:tcBorders>
            <w:shd w:val="clear" w:color="000000" w:fill="F2F2F2"/>
            <w:noWrap/>
            <w:vAlign w:val="bottom"/>
            <w:hideMark/>
          </w:tcPr>
          <w:p w:rsidRPr="007211E7" w:rsidR="00040FAF" w:rsidP="00040FAF" w:rsidRDefault="00040FAF" w14:paraId="1DF12728" w14:textId="77777777">
            <w:pPr>
              <w:jc w:val="right"/>
              <w:rPr>
                <w:color w:val="000000"/>
                <w:sz w:val="18"/>
                <w:szCs w:val="18"/>
              </w:rPr>
            </w:pPr>
            <w:r w:rsidRPr="007211E7">
              <w:rPr>
                <w:color w:val="000000"/>
                <w:sz w:val="18"/>
                <w:szCs w:val="18"/>
              </w:rPr>
              <w:t>-2,0</w:t>
            </w:r>
          </w:p>
        </w:tc>
        <w:tc>
          <w:tcPr>
            <w:tcW w:w="748" w:type="dxa"/>
            <w:tcBorders>
              <w:top w:val="nil"/>
              <w:left w:val="nil"/>
              <w:bottom w:val="single" w:color="auto" w:sz="12" w:space="0"/>
              <w:right w:val="nil"/>
            </w:tcBorders>
            <w:shd w:val="clear" w:color="000000" w:fill="F2F2F2"/>
            <w:noWrap/>
            <w:vAlign w:val="bottom"/>
            <w:hideMark/>
          </w:tcPr>
          <w:p w:rsidRPr="007211E7" w:rsidR="00040FAF" w:rsidP="00040FAF" w:rsidRDefault="00040FAF" w14:paraId="4777EC38" w14:textId="77777777">
            <w:pPr>
              <w:jc w:val="right"/>
              <w:rPr>
                <w:color w:val="000000"/>
                <w:sz w:val="18"/>
                <w:szCs w:val="18"/>
              </w:rPr>
            </w:pPr>
            <w:r w:rsidRPr="007211E7">
              <w:rPr>
                <w:color w:val="000000"/>
                <w:sz w:val="18"/>
                <w:szCs w:val="18"/>
              </w:rPr>
              <w:t>-2,2</w:t>
            </w:r>
          </w:p>
        </w:tc>
        <w:tc>
          <w:tcPr>
            <w:tcW w:w="748" w:type="dxa"/>
            <w:tcBorders>
              <w:top w:val="nil"/>
              <w:left w:val="nil"/>
              <w:bottom w:val="single" w:color="auto" w:sz="12" w:space="0"/>
              <w:right w:val="nil"/>
            </w:tcBorders>
            <w:shd w:val="clear" w:color="000000" w:fill="F2F2F2"/>
            <w:noWrap/>
            <w:vAlign w:val="bottom"/>
            <w:hideMark/>
          </w:tcPr>
          <w:p w:rsidRPr="007211E7" w:rsidR="00040FAF" w:rsidP="00040FAF" w:rsidRDefault="00040FAF" w14:paraId="5EADED25" w14:textId="77777777">
            <w:pPr>
              <w:jc w:val="right"/>
              <w:rPr>
                <w:color w:val="000000"/>
                <w:sz w:val="18"/>
                <w:szCs w:val="18"/>
              </w:rPr>
            </w:pPr>
            <w:r w:rsidRPr="007211E7">
              <w:rPr>
                <w:color w:val="000000"/>
                <w:sz w:val="18"/>
                <w:szCs w:val="18"/>
              </w:rPr>
              <w:t>-2,5</w:t>
            </w:r>
          </w:p>
        </w:tc>
        <w:tc>
          <w:tcPr>
            <w:tcW w:w="748" w:type="dxa"/>
            <w:tcBorders>
              <w:top w:val="nil"/>
              <w:left w:val="nil"/>
              <w:bottom w:val="single" w:color="auto" w:sz="12" w:space="0"/>
              <w:right w:val="nil"/>
            </w:tcBorders>
            <w:shd w:val="clear" w:color="000000" w:fill="F2F2F2"/>
            <w:noWrap/>
            <w:vAlign w:val="bottom"/>
            <w:hideMark/>
          </w:tcPr>
          <w:p w:rsidRPr="007211E7" w:rsidR="00040FAF" w:rsidP="00040FAF" w:rsidRDefault="00040FAF" w14:paraId="516F853F" w14:textId="77777777">
            <w:pPr>
              <w:jc w:val="right"/>
              <w:rPr>
                <w:color w:val="000000"/>
                <w:sz w:val="18"/>
                <w:szCs w:val="18"/>
              </w:rPr>
            </w:pPr>
            <w:r w:rsidRPr="007211E7">
              <w:rPr>
                <w:color w:val="000000"/>
                <w:sz w:val="18"/>
                <w:szCs w:val="18"/>
              </w:rPr>
              <w:t>-2,8</w:t>
            </w:r>
          </w:p>
        </w:tc>
        <w:tc>
          <w:tcPr>
            <w:tcW w:w="748" w:type="dxa"/>
            <w:tcBorders>
              <w:top w:val="nil"/>
              <w:left w:val="nil"/>
              <w:bottom w:val="single" w:color="auto" w:sz="12" w:space="0"/>
              <w:right w:val="nil"/>
            </w:tcBorders>
            <w:shd w:val="clear" w:color="000000" w:fill="F2F2F2"/>
            <w:noWrap/>
            <w:vAlign w:val="bottom"/>
            <w:hideMark/>
          </w:tcPr>
          <w:p w:rsidRPr="007211E7" w:rsidR="00040FAF" w:rsidP="00040FAF" w:rsidRDefault="00040FAF" w14:paraId="3E57B5CD" w14:textId="77777777">
            <w:pPr>
              <w:jc w:val="right"/>
              <w:rPr>
                <w:color w:val="000000"/>
                <w:sz w:val="18"/>
                <w:szCs w:val="18"/>
              </w:rPr>
            </w:pPr>
            <w:r w:rsidRPr="007211E7">
              <w:rPr>
                <w:color w:val="000000"/>
                <w:sz w:val="18"/>
                <w:szCs w:val="18"/>
              </w:rPr>
              <w:t>-2,8</w:t>
            </w:r>
          </w:p>
        </w:tc>
        <w:tc>
          <w:tcPr>
            <w:tcW w:w="748" w:type="dxa"/>
            <w:tcBorders>
              <w:top w:val="nil"/>
              <w:left w:val="nil"/>
              <w:bottom w:val="single" w:color="auto" w:sz="12" w:space="0"/>
              <w:right w:val="nil"/>
            </w:tcBorders>
            <w:shd w:val="clear" w:color="000000" w:fill="F2F2F2"/>
            <w:noWrap/>
            <w:vAlign w:val="bottom"/>
            <w:hideMark/>
          </w:tcPr>
          <w:p w:rsidRPr="007211E7" w:rsidR="00040FAF" w:rsidP="00040FAF" w:rsidRDefault="00040FAF" w14:paraId="45E6533D" w14:textId="77777777">
            <w:pPr>
              <w:jc w:val="right"/>
              <w:rPr>
                <w:color w:val="000000"/>
                <w:sz w:val="18"/>
                <w:szCs w:val="18"/>
              </w:rPr>
            </w:pPr>
            <w:r w:rsidRPr="007211E7">
              <w:rPr>
                <w:color w:val="000000"/>
                <w:sz w:val="18"/>
                <w:szCs w:val="18"/>
              </w:rPr>
              <w:t>-3,0</w:t>
            </w:r>
          </w:p>
        </w:tc>
        <w:tc>
          <w:tcPr>
            <w:tcW w:w="594" w:type="dxa"/>
            <w:tcBorders>
              <w:top w:val="nil"/>
              <w:left w:val="nil"/>
              <w:bottom w:val="single" w:color="auto" w:sz="12" w:space="0"/>
              <w:right w:val="nil"/>
            </w:tcBorders>
            <w:noWrap/>
            <w:vAlign w:val="bottom"/>
            <w:hideMark/>
          </w:tcPr>
          <w:p w:rsidRPr="007211E7" w:rsidR="00040FAF" w:rsidP="00040FAF" w:rsidRDefault="00040FAF" w14:paraId="301415DD" w14:textId="77777777">
            <w:pPr>
              <w:rPr>
                <w:color w:val="000000"/>
                <w:sz w:val="18"/>
                <w:szCs w:val="18"/>
              </w:rPr>
            </w:pPr>
            <w:r w:rsidRPr="007211E7">
              <w:rPr>
                <w:color w:val="000000"/>
                <w:sz w:val="18"/>
                <w:szCs w:val="18"/>
              </w:rPr>
              <w:t> </w:t>
            </w:r>
          </w:p>
        </w:tc>
      </w:tr>
      <w:tr w:rsidRPr="007211E7" w:rsidR="00040FAF" w:rsidTr="00040FAF" w14:paraId="6842ABA4" w14:textId="77777777">
        <w:trPr>
          <w:trHeight w:val="495"/>
        </w:trPr>
        <w:tc>
          <w:tcPr>
            <w:tcW w:w="8244" w:type="dxa"/>
            <w:gridSpan w:val="10"/>
            <w:tcBorders>
              <w:top w:val="single" w:color="auto" w:sz="12" w:space="0"/>
              <w:left w:val="nil"/>
              <w:bottom w:val="nil"/>
              <w:right w:val="nil"/>
            </w:tcBorders>
            <w:vAlign w:val="center"/>
            <w:hideMark/>
          </w:tcPr>
          <w:p w:rsidRPr="007211E7" w:rsidR="00040FAF" w:rsidP="00040FAF" w:rsidRDefault="00040FAF" w14:paraId="0C670BF7" w14:textId="77777777">
            <w:pPr>
              <w:rPr>
                <w:i/>
                <w:iCs/>
                <w:color w:val="000000"/>
                <w:sz w:val="18"/>
                <w:szCs w:val="18"/>
              </w:rPr>
            </w:pPr>
            <w:r w:rsidRPr="007211E7">
              <w:rPr>
                <w:i/>
                <w:iCs/>
                <w:color w:val="000000"/>
                <w:sz w:val="18"/>
                <w:szCs w:val="18"/>
              </w:rPr>
              <w:t>Bron: CPB (Centraal Economisch Plan 2026) en Ministerie van Financiën (BSP 2026-2030)</w:t>
            </w:r>
          </w:p>
        </w:tc>
      </w:tr>
    </w:tbl>
    <w:p w:rsidRPr="001E17B4" w:rsidR="00040FAF" w:rsidP="00040FAF" w:rsidRDefault="00040FAF" w14:paraId="60BF9329" w14:textId="77777777">
      <w:pPr>
        <w:rPr>
          <w:b/>
          <w:bCs/>
          <w:iCs/>
        </w:rPr>
      </w:pPr>
    </w:p>
    <w:p w:rsidR="00040FAF" w:rsidP="00040FAF" w:rsidRDefault="00040FAF" w14:paraId="307D6AE8" w14:textId="77777777">
      <w:pPr>
        <w:rPr>
          <w:iCs/>
        </w:rPr>
      </w:pPr>
      <w:r>
        <w:rPr>
          <w:iCs/>
        </w:rPr>
        <w:t xml:space="preserve">Dit verschil is van betekenis. De schuldhoudbaarheid op de middellange termijn is immers de kernvraag waarop de preventieve arm van het </w:t>
      </w:r>
      <w:proofErr w:type="gramStart"/>
      <w:r>
        <w:rPr>
          <w:iCs/>
        </w:rPr>
        <w:t>SGP antwoord</w:t>
      </w:r>
      <w:proofErr w:type="gramEnd"/>
      <w:r>
        <w:rPr>
          <w:iCs/>
        </w:rPr>
        <w:t xml:space="preserve"> beoogt te geven.</w:t>
      </w:r>
      <w:r>
        <w:rPr>
          <w:rStyle w:val="Voetnootmarkering"/>
          <w:iCs/>
        </w:rPr>
        <w:footnoteReference w:id="50"/>
      </w:r>
      <w:r>
        <w:rPr>
          <w:iCs/>
        </w:rPr>
        <w:t xml:space="preserve"> Een methodologische keuze die in het ene geval leidt tot een conclusie van houdbaarheid en in het andere geval tot de tegenovergestelde conclusie, vergt een grondige en transparante verantwoording. De Afdeling constateert dat die verantwoording ontbreekt in het BSP. Zo worden de projecties van het CPB tot en met 2039 niet weergegeven in het BSP. </w:t>
      </w:r>
    </w:p>
    <w:p w:rsidR="00040FAF" w:rsidP="00040FAF" w:rsidRDefault="00040FAF" w14:paraId="567B060B" w14:textId="77777777">
      <w:pPr>
        <w:rPr>
          <w:iCs/>
        </w:rPr>
      </w:pPr>
    </w:p>
    <w:p w:rsidR="00040FAF" w:rsidP="00040FAF" w:rsidRDefault="00040FAF" w14:paraId="48A3C3F0" w14:textId="77777777">
      <w:pPr>
        <w:rPr>
          <w:iCs/>
        </w:rPr>
      </w:pPr>
      <w:r>
        <w:rPr>
          <w:iCs/>
        </w:rPr>
        <w:t xml:space="preserve">Het kabinet heeft er bovendien voor gekozen om – binnen de rekenmethode van de Europese Commissie – op selectieve wijze CPB-cijfers in te voegen. Concreet zijn CPB-cijfers gebruikt voor de bbp-deflator vanaf het jaar 2027 en voor het structureel primair saldo vanaf 2025. Het effect van deze actualisatie is dat de geraamde cumulatieve netto-uitgavengroei uitkomt op precies 15,6% in 2029 </w:t>
      </w:r>
      <w:r w:rsidRPr="005F1ABE">
        <w:t>–</w:t>
      </w:r>
      <w:r>
        <w:rPr>
          <w:iCs/>
        </w:rPr>
        <w:t xml:space="preserve"> de maximale norm </w:t>
      </w:r>
      <w:r w:rsidRPr="005F1ABE">
        <w:t>–</w:t>
      </w:r>
      <w:r>
        <w:rPr>
          <w:iCs/>
        </w:rPr>
        <w:t xml:space="preserve"> en Nederland daarmee formeel aan de norm voldoet. </w:t>
      </w:r>
    </w:p>
    <w:p w:rsidR="00040FAF" w:rsidP="00040FAF" w:rsidRDefault="00040FAF" w14:paraId="4DA0B643" w14:textId="77777777">
      <w:pPr>
        <w:rPr>
          <w:iCs/>
        </w:rPr>
      </w:pPr>
    </w:p>
    <w:p w:rsidR="00040FAF" w:rsidP="00040FAF" w:rsidRDefault="00040FAF" w14:paraId="297D0DA5" w14:textId="77777777">
      <w:pPr>
        <w:rPr>
          <w:iCs/>
        </w:rPr>
      </w:pPr>
      <w:r>
        <w:rPr>
          <w:iCs/>
        </w:rPr>
        <w:t xml:space="preserve">Tot slot is het kabinet voor de berekening van de maximale netto-uitgavengroei uitgegaan van de macro-economische aannames en ramingen van de technische informatie van de Europese Commissie. Dit is consistent met de methodiek zoals deze door de Europese Commissie wordt gehanteerd. In de nationale context is echter in de Wet </w:t>
      </w:r>
      <w:proofErr w:type="gramStart"/>
      <w:r>
        <w:rPr>
          <w:iCs/>
        </w:rPr>
        <w:t>Hof  verankerd</w:t>
      </w:r>
      <w:proofErr w:type="gramEnd"/>
      <w:r>
        <w:rPr>
          <w:iCs/>
        </w:rPr>
        <w:t xml:space="preserve"> dat het ministerie van Financiën bij de raming van het EMU-saldo en EMU-schuld uitgaat van de macro-economische aannames van het CPB.</w:t>
      </w:r>
      <w:r>
        <w:rPr>
          <w:rStyle w:val="Voetnootmarkering"/>
          <w:iCs/>
        </w:rPr>
        <w:footnoteReference w:id="51"/>
      </w:r>
      <w:r>
        <w:rPr>
          <w:iCs/>
        </w:rPr>
        <w:t xml:space="preserve"> De keuze van het kabinet om  de methodiek van de Europese Commissie te volgen wijkt af van het nationale wettelijk verankerde uitgangspunt. Afwijking van de CPB-aannames als grondslag vereist ten minste </w:t>
      </w:r>
      <w:r>
        <w:rPr>
          <w:iCs/>
        </w:rPr>
        <w:lastRenderedPageBreak/>
        <w:t xml:space="preserve">een expliciete en gemotiveerde verantwoording in de begrotingsstukken. De Afdeling constateert dat die ontbreekt. </w:t>
      </w:r>
    </w:p>
    <w:p w:rsidR="00040FAF" w:rsidP="00040FAF" w:rsidRDefault="00040FAF" w14:paraId="3D813C99" w14:textId="77777777">
      <w:pPr>
        <w:rPr>
          <w:iCs/>
        </w:rPr>
      </w:pPr>
    </w:p>
    <w:p w:rsidR="00040FAF" w:rsidP="00040FAF" w:rsidRDefault="00040FAF" w14:paraId="21FE8244" w14:textId="193E7A84">
      <w:pPr>
        <w:rPr>
          <w:iCs/>
        </w:rPr>
      </w:pPr>
      <w:r>
        <w:rPr>
          <w:iCs/>
          <w:noProof/>
          <w14:ligatures w14:val="standardContextual"/>
        </w:rPr>
        <mc:AlternateContent>
          <mc:Choice Requires="wps">
            <w:drawing>
              <wp:inline distT="0" distB="0" distL="0" distR="0" wp14:anchorId="1CB3B66A" wp14:editId="33815160">
                <wp:extent cx="5591175" cy="3448050"/>
                <wp:effectExtent l="0" t="0" r="28575" b="19050"/>
                <wp:docPr id="1475993485" name="Tekstvak 1"/>
                <wp:cNvGraphicFramePr/>
                <a:graphic xmlns:a="http://schemas.openxmlformats.org/drawingml/2006/main">
                  <a:graphicData uri="http://schemas.microsoft.com/office/word/2010/wordprocessingShape">
                    <wps:wsp>
                      <wps:cNvSpPr txBox="1"/>
                      <wps:spPr>
                        <a:xfrm>
                          <a:off x="0" y="0"/>
                          <a:ext cx="5591175" cy="3448050"/>
                        </a:xfrm>
                        <a:prstGeom prst="rect">
                          <a:avLst/>
                        </a:prstGeom>
                        <a:solidFill>
                          <a:sysClr val="window" lastClr="FFFFFF"/>
                        </a:solidFill>
                        <a:ln w="6350">
                          <a:solidFill>
                            <a:prstClr val="black"/>
                          </a:solidFill>
                        </a:ln>
                      </wps:spPr>
                      <wps:txbx>
                        <w:txbxContent>
                          <w:p w:rsidR="00040FAF" w:rsidP="00040FAF" w:rsidRDefault="00040FAF" w14:paraId="34B7D886" w14:textId="77777777">
                            <w:pPr>
                              <w:rPr>
                                <w:b/>
                                <w:bCs/>
                              </w:rPr>
                            </w:pPr>
                            <w:r>
                              <w:rPr>
                                <w:b/>
                                <w:bCs/>
                              </w:rPr>
                              <w:t xml:space="preserve">Box 3: Verschillen CPB-methodiek en Commissie-methodiek </w:t>
                            </w:r>
                          </w:p>
                          <w:p w:rsidR="00040FAF" w:rsidP="00040FAF" w:rsidRDefault="00040FAF" w14:paraId="0BFA52E4" w14:textId="77777777">
                            <w:pPr>
                              <w:rPr>
                                <w:b/>
                                <w:bCs/>
                              </w:rPr>
                            </w:pPr>
                          </w:p>
                          <w:p w:rsidRPr="006A1A66" w:rsidR="00040FAF" w:rsidP="00040FAF" w:rsidRDefault="00040FAF" w14:paraId="1D4AAFE0" w14:textId="77777777">
                            <w:r w:rsidRPr="006A1A66">
                              <w:t xml:space="preserve">Veruit het grootste </w:t>
                            </w:r>
                            <w:r>
                              <w:t>ge</w:t>
                            </w:r>
                            <w:r w:rsidRPr="006A1A66">
                              <w:t>deel</w:t>
                            </w:r>
                            <w:r>
                              <w:t>te</w:t>
                            </w:r>
                            <w:r w:rsidRPr="006A1A66">
                              <w:t xml:space="preserve"> van het verschil tussen de raming van het CPB en de Commissie kan worden verklaard doordat het CPB rekening houdt met beleidsontwikkelingen in de komende jaren. De raming van de Commissie gaat uit van het structureel primair saldo (de overheidsuitgaven geschoond voor rentebetalingen en conjuncturele invloeden) in 2025 en telt hier de invloed van demografische effecten bij op. Vooral door vergrijzing verslechteren de overheidsfinanciën geleidelijk over de periode tot en met 2039. Het CPB houdt daarentegen rekening met aangekondigde beleidswijzigingen tot en met 2034 en houdt het structureel primair saldo daarna constant. Evenals de methode van de Commissie neemt het CPB ook nog vergrijzingskosten mee voor de jaren 2035-2039. </w:t>
                            </w:r>
                          </w:p>
                          <w:p w:rsidRPr="006A1A66" w:rsidR="00040FAF" w:rsidP="00040FAF" w:rsidRDefault="00040FAF" w14:paraId="5549DCF2" w14:textId="77777777"/>
                          <w:p w:rsidRPr="006A1A66" w:rsidR="00040FAF" w:rsidP="00040FAF" w:rsidRDefault="00040FAF" w14:paraId="0DAE0F14" w14:textId="77777777">
                            <w:r w:rsidRPr="006A1A66">
                              <w:t xml:space="preserve">De macro-economische veronderstellingen van het CPB en de Commissie verschillen voor de jaren 2025-2034. De raming van het CPB komt hier overeen met het CEP 2026. Voor de jaren na 2034 heeft het CPB de macro-economische veronderstellingen uit de </w:t>
                            </w:r>
                            <w:r w:rsidRPr="005039C9">
                              <w:rPr>
                                <w:i/>
                                <w:iCs/>
                              </w:rPr>
                              <w:t>Prior Guidance</w:t>
                            </w:r>
                            <w:r w:rsidRPr="006A1A66">
                              <w:t xml:space="preserve"> van de Commissie overgenomen.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8" style="width:440.25pt;height:271.5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" w14:anchorId="1CB3B66A">
                <v:textbox>
                  <w:txbxContent>
                    <w:p w:rsidR="00040FAF" w:rsidP="00040FAF" w:rsidRDefault="00040FAF" w14:paraId="34B7D886" w14:textId="77777777">
                      <w:pPr>
                        <w:rPr>
                          <w:b/>
                          <w:bCs/>
                        </w:rPr>
                      </w:pPr>
                      <w:r>
                        <w:rPr>
                          <w:b/>
                          <w:bCs/>
                        </w:rPr>
                        <w:t xml:space="preserve">Box 3: Verschillen CPB-methodiek en Commissie-methodiek </w:t>
                      </w:r>
                    </w:p>
                    <w:p w:rsidR="00040FAF" w:rsidP="00040FAF" w:rsidRDefault="00040FAF" w14:paraId="0BFA52E4" w14:textId="77777777">
                      <w:pPr>
                        <w:rPr>
                          <w:b/>
                          <w:bCs/>
                        </w:rPr>
                      </w:pPr>
                    </w:p>
                    <w:p w:rsidRPr="006A1A66" w:rsidR="00040FAF" w:rsidP="00040FAF" w:rsidRDefault="00040FAF" w14:paraId="1D4AAFE0" w14:textId="77777777">
                      <w:r w:rsidRPr="006A1A66">
                        <w:t xml:space="preserve">Veruit het grootste </w:t>
                      </w:r>
                      <w:r>
                        <w:t>ge</w:t>
                      </w:r>
                      <w:r w:rsidRPr="006A1A66">
                        <w:t>deel</w:t>
                      </w:r>
                      <w:r>
                        <w:t>te</w:t>
                      </w:r>
                      <w:r w:rsidRPr="006A1A66">
                        <w:t xml:space="preserve"> van het verschil tussen de raming van het CPB en de Commissie kan worden verklaard doordat het CPB rekening houdt met beleidsontwikkelingen in de komende jaren. De raming van de Commissie gaat uit van het structureel primair saldo (de overheidsuitgaven geschoond voor rentebetalingen en conjuncturele invloeden) in 2025 en telt hier de invloed van demografische effecten bij op. Vooral door vergrijzing verslechteren de overheidsfinanciën geleidelijk over de periode tot en met 2039. Het CPB houdt daarentegen rekening met aangekondigde beleidswijzigingen tot en met 2034 en houdt het structureel primair saldo daarna constant. Evenals de methode van de Commissie neemt het CPB ook nog vergrijzingskosten mee voor de jaren 2035-2039. </w:t>
                      </w:r>
                    </w:p>
                    <w:p w:rsidRPr="006A1A66" w:rsidR="00040FAF" w:rsidP="00040FAF" w:rsidRDefault="00040FAF" w14:paraId="5549DCF2" w14:textId="77777777"/>
                    <w:p w:rsidRPr="006A1A66" w:rsidR="00040FAF" w:rsidP="00040FAF" w:rsidRDefault="00040FAF" w14:paraId="0DAE0F14" w14:textId="77777777">
                      <w:r w:rsidRPr="006A1A66">
                        <w:t xml:space="preserve">De macro-economische veronderstellingen van het CPB en de Commissie verschillen voor de jaren 2025-2034. De raming van het CPB komt hier overeen met het CEP 2026. Voor de jaren na 2034 heeft het CPB de macro-economische veronderstellingen uit de </w:t>
                      </w:r>
                      <w:r w:rsidRPr="005039C9">
                        <w:rPr>
                          <w:i/>
                          <w:iCs/>
                        </w:rPr>
                        <w:t>Prior Guidance</w:t>
                      </w:r>
                      <w:r w:rsidRPr="006A1A66">
                        <w:t xml:space="preserve"> van de Commissie overgenomen. </w:t>
                      </w:r>
                    </w:p>
                  </w:txbxContent>
                </v:textbox>
                <w10:anchorlock/>
              </v:shape>
            </w:pict>
          </mc:Fallback>
        </mc:AlternateContent>
      </w:r>
    </w:p>
    <w:p w:rsidR="00040FAF" w:rsidP="00040FAF" w:rsidRDefault="00040FAF" w14:paraId="3BD82586" w14:textId="77777777">
      <w:pPr>
        <w:rPr>
          <w:iCs/>
        </w:rPr>
      </w:pPr>
    </w:p>
    <w:p w:rsidR="00040FAF" w:rsidP="00040FAF" w:rsidRDefault="00040FAF" w14:paraId="6E244FB5" w14:textId="77777777">
      <w:pPr>
        <w:rPr>
          <w:i/>
        </w:rPr>
      </w:pPr>
      <w:r>
        <w:rPr>
          <w:i/>
        </w:rPr>
        <w:t xml:space="preserve">Gebreken van de gekozen aanpak </w:t>
      </w:r>
    </w:p>
    <w:p w:rsidR="00040FAF" w:rsidP="00040FAF" w:rsidRDefault="00040FAF" w14:paraId="241A7672" w14:textId="77777777">
      <w:pPr>
        <w:rPr>
          <w:iCs/>
        </w:rPr>
      </w:pPr>
      <w:r>
        <w:rPr>
          <w:iCs/>
        </w:rPr>
        <w:t>De gekozen aanpak</w:t>
      </w:r>
      <w:r w:rsidRPr="00057A08">
        <w:rPr>
          <w:iCs/>
        </w:rPr>
        <w:t xml:space="preserve"> leidt ertoe dat </w:t>
      </w:r>
      <w:r>
        <w:rPr>
          <w:iCs/>
        </w:rPr>
        <w:t>er schuld- en tekortc</w:t>
      </w:r>
      <w:r w:rsidRPr="00057A08">
        <w:rPr>
          <w:iCs/>
        </w:rPr>
        <w:t xml:space="preserve">ijfers circuleren die van elkaar afwijken. Het </w:t>
      </w:r>
      <w:r>
        <w:rPr>
          <w:iCs/>
        </w:rPr>
        <w:t xml:space="preserve">BSP </w:t>
      </w:r>
      <w:r w:rsidRPr="00057A08">
        <w:rPr>
          <w:iCs/>
        </w:rPr>
        <w:t>presenteert projecties op basis van de Commissie</w:t>
      </w:r>
      <w:r>
        <w:rPr>
          <w:iCs/>
        </w:rPr>
        <w:t>-</w:t>
      </w:r>
      <w:r w:rsidRPr="00057A08">
        <w:rPr>
          <w:iCs/>
        </w:rPr>
        <w:t xml:space="preserve">methode die een houdbaar beeld geven, terwijl de CPB-projecties — de standaardraming die de grondslag vormt voor het nationale begrotingsbeleid — een ongunstigere ontwikkeling laten zien. Door in het </w:t>
      </w:r>
      <w:r>
        <w:rPr>
          <w:iCs/>
        </w:rPr>
        <w:t>BSP</w:t>
      </w:r>
      <w:r w:rsidRPr="00057A08">
        <w:rPr>
          <w:iCs/>
        </w:rPr>
        <w:t xml:space="preserve"> de Commissie</w:t>
      </w:r>
      <w:r>
        <w:rPr>
          <w:iCs/>
        </w:rPr>
        <w:t>-</w:t>
      </w:r>
      <w:r w:rsidRPr="00057A08">
        <w:rPr>
          <w:iCs/>
        </w:rPr>
        <w:t>methode te hanteren — en zo nodig selectief CPB-cijfers in te voegen — wordt een beeld gecreëerd van houdbaarheid dat op basis van de CPB-ramingen niet wordt gedragen.</w:t>
      </w:r>
      <w:r>
        <w:rPr>
          <w:iCs/>
        </w:rPr>
        <w:t xml:space="preserve"> </w:t>
      </w:r>
      <w:r w:rsidRPr="00057A08">
        <w:rPr>
          <w:iCs/>
        </w:rPr>
        <w:t>Burgers, parlement en externe toezichthouders worden zo niet volledig en consistent geïnformeerd over de werkelijke budgettaire risico's op de middellange termijn. Het gelijktijdig in omloop zijn van deze twee uiteenlopende schuld</w:t>
      </w:r>
      <w:r>
        <w:rPr>
          <w:iCs/>
        </w:rPr>
        <w:t>- en tekort</w:t>
      </w:r>
      <w:r w:rsidRPr="00057A08">
        <w:rPr>
          <w:iCs/>
        </w:rPr>
        <w:t>cijfers, zonder dat de onderliggende keuzes helder worden verantwoord, kan leiden tot verwarring in het politieke en parlementaire debat over de werkelijke staat van de Nederlandse overheidsfinanciën.</w:t>
      </w:r>
    </w:p>
    <w:p w:rsidR="00040FAF" w:rsidP="00040FAF" w:rsidRDefault="00040FAF" w14:paraId="263EC64A" w14:textId="77777777">
      <w:pPr>
        <w:rPr>
          <w:iCs/>
        </w:rPr>
      </w:pPr>
    </w:p>
    <w:p w:rsidR="00040FAF" w:rsidP="00040FAF" w:rsidRDefault="00040FAF" w14:paraId="5149CB51" w14:textId="77777777">
      <w:pPr>
        <w:rPr>
          <w:iCs/>
        </w:rPr>
      </w:pPr>
      <w:r>
        <w:rPr>
          <w:iCs/>
        </w:rPr>
        <w:t xml:space="preserve">Bij de jaarlijkse monitoring zal het </w:t>
      </w:r>
      <w:proofErr w:type="spellStart"/>
      <w:r>
        <w:rPr>
          <w:iCs/>
        </w:rPr>
        <w:t>uitgavenpad</w:t>
      </w:r>
      <w:proofErr w:type="spellEnd"/>
      <w:r>
        <w:rPr>
          <w:iCs/>
        </w:rPr>
        <w:t xml:space="preserve"> (zodra het nieuwe </w:t>
      </w:r>
      <w:proofErr w:type="spellStart"/>
      <w:r>
        <w:rPr>
          <w:iCs/>
        </w:rPr>
        <w:t>uitgavenpad</w:t>
      </w:r>
      <w:proofErr w:type="spellEnd"/>
      <w:r>
        <w:rPr>
          <w:iCs/>
        </w:rPr>
        <w:t xml:space="preserve"> is vastgesteld door de Raad op basis van de aangepaste Commissie-methodiek worden afgezet tegen de onafhankelijke raming van de ontwikkeling van de netto-uitgaven van het CPB. Deze twee reeksen worden in de jaarlijkse monitoring met elkaar vergeleken, maar zijn vanwege de gekozen aanpak, ongelijksoortig van aard. </w:t>
      </w:r>
    </w:p>
    <w:p w:rsidR="00040FAF" w:rsidP="00040FAF" w:rsidRDefault="00040FAF" w14:paraId="1709B261" w14:textId="77777777">
      <w:pPr>
        <w:rPr>
          <w:iCs/>
        </w:rPr>
      </w:pPr>
    </w:p>
    <w:p w:rsidR="00040FAF" w:rsidP="00040FAF" w:rsidRDefault="00040FAF" w14:paraId="6A0CDF72" w14:textId="77777777">
      <w:pPr>
        <w:rPr>
          <w:iCs/>
        </w:rPr>
      </w:pPr>
      <w:r>
        <w:rPr>
          <w:iCs/>
        </w:rPr>
        <w:lastRenderedPageBreak/>
        <w:t>Tot slot biedt Verordening 2024/1263 lidstaten de mogelijkheid om in hun BSP af te wijken van de macro-economische aannames die ten grondslag liggen aan de technische informatie van de Commissie.</w:t>
      </w:r>
      <w:r>
        <w:rPr>
          <w:rStyle w:val="Voetnootmarkering"/>
          <w:iCs/>
        </w:rPr>
        <w:footnoteReference w:id="52"/>
      </w:r>
      <w:r>
        <w:rPr>
          <w:iCs/>
        </w:rPr>
        <w:t xml:space="preserve"> De verordening stelt daarbij als voorwaarde dat een dergelijk afwijken data-gedreven is, berust op deugdelijke economische argumenten en op transparante wijze wordt toegelicht en gemotiveerd. De bedoeling van deze overweging in bovenstaande verordening is dat een lidstaat een coherent en economisch consistent alternatief beeld presenteert dat als geheel beter aansluit bij de nationale omstandigheden. </w:t>
      </w:r>
    </w:p>
    <w:p w:rsidR="00040FAF" w:rsidP="00040FAF" w:rsidRDefault="00040FAF" w14:paraId="0AE4F8B3" w14:textId="77777777">
      <w:pPr>
        <w:rPr>
          <w:iCs/>
        </w:rPr>
      </w:pPr>
    </w:p>
    <w:p w:rsidR="00040FAF" w:rsidP="00040FAF" w:rsidRDefault="00040FAF" w14:paraId="0D25AE2B" w14:textId="77777777">
      <w:pPr>
        <w:rPr>
          <w:iCs/>
        </w:rPr>
      </w:pPr>
      <w:r>
        <w:rPr>
          <w:iCs/>
        </w:rPr>
        <w:t>Het is de vraag of de gekozen aanpak van het kabinet hieraan voldoet. Er is geen sprake van een samenhangende economisch gemotiveerde herziening van de onderliggende macro-economische aannames. In plaats daarvan zijn uitsluitend twee specifieke aannames geactualiseerd, met als uitkomst dat de geraamde netto-uitgavengroei uitkomt op de toegestane norm van cumulatief 15,6% in 2029. Een selectieve actualisatie staat op gespannen voet met de geest van de in de verordening geboden afwijkingsmogelijkheid en kan daarom moeilijk worden aangemerkt als data-gedreven en economische onderbouwde motivering die de verordening vereist.</w:t>
      </w:r>
    </w:p>
    <w:p w:rsidR="00040FAF" w:rsidP="00040FAF" w:rsidRDefault="00040FAF" w14:paraId="79975181" w14:textId="77777777">
      <w:pPr>
        <w:rPr>
          <w:iCs/>
        </w:rPr>
      </w:pPr>
    </w:p>
    <w:p w:rsidR="00040FAF" w:rsidP="00040FAF" w:rsidRDefault="00040FAF" w14:paraId="3D1EB04F" w14:textId="77777777">
      <w:pPr>
        <w:rPr>
          <w:i/>
        </w:rPr>
      </w:pPr>
      <w:r>
        <w:rPr>
          <w:i/>
        </w:rPr>
        <w:t>Conclusie</w:t>
      </w:r>
    </w:p>
    <w:p w:rsidRPr="009B79DA" w:rsidR="00040FAF" w:rsidP="00040FAF" w:rsidRDefault="00040FAF" w14:paraId="10C630E1" w14:textId="77777777">
      <w:pPr>
        <w:rPr>
          <w:b/>
          <w:bCs/>
          <w:iCs/>
        </w:rPr>
      </w:pPr>
      <w:r w:rsidRPr="009B79DA">
        <w:rPr>
          <w:b/>
          <w:bCs/>
          <w:iCs/>
        </w:rPr>
        <w:t xml:space="preserve">De Afdeling komt op basis van de voorgaande analyse op tot de volgende beoordeling: </w:t>
      </w:r>
    </w:p>
    <w:p w:rsidR="00040FAF" w:rsidP="00040FAF" w:rsidRDefault="00040FAF" w14:paraId="1E4DE1A9" w14:textId="77777777">
      <w:pPr>
        <w:rPr>
          <w:iCs/>
        </w:rPr>
      </w:pPr>
    </w:p>
    <w:p w:rsidR="00040FAF" w:rsidP="00040FAF" w:rsidRDefault="00040FAF" w14:paraId="2CD6D388" w14:textId="77777777">
      <w:pPr>
        <w:pStyle w:val="Lijstalinea"/>
        <w:numPr>
          <w:ilvl w:val="0"/>
          <w:numId w:val="15"/>
        </w:numPr>
        <w:ind w:left="284" w:hanging="142"/>
        <w:rPr>
          <w:iCs/>
        </w:rPr>
      </w:pPr>
      <w:r>
        <w:rPr>
          <w:iCs/>
        </w:rPr>
        <w:t xml:space="preserve">Zodra het nieuwe BSP op aanbevelen van de Commissie wordt vastgesteld door de Raad van de Europese Unie, voldoet het nieuwe BSP naar verwachting formeel aan de norm voor de cumulatieve netto-uitgavengroei zoals voortvloeiend uit de technische informatie van de Commissie. </w:t>
      </w:r>
    </w:p>
    <w:p w:rsidRPr="005A3DB3" w:rsidR="00040FAF" w:rsidP="00040FAF" w:rsidRDefault="00040FAF" w14:paraId="487DD8A7" w14:textId="77777777">
      <w:pPr>
        <w:pStyle w:val="Lijstalinea"/>
        <w:numPr>
          <w:ilvl w:val="0"/>
          <w:numId w:val="15"/>
        </w:numPr>
        <w:ind w:left="284" w:hanging="142"/>
        <w:rPr>
          <w:iCs/>
        </w:rPr>
      </w:pPr>
      <w:r>
        <w:rPr>
          <w:iCs/>
        </w:rPr>
        <w:t xml:space="preserve">Op basis van de CPB-raming – de wettelijk verankerde grondslag voor het nationale begrotingsbeleid en voor de Afdeling het cijfermatige uitgangspunt – overschrijden de overheidsschuld en het begrotingstekort op de middellange termijn de referentiewaarden. Het voorgestelde </w:t>
      </w:r>
      <w:proofErr w:type="spellStart"/>
      <w:r>
        <w:rPr>
          <w:iCs/>
        </w:rPr>
        <w:t>uitgavenpad</w:t>
      </w:r>
      <w:proofErr w:type="spellEnd"/>
      <w:r>
        <w:rPr>
          <w:iCs/>
        </w:rPr>
        <w:t xml:space="preserve"> is daarmee economisch niet houdbaar op de middellange termijn, ongeacht de verwachte formele uitkomst van de Commissie-methode. </w:t>
      </w:r>
    </w:p>
    <w:p w:rsidR="00040FAF" w:rsidP="00040FAF" w:rsidRDefault="00040FAF" w14:paraId="1EED6D1D" w14:textId="77777777">
      <w:pPr>
        <w:rPr>
          <w:iCs/>
        </w:rPr>
      </w:pPr>
    </w:p>
    <w:p w:rsidR="00040FAF" w:rsidP="00040FAF" w:rsidRDefault="00040FAF" w14:paraId="157FC156" w14:textId="77777777">
      <w:pPr>
        <w:rPr>
          <w:iCs/>
        </w:rPr>
      </w:pPr>
      <w:r>
        <w:rPr>
          <w:iCs/>
        </w:rPr>
        <w:t xml:space="preserve">Het budgetrecht van de Staten-Generaal – het grondwettelijk verankerde recht om de ontvangsten en uitgaven van het Rijk te autoriseren en te controleren – kan slechts effectief worden uitgeoefend </w:t>
      </w:r>
      <w:proofErr w:type="gramStart"/>
      <w:r>
        <w:rPr>
          <w:iCs/>
        </w:rPr>
        <w:t>indien</w:t>
      </w:r>
      <w:proofErr w:type="gramEnd"/>
      <w:r>
        <w:rPr>
          <w:iCs/>
        </w:rPr>
        <w:t xml:space="preserve"> de informatieverstrekking door het kabinet volledig, consistent en in overeenstemming is met het best beschikbare nationale beeld. </w:t>
      </w:r>
      <w:r w:rsidRPr="00CF1B0A">
        <w:rPr>
          <w:b/>
          <w:bCs/>
          <w:iCs/>
        </w:rPr>
        <w:t>Een presentatie die weliswaar boekhoud-technisch voldoet aan de Europese norm, maar die economisch niet wordt gedragen door de ramingen waarvan de regering zelf uitgaat, verdraagt zich niet met de eisen die aan een deugdelijk begrotingsproces mogen worden gesteld.</w:t>
      </w:r>
      <w:r>
        <w:rPr>
          <w:iCs/>
        </w:rPr>
        <w:t xml:space="preserve"> </w:t>
      </w:r>
    </w:p>
    <w:p w:rsidR="00040FAF" w:rsidP="00040FAF" w:rsidRDefault="00040FAF" w14:paraId="6128C4E0" w14:textId="77777777">
      <w:pPr>
        <w:rPr>
          <w:iCs/>
        </w:rPr>
      </w:pPr>
    </w:p>
    <w:p w:rsidR="00040FAF" w:rsidP="00040FAF" w:rsidRDefault="00040FAF" w14:paraId="7415ADE6" w14:textId="77777777">
      <w:pPr>
        <w:rPr>
          <w:iCs/>
        </w:rPr>
      </w:pPr>
      <w:r w:rsidRPr="00AF5E51">
        <w:rPr>
          <w:iCs/>
        </w:rPr>
        <w:t xml:space="preserve">De Afdeling </w:t>
      </w:r>
      <w:r w:rsidRPr="00B36938">
        <w:t>adviseert</w:t>
      </w:r>
      <w:r w:rsidRPr="00AF5E51">
        <w:rPr>
          <w:iCs/>
        </w:rPr>
        <w:t xml:space="preserve"> het kabinet om in de begrotingsstukken (nationaal en Europees) consequent de macro-economische uitgangspunten van het CPB te </w:t>
      </w:r>
      <w:r w:rsidRPr="00AF5E51">
        <w:rPr>
          <w:iCs/>
        </w:rPr>
        <w:lastRenderedPageBreak/>
        <w:t xml:space="preserve">hanteren als grondslag voor de ramingen van het EMU-saldo en de EMU-schuld, overeenkomstig de vereisten van de Wet Hof. Indien gemotiveerd wordt afgeweken van de CPB-ramingen, dient dit expliciet en volledig te worden verantwoord, met een toelichting op de aard, omvang en beleidsmatige betekenis van de verschillen. </w:t>
      </w:r>
    </w:p>
    <w:p w:rsidRPr="004E3F15" w:rsidR="00040FAF" w:rsidP="00040FAF" w:rsidRDefault="00040FAF" w14:paraId="7EBD394D" w14:textId="77777777">
      <w:pPr>
        <w:ind w:left="360"/>
        <w:rPr>
          <w:iCs/>
        </w:rPr>
      </w:pPr>
    </w:p>
    <w:p w:rsidRPr="00F36953" w:rsidR="00040FAF" w:rsidP="00040FAF" w:rsidRDefault="00040FAF" w14:paraId="3C4C3CC7" w14:textId="77777777">
      <w:pPr>
        <w:rPr>
          <w:u w:val="single"/>
        </w:rPr>
      </w:pPr>
      <w:r>
        <w:t>3</w:t>
      </w:r>
      <w:r w:rsidRPr="00D80728">
        <w:t xml:space="preserve">. </w:t>
      </w:r>
      <w:r w:rsidRPr="00D80728">
        <w:tab/>
      </w:r>
      <w:r w:rsidRPr="00F36953">
        <w:rPr>
          <w:u w:val="single"/>
        </w:rPr>
        <w:t xml:space="preserve">Toetsing aan de nationale begrotingsregels </w:t>
      </w:r>
    </w:p>
    <w:p w:rsidR="00040FAF" w:rsidP="00040FAF" w:rsidRDefault="00040FAF" w14:paraId="53C4773B" w14:textId="77777777"/>
    <w:p w:rsidR="00040FAF" w:rsidP="00040FAF" w:rsidRDefault="00040FAF" w14:paraId="331F0394" w14:textId="77777777">
      <w:r>
        <w:t xml:space="preserve">Bij de start van een nieuw kabinet worden de financiële afspraken uit een regeerdocument vastgelegd in een Startnota. </w:t>
      </w:r>
      <w:r w:rsidRPr="004F7994">
        <w:t>In de Startnota wordt het normatieve kader voor het begrotingsbeleid vastgesteld (de in een vierjarige cyclus vast te stellen begrotingsnormen en het uitgaven- en inkomstenkader) en worden afspraken gemaakt over het begrotingsbeleid zelf (de begrotingsregels die bepalen hoe, binnen de kaders, politieke keuzes worden gemaakt over de inkomsten en uitgaven).</w:t>
      </w:r>
      <w:r>
        <w:rPr>
          <w:rStyle w:val="Voetnootmarkering"/>
        </w:rPr>
        <w:footnoteReference w:id="53"/>
      </w:r>
    </w:p>
    <w:p w:rsidR="00040FAF" w:rsidP="00040FAF" w:rsidRDefault="00040FAF" w14:paraId="47D902E2" w14:textId="77777777"/>
    <w:p w:rsidR="00040FAF" w:rsidP="00040FAF" w:rsidRDefault="00040FAF" w14:paraId="6B5061D4" w14:textId="77777777">
      <w:r>
        <w:t>De Startnota is dit keer onderdeel van de Voorjaarsnota 2026.</w:t>
      </w:r>
      <w:r>
        <w:rPr>
          <w:rStyle w:val="Voetnootmarkering"/>
        </w:rPr>
        <w:footnoteReference w:id="54"/>
      </w:r>
      <w:r>
        <w:t xml:space="preserve"> </w:t>
      </w:r>
      <w:r w:rsidRPr="007B333E">
        <w:t xml:space="preserve">Met de publicatie van de Startnota </w:t>
      </w:r>
      <w:r>
        <w:t xml:space="preserve">annex Voorjaarsnota </w:t>
      </w:r>
      <w:r w:rsidRPr="007B333E">
        <w:t xml:space="preserve">krijgt het parlement de mogelijkheid om te reflecteren op het gekozen normatieve kader en de begrotingsregels voor de komende kabinetsperiode. </w:t>
      </w:r>
    </w:p>
    <w:p w:rsidRPr="00E861AE" w:rsidR="00040FAF" w:rsidP="00040FAF" w:rsidRDefault="00040FAF" w14:paraId="05C5F808" w14:textId="77777777">
      <w:pPr>
        <w:rPr>
          <w:b/>
          <w:bCs/>
        </w:rPr>
      </w:pPr>
    </w:p>
    <w:p w:rsidR="00040FAF" w:rsidP="00040FAF" w:rsidRDefault="00040FAF" w14:paraId="16C901AF" w14:textId="77777777">
      <w:r>
        <w:t xml:space="preserve">In een regulier begrotingsjaar toetst de Afdeling of de budgettaire besluitvorming voldoet aan de nationale begrotingsregels. De toetsing omvat onder andere de scheiding tussen inkomsten en uitgaven, de naleving van de uitgavenplafonds en de procedurele eisen van het begrotingsproces. Dit jaar is een dergelijke toetsing echter niet zinvol omdat het kabinet met de Voorjaarsnota inclusief de Startnota de budgettaire kaders voor de komende kabinetsperiode voor het eerst vaststelt. Per definitie sluiten dan de budgettaire kaders. </w:t>
      </w:r>
    </w:p>
    <w:p w:rsidR="00040FAF" w:rsidP="00040FAF" w:rsidRDefault="00040FAF" w14:paraId="38524195" w14:textId="77777777"/>
    <w:p w:rsidR="00040FAF" w:rsidP="00040FAF" w:rsidRDefault="00040FAF" w14:paraId="46AAD502" w14:textId="77777777">
      <w:r>
        <w:t xml:space="preserve">De in de Startnota gemaakte keuzes zijn echter bepalend voor de naleving van de nationale en Europese begrotingsregels gedurende de gehele kabinetsperiode. Daarom beziet de Afdeling in deze rapportage in hoeverre deze regels een solide en transparant kader bieden voor de budgettaire besluitvorming in de jaren die komen. </w:t>
      </w:r>
    </w:p>
    <w:p w:rsidR="00040FAF" w:rsidP="00040FAF" w:rsidRDefault="00040FAF" w14:paraId="22BA8C70" w14:textId="77777777"/>
    <w:p w:rsidRPr="002B537B" w:rsidR="00040FAF" w:rsidP="00040FAF" w:rsidRDefault="00040FAF" w14:paraId="69AA6EF0" w14:textId="77777777">
      <w:pPr>
        <w:rPr>
          <w:i/>
        </w:rPr>
      </w:pPr>
      <w:r w:rsidRPr="002B537B">
        <w:rPr>
          <w:i/>
        </w:rPr>
        <w:t xml:space="preserve">Reflectie op de Startnota </w:t>
      </w:r>
    </w:p>
    <w:p w:rsidR="00040FAF" w:rsidP="00040FAF" w:rsidRDefault="00040FAF" w14:paraId="4A6EED9D" w14:textId="77777777">
      <w:r>
        <w:t xml:space="preserve">In het bijzonder richt de Afdeling haar aandacht op twee samenhangende kwesties die de juridische en beleidsmatige onderbouwing van het begrotingsbeleid voor de komende kabinetsperiode raken: ten eerste de verhouding tussen de in de Startnota geformuleerde begrotingsregels en de verplichtingen die voortvloeien uit het SGP en de Wet houdbare </w:t>
      </w:r>
      <w:r>
        <w:lastRenderedPageBreak/>
        <w:t>overheidsfinanciën (Wet Hof) en ten tweede de onduidelijkheid over welk begrotingsanker gedurende de kabinetsperiode leidend is wanneer het EMU-saldo onder conjuncturele druk komt te staan.</w:t>
      </w:r>
    </w:p>
    <w:p w:rsidR="00040FAF" w:rsidP="00040FAF" w:rsidRDefault="00040FAF" w14:paraId="1C9E869D" w14:textId="77777777"/>
    <w:p w:rsidRPr="00EA11AB" w:rsidR="00040FAF" w:rsidP="00040FAF" w:rsidRDefault="00040FAF" w14:paraId="089F0211" w14:textId="77777777">
      <w:pPr>
        <w:rPr>
          <w:i/>
          <w:iCs/>
        </w:rPr>
      </w:pPr>
      <w:r w:rsidRPr="00EA11AB">
        <w:rPr>
          <w:i/>
          <w:iCs/>
        </w:rPr>
        <w:t>Verduidelijk de verhouding tussen de begrotingsregels en de Europese en nationale wettelijke verplichtingen…</w:t>
      </w:r>
    </w:p>
    <w:p w:rsidR="00040FAF" w:rsidP="00040FAF" w:rsidRDefault="00040FAF" w14:paraId="571EEF29" w14:textId="77777777"/>
    <w:p w:rsidR="00040FAF" w:rsidP="00040FAF" w:rsidRDefault="00040FAF" w14:paraId="58C9DF72" w14:textId="77777777">
      <w:r>
        <w:t xml:space="preserve">In de Startnota stelt het kabinet dat het zich houdt aan de Europese begrotingsafspraken uit het SGP, waaronder de grenswaarden voor het begrotingstekort (3% bbp) en de overheidsschuld (60% bbp). Afwijking van het voorgeschreven </w:t>
      </w:r>
      <w:proofErr w:type="spellStart"/>
      <w:r>
        <w:t>uitgavenpad</w:t>
      </w:r>
      <w:proofErr w:type="spellEnd"/>
      <w:r>
        <w:t xml:space="preserve"> lijkt in de Startnota als geoorloofd te worden beschouwd als het EMU-saldo en de EMU-schuld binnen de Europese grenswaarden blijven.</w:t>
      </w:r>
    </w:p>
    <w:p w:rsidRPr="008517A8" w:rsidR="00040FAF" w:rsidP="00040FAF" w:rsidRDefault="00040FAF" w14:paraId="538DF34D" w14:textId="77777777">
      <w:pPr>
        <w:rPr>
          <w:b/>
          <w:bCs/>
        </w:rPr>
      </w:pPr>
    </w:p>
    <w:p w:rsidR="00040FAF" w:rsidP="00040FAF" w:rsidRDefault="00040FAF" w14:paraId="07BBB77A" w14:textId="77777777">
      <w:r w:rsidRPr="008517A8">
        <w:rPr>
          <w:b/>
          <w:bCs/>
        </w:rPr>
        <w:t>De Afdeling stelt vast dat de in de Startnota gekozen formulering afwijkt van de Europese begrotingsregels zoals neergelegd in de SGP-verordeningen</w:t>
      </w:r>
      <w:r>
        <w:t>, in het bijzonder de preventieve arm, en van trendmatig begrotingsbeleid (sturen op kaders: de Zalmnorm). Het SGP verplicht lidstaten immers tot indienen van een BSP met een netto-</w:t>
      </w:r>
      <w:proofErr w:type="spellStart"/>
      <w:r>
        <w:t>uitgavenpad</w:t>
      </w:r>
      <w:proofErr w:type="spellEnd"/>
      <w:r>
        <w:t xml:space="preserve"> dat voldoet aan de vereisten om de overheidsschuld en het begrotingstekort op de middellange termijn onder de referentiewaarden te houden.</w:t>
      </w:r>
      <w:r>
        <w:rPr>
          <w:rStyle w:val="Voetnootmarkering"/>
        </w:rPr>
        <w:footnoteReference w:id="55"/>
      </w:r>
      <w:r>
        <w:t xml:space="preserve"> Naleving van dit </w:t>
      </w:r>
      <w:proofErr w:type="spellStart"/>
      <w:r>
        <w:t>uitgavenpad</w:t>
      </w:r>
      <w:proofErr w:type="spellEnd"/>
      <w:r>
        <w:t xml:space="preserve"> is niet vrijblijvend, ook niet als het EMU-saldo en de EMU-schuld onder de referentiewaarden blijven; het </w:t>
      </w:r>
      <w:proofErr w:type="spellStart"/>
      <w:r>
        <w:t>uitgavenpad</w:t>
      </w:r>
      <w:proofErr w:type="spellEnd"/>
      <w:r>
        <w:t xml:space="preserve"> is de operationele sturingsvariabele van de preventieve arm en als zodanig bindend voor de lidstaat.</w:t>
      </w:r>
    </w:p>
    <w:p w:rsidR="00040FAF" w:rsidP="00040FAF" w:rsidRDefault="00040FAF" w14:paraId="477A8961" w14:textId="77777777"/>
    <w:p w:rsidR="00040FAF" w:rsidP="00040FAF" w:rsidRDefault="00040FAF" w14:paraId="42F521B5" w14:textId="77777777">
      <w:r>
        <w:t>De door de Raad van de Europese Unie aanbevolen uitgavenregel is bovendien ook in het nationale recht verankerd. De Wet Hof bepaalt dat het voeren van trendmatig begrotingsbeleid geschiedt met inachtneming van het door de Raad van de Europese Unie voor Nederland aanbevolen netto-</w:t>
      </w:r>
      <w:proofErr w:type="spellStart"/>
      <w:r>
        <w:t>uitgavenpad</w:t>
      </w:r>
      <w:proofErr w:type="spellEnd"/>
      <w:r>
        <w:t>.</w:t>
      </w:r>
      <w:r>
        <w:rPr>
          <w:rStyle w:val="Voetnootmarkering"/>
        </w:rPr>
        <w:footnoteReference w:id="56"/>
      </w:r>
      <w:r>
        <w:t xml:space="preserve"> De formulering in de Startnota — waarbij afwijking van het </w:t>
      </w:r>
      <w:proofErr w:type="spellStart"/>
      <w:r>
        <w:t>uitgavenpad</w:t>
      </w:r>
      <w:proofErr w:type="spellEnd"/>
      <w:r>
        <w:t xml:space="preserve"> als geoorloofd lijkt te worden beschouwd zolang de referentiewaarden van de correctieve arm niet worden overschreden — staat daarmee niet alleen op gespannen voet met het SGP, maar is </w:t>
      </w:r>
      <w:r w:rsidRPr="0021778E">
        <w:rPr>
          <w:b/>
          <w:bCs/>
        </w:rPr>
        <w:t>ook niet in overeenstemming met de Wet Hof</w:t>
      </w:r>
      <w:r>
        <w:t>.</w:t>
      </w:r>
    </w:p>
    <w:p w:rsidR="00040FAF" w:rsidP="00040FAF" w:rsidRDefault="00040FAF" w14:paraId="511B03EE" w14:textId="77777777"/>
    <w:p w:rsidR="00040FAF" w:rsidP="00040FAF" w:rsidRDefault="00040FAF" w14:paraId="14729FE0" w14:textId="77777777">
      <w:r>
        <w:t xml:space="preserve">De Afdeling onderkent dat de Europese Commissie formeel pas handhavingsmaatregelen kan inzetten op het moment dat een lidstaat de begrotingsnormen overschrijdt, of wanneer de afwijkingen van het </w:t>
      </w:r>
      <w:proofErr w:type="spellStart"/>
      <w:r>
        <w:t>uitgavenpad</w:t>
      </w:r>
      <w:proofErr w:type="spellEnd"/>
      <w:r>
        <w:t xml:space="preserve"> de drempelwaarden in de controlerekening overschrijden. Dit neemt echter niet weg dat afwijking van het aanbevolen </w:t>
      </w:r>
      <w:proofErr w:type="spellStart"/>
      <w:r>
        <w:t>uitgavenpad</w:t>
      </w:r>
      <w:proofErr w:type="spellEnd"/>
      <w:r>
        <w:t xml:space="preserve"> — ook wanneer het tekort en de schuld op de korte termijn binnen de referentiewaarden blijven — op gespannen voet staat met de vereisten van het SGP. Handhaving en normstelling </w:t>
      </w:r>
      <w:r>
        <w:lastRenderedPageBreak/>
        <w:t>zijn in dit opzicht te onderscheiden: het ontbreken van een onmiddellijke sanctie doet niet af aan de verplichting tot naleving.</w:t>
      </w:r>
      <w:r>
        <w:rPr>
          <w:rStyle w:val="Voetnootmarkering"/>
        </w:rPr>
        <w:footnoteReference w:id="57"/>
      </w:r>
    </w:p>
    <w:p w:rsidR="00040FAF" w:rsidP="00040FAF" w:rsidRDefault="00040FAF" w14:paraId="0C6C02C2" w14:textId="77777777"/>
    <w:p w:rsidR="00040FAF" w:rsidP="00040FAF" w:rsidRDefault="00040FAF" w14:paraId="26B290AA" w14:textId="77777777">
      <w:r>
        <w:t xml:space="preserve">De Afdeling </w:t>
      </w:r>
      <w:r w:rsidRPr="00B36938">
        <w:t>adviseert</w:t>
      </w:r>
      <w:r>
        <w:t xml:space="preserve"> het kabinet de formulering in de Startnota — en de daaruit voortvloeiende begrotingsregels voor de kabinetsperiode — te verduidelijken en zo nodig aan te passen, zodat ondubbelzinnig blijkt dat het geformuleerde begrotingsbeleid in overeenstemming is met de verplichtingen uit het SGP en de Wet Hof.</w:t>
      </w:r>
    </w:p>
    <w:p w:rsidR="00040FAF" w:rsidP="00040FAF" w:rsidRDefault="00040FAF" w14:paraId="2B648879" w14:textId="77777777"/>
    <w:p w:rsidR="00040FAF" w:rsidP="00040FAF" w:rsidRDefault="00040FAF" w14:paraId="4AD46512" w14:textId="0CEECB56">
      <w:r>
        <w:rPr>
          <w:noProof/>
        </w:rPr>
        <mc:AlternateContent>
          <mc:Choice Requires="wps">
            <w:drawing>
              <wp:inline distT="0" distB="0" distL="0" distR="0" wp14:anchorId="34EB080B" wp14:editId="37A070AD">
                <wp:extent cx="5368925" cy="4110355"/>
                <wp:effectExtent l="0" t="0" r="22225" b="23495"/>
                <wp:docPr id="2121357636" name="Tekstvak 1"/>
                <wp:cNvGraphicFramePr/>
                <a:graphic xmlns:a="http://schemas.openxmlformats.org/drawingml/2006/main">
                  <a:graphicData uri="http://schemas.microsoft.com/office/word/2010/wordprocessingShape">
                    <wps:wsp>
                      <wps:cNvSpPr txBox="1"/>
                      <wps:spPr>
                        <a:xfrm>
                          <a:off x="0" y="0"/>
                          <a:ext cx="5368925" cy="4110355"/>
                        </a:xfrm>
                        <a:prstGeom prst="rect">
                          <a:avLst/>
                        </a:prstGeom>
                        <a:solidFill>
                          <a:sysClr val="window" lastClr="FFFFFF"/>
                        </a:solidFill>
                        <a:ln w="6350">
                          <a:solidFill>
                            <a:prstClr val="black"/>
                          </a:solidFill>
                        </a:ln>
                      </wps:spPr>
                      <wps:txbx>
                        <w:txbxContent>
                          <w:p w:rsidR="00040FAF" w:rsidP="00040FAF" w:rsidRDefault="00040FAF" w14:paraId="6985199A" w14:textId="77777777">
                            <w:r>
                              <w:rPr>
                                <w:b/>
                                <w:bCs/>
                              </w:rPr>
                              <w:t xml:space="preserve">Box 4: Naleving van het uitgavenpad in het Stabiliteits- en Groeipact </w:t>
                            </w:r>
                          </w:p>
                          <w:p w:rsidR="00040FAF" w:rsidP="00040FAF" w:rsidRDefault="00040FAF" w14:paraId="323410A6" w14:textId="77777777"/>
                          <w:p w:rsidR="00040FAF" w:rsidP="00040FAF" w:rsidRDefault="00040FAF" w14:paraId="126F72C5" w14:textId="77777777">
                            <w:r>
                              <w:t>Het herziene Europese begrotingsraamwerk kent één operationele sturingsvariabele voor de preventieve arm: het landspecifieke netto primaire gefinancierde uitgavenpad, vastgelegd in het BSP voor de middellange termijn en bekrachtigd via een aanbeveling van de Raad van de Europese Unie. Dit pad schrijft voor met welke maximale groei de netto primaire uitgaven jaarlijks mogen stijgen om de overheidsfinanciën op middellange termijn houdbaar te houden.</w:t>
                            </w:r>
                          </w:p>
                          <w:p w:rsidR="00040FAF" w:rsidP="00040FAF" w:rsidRDefault="00040FAF" w14:paraId="5892A776" w14:textId="77777777"/>
                          <w:p w:rsidR="00040FAF" w:rsidP="00040FAF" w:rsidRDefault="00040FAF" w14:paraId="0D2F470B" w14:textId="77777777">
                            <w:r>
                              <w:t>De logica van de preventieve arm is dat lidstaten sturen op het uitgavenpad zolang het tekort en de schuld binnen de referentiewaarden zijn — dat wil zeggen: de preventieve arm werkt vóór de correctieve arm. Een benadering waarbij het uitgavenpad alleen leidend is als aanvullende voorwaarde bij dreigende overschrijding van de correctieve-armnormen, miskent deze functie. Zij reduceert de preventieve arm feitelijk tot een verlengstuk van de correctieve arm, wat in strijd is met de opzet van het herziene raamwerk.</w:t>
                            </w:r>
                          </w:p>
                          <w:p w:rsidR="00040FAF" w:rsidP="00040FAF" w:rsidRDefault="00040FAF" w14:paraId="69C5170F" w14:textId="77777777"/>
                          <w:p w:rsidR="00040FAF" w:rsidP="00040FAF" w:rsidRDefault="00040FAF" w14:paraId="49127EC7" w14:textId="77777777">
                            <w:r>
                              <w:t>De Wet houdbare overheidsfinanciën sluit aan op het doel van de preventieve arm door te bepalen dat trendmatig begrotingsbeleid wordt gevoerd met inachtneming van het aanbevolen netto-uitgavenpad. Deze wettelijke verplichting geldt onafhankelijk van de vraag of het EMU-saldo of de EMU-schuld de referentiewaarden overschrijdt.</w:t>
                            </w:r>
                          </w:p>
                          <w:p w:rsidR="00040FAF" w:rsidP="00040FAF" w:rsidRDefault="00040FAF" w14:paraId="65967A7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style="width:422.75pt;height:323.65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" w14:anchorId="34EB080B">
                <v:textbox>
                  <w:txbxContent>
                    <w:p w:rsidR="00040FAF" w:rsidP="00040FAF" w:rsidRDefault="00040FAF" w14:paraId="6985199A" w14:textId="77777777">
                      <w:r>
                        <w:rPr>
                          <w:b/>
                          <w:bCs/>
                        </w:rPr>
                        <w:t xml:space="preserve">Box 4: Naleving van het uitgavenpad in het Stabiliteits- en Groeipact </w:t>
                      </w:r>
                    </w:p>
                    <w:p w:rsidR="00040FAF" w:rsidP="00040FAF" w:rsidRDefault="00040FAF" w14:paraId="323410A6" w14:textId="77777777"/>
                    <w:p w:rsidR="00040FAF" w:rsidP="00040FAF" w:rsidRDefault="00040FAF" w14:paraId="126F72C5" w14:textId="77777777">
                      <w:r>
                        <w:t>Het herziene Europese begrotingsraamwerk kent één operationele sturingsvariabele voor de preventieve arm: het landspecifieke netto primaire gefinancierde uitgavenpad, vastgelegd in het BSP voor de middellange termijn en bekrachtigd via een aanbeveling van de Raad van de Europese Unie. Dit pad schrijft voor met welke maximale groei de netto primaire uitgaven jaarlijks mogen stijgen om de overheidsfinanciën op middellange termijn houdbaar te houden.</w:t>
                      </w:r>
                    </w:p>
                    <w:p w:rsidR="00040FAF" w:rsidP="00040FAF" w:rsidRDefault="00040FAF" w14:paraId="5892A776" w14:textId="77777777"/>
                    <w:p w:rsidR="00040FAF" w:rsidP="00040FAF" w:rsidRDefault="00040FAF" w14:paraId="0D2F470B" w14:textId="77777777">
                      <w:r>
                        <w:t>De logica van de preventieve arm is dat lidstaten sturen op het uitgavenpad zolang het tekort en de schuld binnen de referentiewaarden zijn — dat wil zeggen: de preventieve arm werkt vóór de correctieve arm. Een benadering waarbij het uitgavenpad alleen leidend is als aanvullende voorwaarde bij dreigende overschrijding van de correctieve-armnormen, miskent deze functie. Zij reduceert de preventieve arm feitelijk tot een verlengstuk van de correctieve arm, wat in strijd is met de opzet van het herziene raamwerk.</w:t>
                      </w:r>
                    </w:p>
                    <w:p w:rsidR="00040FAF" w:rsidP="00040FAF" w:rsidRDefault="00040FAF" w14:paraId="69C5170F" w14:textId="77777777"/>
                    <w:p w:rsidR="00040FAF" w:rsidP="00040FAF" w:rsidRDefault="00040FAF" w14:paraId="49127EC7" w14:textId="77777777">
                      <w:r>
                        <w:t>De Wet houdbare overheidsfinanciën sluit aan op het doel van de preventieve arm door te bepalen dat trendmatig begrotingsbeleid wordt gevoerd met inachtneming van het aanbevolen netto-uitgavenpad. Deze wettelijke verplichting geldt onafhankelijk van de vraag of het EMU-saldo of de EMU-schuld de referentiewaarden overschrijdt.</w:t>
                      </w:r>
                    </w:p>
                    <w:p w:rsidR="00040FAF" w:rsidP="00040FAF" w:rsidRDefault="00040FAF" w14:paraId="65967A72" w14:textId="77777777"/>
                  </w:txbxContent>
                </v:textbox>
                <w10:anchorlock/>
              </v:shape>
            </w:pict>
          </mc:Fallback>
        </mc:AlternateContent>
      </w:r>
    </w:p>
    <w:p w:rsidR="00040FAF" w:rsidP="00040FAF" w:rsidRDefault="00040FAF" w14:paraId="51363895" w14:textId="77777777"/>
    <w:p w:rsidRPr="00DF5DE1" w:rsidR="00040FAF" w:rsidP="00040FAF" w:rsidRDefault="00040FAF" w14:paraId="28258C30" w14:textId="77777777">
      <w:pPr>
        <w:rPr>
          <w:i/>
          <w:iCs/>
        </w:rPr>
      </w:pPr>
      <w:r w:rsidRPr="00391C47">
        <w:rPr>
          <w:i/>
          <w:iCs/>
        </w:rPr>
        <w:t xml:space="preserve">… </w:t>
      </w:r>
      <w:r>
        <w:rPr>
          <w:i/>
        </w:rPr>
        <w:t xml:space="preserve">want </w:t>
      </w:r>
      <w:r w:rsidRPr="00DF5DE1">
        <w:rPr>
          <w:i/>
          <w:iCs/>
        </w:rPr>
        <w:t>consequente naleving van de Europese begrotingsregels is een voorwaarde voor de houdbaarheid van de overheidsfinanciën op de middellange termij</w:t>
      </w:r>
      <w:r>
        <w:rPr>
          <w:i/>
          <w:iCs/>
        </w:rPr>
        <w:t>n…</w:t>
      </w:r>
      <w:r w:rsidRPr="00DF5DE1">
        <w:rPr>
          <w:i/>
          <w:iCs/>
        </w:rPr>
        <w:t xml:space="preserve"> </w:t>
      </w:r>
    </w:p>
    <w:p w:rsidR="00040FAF" w:rsidP="00040FAF" w:rsidRDefault="00040FAF" w14:paraId="437FE208" w14:textId="77777777"/>
    <w:p w:rsidR="00040FAF" w:rsidP="00040FAF" w:rsidRDefault="00040FAF" w14:paraId="1C0F2985" w14:textId="77777777">
      <w:r>
        <w:t xml:space="preserve">De noodzaak om de begrotingsregels in overeenstemming te brengen met het SGP en de Wet Hof hangt nauw samen met een breder patroon dat de Afdeling waarneemt: het kabinet lijkt primair te sturen op het verankerde EMU-saldo en EMU-schuld. Dit is onwenselijk; het nieuwe Europese </w:t>
      </w:r>
      <w:proofErr w:type="spellStart"/>
      <w:r>
        <w:t>uitgavenpad</w:t>
      </w:r>
      <w:proofErr w:type="spellEnd"/>
      <w:r>
        <w:t xml:space="preserve"> als bindende norm komt onvoldoende tot uitdrukking en het nationale trendmatig begrotingsbeleid (Zalmnorm) gaat uit van handhaving van uitgavenkaders, niet van saldo-sturing. </w:t>
      </w:r>
    </w:p>
    <w:p w:rsidR="00040FAF" w:rsidP="00040FAF" w:rsidRDefault="00040FAF" w14:paraId="0CB89A47" w14:textId="77777777">
      <w:r w:rsidRPr="00733D24">
        <w:lastRenderedPageBreak/>
        <w:t xml:space="preserve">De trendmatige begrotingssystematiek met de daarin ingebedde automatische stabilisatoren is een instrument om de begroting op langere termijn houdbaar te houden: door in economisch moeilijke tijden niet direct te bezuinigen op de uitgaven wordt voorkomen dat tijdelijke tegenvallers leiden tot blijvende schade aan de economische structuur. Wie daarentegen </w:t>
      </w:r>
      <w:r>
        <w:t>EMU-saldo of EMU-schuld overwegingen leidend laat zijn</w:t>
      </w:r>
      <w:r w:rsidRPr="00733D24">
        <w:t xml:space="preserve"> — en bij verslechtering van dat saldo </w:t>
      </w:r>
      <w:r>
        <w:t xml:space="preserve">of schuld </w:t>
      </w:r>
      <w:r w:rsidRPr="00733D24">
        <w:t xml:space="preserve">corrigeert via bezuinigingen of lastenverzwaringen — voert procyclisch beleid dat deze stabiliserende werking ondermijnt. De rekening daarvan wordt uiteindelijk doorgeschoven naar volgende generaties. </w:t>
      </w:r>
    </w:p>
    <w:p w:rsidR="00040FAF" w:rsidP="00040FAF" w:rsidRDefault="00040FAF" w14:paraId="210349CC" w14:textId="77777777"/>
    <w:p w:rsidR="00040FAF" w:rsidP="00040FAF" w:rsidRDefault="00040FAF" w14:paraId="1632CCD6" w14:textId="77777777">
      <w:r w:rsidRPr="00733D24">
        <w:t xml:space="preserve">Het is daarom noodzakelijk dat het kabinet zich richt naar </w:t>
      </w:r>
      <w:r>
        <w:t xml:space="preserve">de geest van het nationale trendmatig begrotingsbeleid en naar </w:t>
      </w:r>
      <w:r w:rsidRPr="00733D24">
        <w:t xml:space="preserve">het nieuwe Europese </w:t>
      </w:r>
      <w:r>
        <w:t>begrotingsraamwerk</w:t>
      </w:r>
      <w:r w:rsidRPr="00733D24">
        <w:t xml:space="preserve">: niet als een administratieve verplichting, maar als een wezenlijke voorwaarde voor houdbare overheidsfinanciën op de </w:t>
      </w:r>
      <w:r>
        <w:t>middel</w:t>
      </w:r>
      <w:r w:rsidRPr="00733D24">
        <w:t xml:space="preserve">lange termijn. </w:t>
      </w:r>
    </w:p>
    <w:p w:rsidR="00040FAF" w:rsidP="00040FAF" w:rsidRDefault="00040FAF" w14:paraId="35E8EA49" w14:textId="77777777"/>
    <w:p w:rsidRPr="00E8513D" w:rsidR="00040FAF" w:rsidP="00040FAF" w:rsidRDefault="00040FAF" w14:paraId="4370C35E" w14:textId="77777777">
      <w:pPr>
        <w:rPr>
          <w:i/>
          <w:iCs/>
        </w:rPr>
      </w:pPr>
      <w:r>
        <w:rPr>
          <w:i/>
          <w:iCs/>
        </w:rPr>
        <w:t>…v</w:t>
      </w:r>
      <w:r w:rsidRPr="00E8513D">
        <w:rPr>
          <w:i/>
          <w:iCs/>
        </w:rPr>
        <w:t>erduidelijk daarom ook welk begrotingsanker gedurende de kabinetsperiode leidend is</w:t>
      </w:r>
    </w:p>
    <w:p w:rsidR="00040FAF" w:rsidP="00040FAF" w:rsidRDefault="00040FAF" w14:paraId="5803C69D" w14:textId="77777777"/>
    <w:p w:rsidR="00040FAF" w:rsidP="00040FAF" w:rsidRDefault="00040FAF" w14:paraId="23E74A3B" w14:textId="77777777">
      <w:r>
        <w:t xml:space="preserve">In het coalitieakkoord wordt een EMU-saldo van -2,1% bbp aan het einde van de regeerperiode gepresenteerd als de verwachte budgettaire uitkomst van het voorgenomen beleid. In de Startnota worden tegelijkertijd meerjarige uitgavenkaders vastgesteld </w:t>
      </w:r>
      <w:proofErr w:type="gramStart"/>
      <w:r>
        <w:t>conform</w:t>
      </w:r>
      <w:proofErr w:type="gramEnd"/>
      <w:r>
        <w:t xml:space="preserve"> de trendmatige begrotingssystematiek. </w:t>
      </w:r>
    </w:p>
    <w:p w:rsidR="00040FAF" w:rsidP="00040FAF" w:rsidRDefault="00040FAF" w14:paraId="7B178110" w14:textId="77777777">
      <w:r>
        <w:t xml:space="preserve">De trendmatige begrotingssystematiek veronderstelt dat gedurende de kabinetsperiode primair wordt gestuurd op de uitgavenkaders, niet op het feitelijke EMU-saldo. Dit is wezenlijk voor de automatische stabilisatiefunctie van de begroting: in economisch tegenvallende tijden dalen de belastingontvangsten, verslechtert het EMU-saldo, maar wordt niet bezuinigd om het saldo te verbeteren. Op die manier draagt de begroting bij aan economische stabilisatie. Ook is het EMU-saldo daarmee in beginsel een resultante van beleid en economische ontwikkeling, niet een richtinggevende doelstelling waarop begrotingsbesluitvorming is gebaseerd. </w:t>
      </w:r>
    </w:p>
    <w:p w:rsidR="00040FAF" w:rsidP="00040FAF" w:rsidRDefault="00040FAF" w14:paraId="4FBF3587" w14:textId="77777777"/>
    <w:p w:rsidR="00040FAF" w:rsidP="00040FAF" w:rsidRDefault="00040FAF" w14:paraId="7575597A" w14:textId="77777777">
      <w:r>
        <w:t>In de Startnota wordt echter niet expliciet gemaakt hoe wordt gehandeld indien het EMU-saldo gedurende de kabinetsperiode — als gevolg van conjuncturele tegenwind, hogere rente-uitgaven of niet-geraamde tegenvallers — verslechtert en in de richting van de Europese grenswaarden beweegt. Het is daardoor onduidelijk of in een dergelijke situatie onverkort wordt vastgehouden aan de uitgavenkaders, dan wel of alsnog wordt gestuurd op het EMU-saldo door aanpassing van uitgaven of inkomsten.</w:t>
      </w:r>
    </w:p>
    <w:p w:rsidR="00040FAF" w:rsidP="00040FAF" w:rsidRDefault="00040FAF" w14:paraId="31F68A91" w14:textId="77777777"/>
    <w:p w:rsidR="00040FAF" w:rsidP="00040FAF" w:rsidRDefault="00040FAF" w14:paraId="5A2EB038" w14:textId="77777777">
      <w:r>
        <w:t xml:space="preserve">De in het coalitieakkoord gepresenteerde EMU-saldodoelstelling van -2,1% bbp kan worden gelezen als een resultante, maar ook als een normstellende </w:t>
      </w:r>
      <w:r>
        <w:lastRenderedPageBreak/>
        <w:t>doelstelling.</w:t>
      </w:r>
      <w:r>
        <w:rPr>
          <w:rStyle w:val="Voetnootmarkering"/>
        </w:rPr>
        <w:footnoteReference w:id="58"/>
      </w:r>
      <w:r>
        <w:t xml:space="preserve"> Indien het kabinet in de praktijk de saldodoelstelling als normatief anker hanteert en op basis hiervan uitgaven bijstuurt of lasten verhoogt bij tegenvallende conjunctuur, wordt feitelijk procyclisch beleid gevoerd. Dit is wat de trendmatige begrotingssystematiek beoogt te voorkomen. Het ontbreken van een expliciete prioritering tussen kadersturing en saldosturing leidt ertoe dat niet vooraf inzichtelijk is welk anker in de praktijk leidend zal zijn. </w:t>
      </w:r>
    </w:p>
    <w:p w:rsidR="00040FAF" w:rsidP="00040FAF" w:rsidRDefault="00040FAF" w14:paraId="4C2B427D" w14:textId="77777777"/>
    <w:p w:rsidRPr="005258B7" w:rsidR="00040FAF" w:rsidP="00040FAF" w:rsidRDefault="00040FAF" w14:paraId="32A28FB3" w14:textId="77777777">
      <w:r w:rsidRPr="005258B7">
        <w:t xml:space="preserve">De Afdeling heeft in opeenvolgende adviezen </w:t>
      </w:r>
      <w:r w:rsidRPr="00B36938">
        <w:t>geadviseerd</w:t>
      </w:r>
      <w:r w:rsidRPr="005258B7">
        <w:t xml:space="preserve"> om, zowel ter </w:t>
      </w:r>
    </w:p>
    <w:p w:rsidRPr="005258B7" w:rsidR="00040FAF" w:rsidP="00040FAF" w:rsidRDefault="00040FAF" w14:paraId="216F9B26" w14:textId="77777777">
      <w:proofErr w:type="gramStart"/>
      <w:r w:rsidRPr="005258B7">
        <w:t>bevordering</w:t>
      </w:r>
      <w:proofErr w:type="gramEnd"/>
      <w:r w:rsidRPr="005258B7">
        <w:t xml:space="preserve"> van houdbare overheidsfinanciën als </w:t>
      </w:r>
      <w:r>
        <w:t xml:space="preserve">waarborging </w:t>
      </w:r>
      <w:r w:rsidRPr="005258B7">
        <w:t xml:space="preserve">van democratische </w:t>
      </w:r>
    </w:p>
    <w:p w:rsidR="00040FAF" w:rsidP="00040FAF" w:rsidRDefault="00040FAF" w14:paraId="519FC178" w14:textId="77777777">
      <w:proofErr w:type="gramStart"/>
      <w:r w:rsidRPr="005258B7">
        <w:t>besluitvorming</w:t>
      </w:r>
      <w:proofErr w:type="gramEnd"/>
      <w:r w:rsidRPr="005258B7">
        <w:t xml:space="preserve">, </w:t>
      </w:r>
      <w:r w:rsidRPr="00B36938">
        <w:t>het begrotingsbeleid vooraf transparant vast te stellen</w:t>
      </w:r>
      <w:r w:rsidRPr="005258B7">
        <w:t xml:space="preserve"> door budgettaire ankers voor het begrotingsbeleid</w:t>
      </w:r>
      <w:r>
        <w:t xml:space="preserve"> te benoemen</w:t>
      </w:r>
      <w:r w:rsidRPr="005258B7">
        <w:t>.</w:t>
      </w:r>
      <w:r>
        <w:rPr>
          <w:rStyle w:val="Voetnootmarkering"/>
        </w:rPr>
        <w:footnoteReference w:id="59"/>
      </w:r>
      <w:r>
        <w:t xml:space="preserve"> </w:t>
      </w:r>
    </w:p>
    <w:p w:rsidR="00040FAF" w:rsidP="00040FAF" w:rsidRDefault="00040FAF" w14:paraId="78CDE910" w14:textId="77777777"/>
    <w:p w:rsidR="00040FAF" w:rsidP="00040FAF" w:rsidRDefault="00040FAF" w14:paraId="0E730E2A" w14:textId="77777777">
      <w:r>
        <w:t xml:space="preserve">De Afdeling adviseert het kabinet expliciet te maken welk begrotingsanker gedurende de regeerperiode leidend is en hoe wordt gehandeld </w:t>
      </w:r>
      <w:proofErr w:type="gramStart"/>
      <w:r>
        <w:t>indien</w:t>
      </w:r>
      <w:proofErr w:type="gramEnd"/>
      <w:r>
        <w:t xml:space="preserve"> het EMU-saldo door conjuncturele ontwikkelingen onder druk komt te staan.</w:t>
      </w:r>
      <w:r>
        <w:br w:type="page"/>
      </w:r>
    </w:p>
    <w:p w:rsidR="00040FAF" w:rsidP="00040FAF" w:rsidRDefault="00040FAF" w14:paraId="6EF324C4" w14:textId="77777777">
      <w:pPr>
        <w:pStyle w:val="Lijstalinea"/>
        <w:numPr>
          <w:ilvl w:val="0"/>
          <w:numId w:val="4"/>
        </w:numPr>
        <w:ind w:left="709" w:hanging="709"/>
      </w:pPr>
      <w:r>
        <w:lastRenderedPageBreak/>
        <w:t>AANBEVELINGEN BIJ UITGAVEN- EN LASTENKADER</w:t>
      </w:r>
    </w:p>
    <w:p w:rsidR="00040FAF" w:rsidP="00040FAF" w:rsidRDefault="00040FAF" w14:paraId="00D6664C" w14:textId="77777777"/>
    <w:p w:rsidR="00040FAF" w:rsidP="00040FAF" w:rsidRDefault="00040FAF" w14:paraId="3C1F2516" w14:textId="77777777">
      <w:r>
        <w:t xml:space="preserve">De door de Afdeling gepresenteerde Europese en nationale evaluaties, zeker in het licht van de geschetste analyse, maken duidelijk dat bevordering van economische ontwikkeling én een begroting die binnen de grenzen van het voorgeschreven </w:t>
      </w:r>
      <w:proofErr w:type="spellStart"/>
      <w:r>
        <w:t>uitgavenpad</w:t>
      </w:r>
      <w:proofErr w:type="spellEnd"/>
      <w:r>
        <w:t xml:space="preserve"> blijft, van prioritair belang zijn voor gezonde overheidsfinanciën op middellange en langere termijn. Daarbij vraagt de haalbaarheid van de kabinetsvoornemens, bekeken vanuit de economische structuur, nadere aandacht. Daarmee komt de Afdeling tot de volgende aanbevelingen:</w:t>
      </w:r>
    </w:p>
    <w:p w:rsidR="00040FAF" w:rsidP="00040FAF" w:rsidRDefault="00040FAF" w14:paraId="11DE8EAB" w14:textId="77777777"/>
    <w:p w:rsidRPr="000A1624" w:rsidR="00040FAF" w:rsidP="00040FAF" w:rsidRDefault="00040FAF" w14:paraId="2213F49D" w14:textId="77777777">
      <w:pPr>
        <w:pStyle w:val="Lijstalinea"/>
        <w:numPr>
          <w:ilvl w:val="0"/>
          <w:numId w:val="19"/>
        </w:numPr>
        <w:ind w:hanging="720"/>
        <w:rPr>
          <w:u w:val="single"/>
        </w:rPr>
      </w:pPr>
      <w:bookmarkStart w:name="_Hlk225497687" w:id="0"/>
      <w:r w:rsidRPr="000A1624">
        <w:rPr>
          <w:u w:val="single"/>
        </w:rPr>
        <w:t>Analyseer nader of de economische structuur in lijn is met de ambities</w:t>
      </w:r>
      <w:bookmarkEnd w:id="0"/>
    </w:p>
    <w:p w:rsidRPr="009B0083" w:rsidR="00040FAF" w:rsidP="00040FAF" w:rsidRDefault="00040FAF" w14:paraId="729BF13D" w14:textId="77777777">
      <w:pPr>
        <w:rPr>
          <w:u w:val="single"/>
        </w:rPr>
      </w:pPr>
    </w:p>
    <w:p w:rsidR="00040FAF" w:rsidP="00040FAF" w:rsidRDefault="00040FAF" w14:paraId="6382B8EE" w14:textId="77777777">
      <w:r>
        <w:t>Het coalitieakkoord presenteert een aanzienlijk aantal ambities, met bijbehorende financiering. Die financiële representatie van voorgenomen beleid vertelt echter niet het hele verhaal. Ambities op het ene terrein hebben veelal invloed op andere terreinen. Beleidskeuzes op het gebied van zorg, defensie en innovatie hebben bijvoorbeeld gevolgen voor de vraag naar arbeid, de druk op het onderwijs of de arbeidsparticipatie. En de onbeantwoorde vraag is: zijn al die doelen wel tegelijkertijd haalbaar?</w:t>
      </w:r>
    </w:p>
    <w:p w:rsidR="00040FAF" w:rsidP="00040FAF" w:rsidRDefault="00040FAF" w14:paraId="28FD6166" w14:textId="77777777"/>
    <w:p w:rsidR="00040FAF" w:rsidP="00040FAF" w:rsidRDefault="00040FAF" w14:paraId="1B8E3EDA" w14:textId="77777777">
      <w:r>
        <w:t xml:space="preserve">Realisatie van ambities vereist meer dan budgettaire ruimte alleen. Personeelstekorten, netcongestie, ruimtegebrek, waterkwaliteitseisen, stikstofruimte en klimaatdoelstellingen begrenzen wat er in de praktijk mogelijk is (zie ook onderdeel B). De precieze mate waarin elk van deze begrenzingen belemmerend werkt, verschilt per domein. Maar hun cumulatieve werking – het feit dat zij zich gelijktijdig en over meerdere beleidsterreinen doen gelden – maakt de realisatie van ambities kwetsbaar. In de afgelopen jaren bleek te vaak dat de politieke ambities de uitvoeringscapaciteit van Nederland overstegen. Gemiste doelen en </w:t>
      </w:r>
      <w:proofErr w:type="spellStart"/>
      <w:r>
        <w:t>onderuitputting</w:t>
      </w:r>
      <w:proofErr w:type="spellEnd"/>
      <w:r>
        <w:t xml:space="preserve"> waren het gevolg.</w:t>
      </w:r>
    </w:p>
    <w:p w:rsidR="00040FAF" w:rsidP="00040FAF" w:rsidRDefault="00040FAF" w14:paraId="3B0DFEE6" w14:textId="77777777"/>
    <w:p w:rsidR="00040FAF" w:rsidP="00040FAF" w:rsidRDefault="00040FAF" w14:paraId="22F87EE5" w14:textId="77777777">
      <w:r w:rsidRPr="003321DD">
        <w:t xml:space="preserve">De Algemene Rekenkamer, de Raad van State en de Nationale Ombudsman </w:t>
      </w:r>
      <w:r>
        <w:t>hebben</w:t>
      </w:r>
      <w:r w:rsidRPr="003321DD">
        <w:t xml:space="preserve"> er gezamenlijk op </w:t>
      </w:r>
      <w:r>
        <w:t xml:space="preserve">gewezen </w:t>
      </w:r>
      <w:r w:rsidRPr="003321DD">
        <w:t>dat bij het opstellen van doelen de relevante dilemma's expliciet moeten worden gemaakt, passende middelen moeten worden ingezet en de mogelijke bredere maatschappelijke gevolgen van de gekozen oplossingsrichting in kaart moeten worden gebracht.</w:t>
      </w:r>
      <w:r>
        <w:rPr>
          <w:rStyle w:val="Voetnootmarkering"/>
          <w:rFonts w:eastAsiaTheme="majorEastAsia"/>
        </w:rPr>
        <w:footnoteReference w:id="60"/>
      </w:r>
      <w:r w:rsidRPr="003321DD">
        <w:t xml:space="preserve"> </w:t>
      </w:r>
      <w:r>
        <w:t>Ook het Sociaal Cultureel Planbureau benadrukt dit in zijn reflectie op het coalitieakkoord.</w:t>
      </w:r>
      <w:r>
        <w:rPr>
          <w:rStyle w:val="Voetnootmarkering"/>
          <w:rFonts w:eastAsiaTheme="majorEastAsia"/>
        </w:rPr>
        <w:footnoteReference w:id="61"/>
      </w:r>
      <w:r>
        <w:t xml:space="preserve"> </w:t>
      </w:r>
    </w:p>
    <w:p w:rsidR="00040FAF" w:rsidP="00040FAF" w:rsidRDefault="00040FAF" w14:paraId="3228D9A7" w14:textId="77777777"/>
    <w:p w:rsidR="00040FAF" w:rsidP="00040FAF" w:rsidRDefault="00040FAF" w14:paraId="6432B9ED" w14:textId="77777777">
      <w:r>
        <w:t>Naar aanleiding hiervan heeft het kabinet aangekondigd de haalbaarheid te analyseren vanuit het oogpunt van de economische structuur; een structuuranalyse. Daartoe moeten allereerst de doelen van het regeringsbeleid helder zijn;</w:t>
      </w:r>
      <w:r>
        <w:rPr>
          <w:rStyle w:val="Voetnootmarkering"/>
        </w:rPr>
        <w:footnoteReference w:id="62"/>
      </w:r>
      <w:r>
        <w:t xml:space="preserve"> niet alleen hoeveel geld er wordt gereserveerd, maar welk </w:t>
      </w:r>
      <w:r>
        <w:lastRenderedPageBreak/>
        <w:t xml:space="preserve">maatschappelijk resultaat op welk termijn wordt beoogd en hoe dat wordt gemeten. </w:t>
      </w:r>
      <w:r w:rsidRPr="003321DD">
        <w:t>Artikel 3.1 van de Comptabiliteitswet vereist dat voorstellen, voornemens en toezeggingen een toelichting bevatten waarin wordt ingegaan op de beoogde doelstellingen, doeltreffendheid en doelmatigheid.</w:t>
      </w:r>
      <w:r>
        <w:rPr>
          <w:rStyle w:val="Voetnootmarkering"/>
          <w:rFonts w:eastAsiaTheme="majorEastAsia"/>
        </w:rPr>
        <w:footnoteReference w:id="63"/>
      </w:r>
      <w:r w:rsidRPr="003321DD">
        <w:t xml:space="preserve"> In de praktijk wordt deze verplichting te vaak ingevuld met inputdoelen — budgetten en reserveringen — zonder dat het beoogde maatschappelijke effect wordt gespecificeerd. </w:t>
      </w:r>
    </w:p>
    <w:p w:rsidR="00040FAF" w:rsidP="00040FAF" w:rsidRDefault="00040FAF" w14:paraId="0913A646" w14:textId="77777777"/>
    <w:p w:rsidR="00040FAF" w:rsidP="00040FAF" w:rsidRDefault="00040FAF" w14:paraId="51DE717E" w14:textId="77777777">
      <w:r>
        <w:t>Vervolgens moet worden getoetst of de doelen realistisch haalbaar zijn gezien hun gelijktijdige én geïntensiveerde beslag op arbeid, beschikbare grond, milieuruimte, waterkwaliteit, netcapaciteit. Uitvoeringscapaciteit is immers een bepalende randvoorwaarde die bij de formulering van beleid expliciet moet worden getoetst. Hierin spelen uitvoeringsorganisaties van de Rijksoverheid net zo goed een rol als de capaciteit bij andere overheden en het bedrijfsleven.</w:t>
      </w:r>
    </w:p>
    <w:p w:rsidR="00040FAF" w:rsidP="00040FAF" w:rsidRDefault="00040FAF" w14:paraId="5DB4D31A" w14:textId="77777777"/>
    <w:p w:rsidR="00040FAF" w:rsidP="00040FAF" w:rsidRDefault="00040FAF" w14:paraId="7D136E99" w14:textId="77777777">
      <w:r>
        <w:t>Bovendien moet naar</w:t>
      </w:r>
      <w:r w:rsidRPr="00756A16">
        <w:t xml:space="preserve"> de </w:t>
      </w:r>
      <w:r w:rsidRPr="006A1EB3">
        <w:rPr>
          <w:i/>
          <w:iCs/>
        </w:rPr>
        <w:t>samenstelling</w:t>
      </w:r>
      <w:r w:rsidRPr="00756A16">
        <w:t xml:space="preserve"> van de rijksuitgaven</w:t>
      </w:r>
      <w:r>
        <w:t xml:space="preserve"> worden gekeken</w:t>
      </w:r>
      <w:r w:rsidRPr="00756A16">
        <w:t xml:space="preserve">. </w:t>
      </w:r>
      <w:r>
        <w:t>Het kabinet heeft aangekondigd explicieter onderscheid te maken tussen consumptieve- en investeringsuitgaven. De Afdeling waardeert deze beweging, die aansluit bij een aanbeveling die zij eerder deed.</w:t>
      </w:r>
      <w:r>
        <w:rPr>
          <w:rStyle w:val="Voetnootmarkering"/>
          <w:rFonts w:eastAsiaTheme="majorEastAsia"/>
        </w:rPr>
        <w:footnoteReference w:id="64"/>
      </w:r>
      <w:r>
        <w:t xml:space="preserve"> De uitwerking daarvan is echter nog niet concreet genoeg om te kunnen beoordelen of de beoogde verschuiving van consumptieve- naar investeringsuitgaven in lijn is gebracht met de ambities. Systematisch inzicht in het aandeel van </w:t>
      </w:r>
      <w:proofErr w:type="spellStart"/>
      <w:r>
        <w:t>welvaartsbevorderende</w:t>
      </w:r>
      <w:proofErr w:type="spellEnd"/>
      <w:r>
        <w:t xml:space="preserve"> uitgaven – investeringen, innovatie, maar ook onderzoek en onderwijs – in de totale rijksbegroting, en in de ontwikkeling daarvan over de tijd, ontbreekt vooralsnog. </w:t>
      </w:r>
    </w:p>
    <w:p w:rsidR="00040FAF" w:rsidP="00040FAF" w:rsidRDefault="00040FAF" w14:paraId="6D86E1D5" w14:textId="77777777"/>
    <w:p w:rsidR="00040FAF" w:rsidP="00040FAF" w:rsidRDefault="00040FAF" w14:paraId="6A92AB20" w14:textId="77777777">
      <w:r>
        <w:t xml:space="preserve">De Afdeling heeft eerder vijf aanbevelingen meegegeven voor een volwaardige economische structuuranalyse. Het kabinet geeft hieraan tot nu toe beperkt opvolging. </w:t>
      </w:r>
      <w:r w:rsidRPr="008801D3">
        <w:t xml:space="preserve">De Afdeling adviseert het kabinet </w:t>
      </w:r>
      <w:r w:rsidRPr="005171A2">
        <w:t>dan ook de Miljoenennota 2027 te</w:t>
      </w:r>
      <w:r w:rsidRPr="008801D3">
        <w:t xml:space="preserve"> benutten om deze structuuranalyse te presenteren. Concreet betekent dit: toetsbare doelen per hoofdbeleidsdomein</w:t>
      </w:r>
      <w:r>
        <w:t xml:space="preserve">, </w:t>
      </w:r>
      <w:r w:rsidRPr="008801D3">
        <w:t>een onderbouwing van de uitvoerbaarheid op basis van beschikbare capaciteit bij Rijk</w:t>
      </w:r>
      <w:r>
        <w:t>,</w:t>
      </w:r>
      <w:r w:rsidRPr="008801D3">
        <w:t xml:space="preserve"> medeoverheden</w:t>
      </w:r>
      <w:r>
        <w:t xml:space="preserve"> en bedrijven</w:t>
      </w:r>
      <w:r w:rsidRPr="008801D3">
        <w:t xml:space="preserve">, </w:t>
      </w:r>
      <w:r>
        <w:t xml:space="preserve">een toetsing op de samenstelling van de overheidsuitgaven </w:t>
      </w:r>
      <w:r w:rsidRPr="008801D3">
        <w:t xml:space="preserve">en </w:t>
      </w:r>
      <w:r>
        <w:t xml:space="preserve">daarmee inzicht in de </w:t>
      </w:r>
      <w:r w:rsidRPr="008801D3">
        <w:t xml:space="preserve">samenhang en afruilen die de allocatie van middelen over die domeinen onderbouwt. Daarmee </w:t>
      </w:r>
      <w:r>
        <w:t xml:space="preserve">ontstaat een structuuranalyse: </w:t>
      </w:r>
      <w:r w:rsidRPr="008801D3">
        <w:t>niet een strategisch document naast de begroting, maar de analytische onderbouwing van de keuzes in</w:t>
      </w:r>
      <w:r>
        <w:t xml:space="preserve"> de begroting</w:t>
      </w:r>
      <w:r w:rsidRPr="008801D3">
        <w:t>.</w:t>
      </w:r>
    </w:p>
    <w:p w:rsidRPr="009B0083" w:rsidR="00040FAF" w:rsidP="00040FAF" w:rsidRDefault="00040FAF" w14:paraId="17BBE97B" w14:textId="77777777"/>
    <w:p w:rsidRPr="000A1624" w:rsidR="00040FAF" w:rsidP="00040FAF" w:rsidRDefault="00040FAF" w14:paraId="1EF8DB05" w14:textId="77777777">
      <w:pPr>
        <w:pStyle w:val="Lijstalinea"/>
        <w:numPr>
          <w:ilvl w:val="0"/>
          <w:numId w:val="19"/>
        </w:numPr>
        <w:ind w:hanging="720"/>
        <w:rPr>
          <w:u w:val="single"/>
        </w:rPr>
      </w:pPr>
      <w:r w:rsidRPr="000A1624">
        <w:rPr>
          <w:u w:val="single"/>
        </w:rPr>
        <w:t>Wees preciezer met efficiencykortingen</w:t>
      </w:r>
      <w:r w:rsidRPr="009B0083">
        <w:t xml:space="preserve"> </w:t>
      </w:r>
    </w:p>
    <w:p w:rsidRPr="009B0083" w:rsidR="00040FAF" w:rsidP="00040FAF" w:rsidRDefault="00040FAF" w14:paraId="4BF6FF4B" w14:textId="77777777">
      <w:pPr>
        <w:rPr>
          <w:i/>
          <w:iCs/>
          <w:u w:val="single"/>
        </w:rPr>
      </w:pPr>
    </w:p>
    <w:p w:rsidR="00040FAF" w:rsidP="00040FAF" w:rsidRDefault="00040FAF" w14:paraId="5DACCE17" w14:textId="77777777">
      <w:r w:rsidRPr="009B0083">
        <w:t xml:space="preserve">Het nieuwe coalitieakkoord legt een efficiencytaakstelling en een generieke bezuiniging op </w:t>
      </w:r>
      <w:r>
        <w:t xml:space="preserve">aan </w:t>
      </w:r>
      <w:r w:rsidRPr="009B0083">
        <w:t xml:space="preserve">het ambtelijk apparaat in het kader van de vernieuwing van </w:t>
      </w:r>
      <w:r w:rsidRPr="009B0083">
        <w:lastRenderedPageBreak/>
        <w:t>de Rijksdienst. Deze taakstellingen zijn aanvullend op generieke kortingen die al door het vorige kabinet waren voorgesteld.</w:t>
      </w:r>
      <w:r w:rsidRPr="009B0083">
        <w:rPr>
          <w:vertAlign w:val="superscript"/>
        </w:rPr>
        <w:footnoteReference w:id="65"/>
      </w:r>
      <w:r w:rsidRPr="009B0083">
        <w:t xml:space="preserve"> </w:t>
      </w:r>
    </w:p>
    <w:p w:rsidR="00040FAF" w:rsidP="00040FAF" w:rsidRDefault="00040FAF" w14:paraId="496B2D22" w14:textId="77777777">
      <w:r>
        <w:t xml:space="preserve">De keuze om apparaatsuitgaven te verminderen is een begrijpelijke. De Afdeling constateert dat het aantal ambtenaren bij de rijksoverheid sinds 2017 sterk is gestegen (zie figuur 1). </w:t>
      </w:r>
      <w:r w:rsidRPr="009B0083">
        <w:t xml:space="preserve">De Afdeling erkent </w:t>
      </w:r>
      <w:r>
        <w:t xml:space="preserve">ook </w:t>
      </w:r>
      <w:r w:rsidRPr="009B0083">
        <w:t>dat gedetailleerde invulling van een ingeboekte taakstelling aan het begin van een kabinetsperiode niet altijd mogelijk is en dat ministers zelf prioriteiten kunnen stellen.</w:t>
      </w:r>
      <w:r>
        <w:rPr>
          <w:rStyle w:val="Voetnootmarkering"/>
        </w:rPr>
        <w:footnoteReference w:id="66"/>
      </w:r>
      <w:r>
        <w:t xml:space="preserve"> </w:t>
      </w:r>
    </w:p>
    <w:p w:rsidR="00040FAF" w:rsidP="00040FAF" w:rsidRDefault="00040FAF" w14:paraId="2FAF56F5" w14:textId="77777777"/>
    <w:p w:rsidR="00040FAF" w:rsidP="00040FAF" w:rsidRDefault="00040FAF" w14:paraId="74A7B42A" w14:textId="77777777">
      <w:r>
        <w:t xml:space="preserve">Echter, een dergelijke generieke bezuiniging grijpt in het ene beleidsdomein aan waar dat verantwoord is, maar in andere domeinen waar dat de doelen buiten bereik brengt. Deze begroting creëert een stapeling van </w:t>
      </w:r>
      <w:r w:rsidRPr="009B0083">
        <w:t>generieke kortingen op de apparaatsuitgaven</w:t>
      </w:r>
      <w:r>
        <w:t xml:space="preserve">, </w:t>
      </w:r>
      <w:r w:rsidRPr="009B0083">
        <w:t xml:space="preserve">inclusief </w:t>
      </w:r>
      <w:r>
        <w:t>een</w:t>
      </w:r>
      <w:r w:rsidRPr="009B0083">
        <w:t xml:space="preserve"> nullijn voor ambtenarensalarissen en inhoud</w:t>
      </w:r>
      <w:r>
        <w:t>ing</w:t>
      </w:r>
      <w:r w:rsidRPr="009B0083">
        <w:t xml:space="preserve"> van de prijsbijstelling</w:t>
      </w:r>
      <w:r>
        <w:t>.</w:t>
      </w:r>
      <w:r w:rsidRPr="009B0083">
        <w:rPr>
          <w:vertAlign w:val="superscript"/>
        </w:rPr>
        <w:footnoteReference w:id="67"/>
      </w:r>
      <w:r w:rsidRPr="009B0083">
        <w:t xml:space="preserve"> De </w:t>
      </w:r>
      <w:r>
        <w:t>gezamenlijke</w:t>
      </w:r>
      <w:r w:rsidRPr="009B0083">
        <w:t xml:space="preserve"> omvang van deze kortingen overstijgt de grens die het CPB hanteert voor wat realistisch haalbaar wordt beschouwd zonder dat dit leidt tot verlies van dienstverleningscapaciteit.</w:t>
      </w:r>
      <w:r w:rsidRPr="009B0083">
        <w:rPr>
          <w:vertAlign w:val="superscript"/>
        </w:rPr>
        <w:footnoteReference w:id="68"/>
      </w:r>
      <w:r w:rsidRPr="009B0083">
        <w:t xml:space="preserve"> Dit maximum is al bereikt door de eerder voorgestelde efficiencykortingen, waardoor de generieke taakstellingen van dit kabinet niet gehonoreerd worden in de CPB-berekeningen. </w:t>
      </w:r>
    </w:p>
    <w:p w:rsidR="00040FAF" w:rsidP="00040FAF" w:rsidRDefault="00040FAF" w14:paraId="60B7B42E" w14:textId="77777777"/>
    <w:p w:rsidRPr="009B0083" w:rsidR="00040FAF" w:rsidP="00040FAF" w:rsidRDefault="00040FAF" w14:paraId="02882B8C" w14:textId="77777777">
      <w:r>
        <w:t xml:space="preserve">Voorts kunnen de ambities om te komen tot een slagvaardige overheid en om te investeren in digitalisering – zoals geformuleerd in het coalitieakkoord – moeilijk worden bereikt met een verdeling van efficiencytaakstelling per departement alleen. Het bereiken van die ambitie vergt nadrukkelijk eerst een </w:t>
      </w:r>
      <w:proofErr w:type="spellStart"/>
      <w:r>
        <w:t>Rijksbrede</w:t>
      </w:r>
      <w:proofErr w:type="spellEnd"/>
      <w:r>
        <w:t xml:space="preserve"> afweging. Departementale samenwerking (één Rijksdienst, ook in bedrijfsvoering en ICT) heeft de potentie om de efficiency te verhogen. Uitvoering en uitvoerende diensten zijn niet opgedeeld per departement, maar vergen ook interdepartementale prioriteiten en </w:t>
      </w:r>
      <w:proofErr w:type="spellStart"/>
      <w:r>
        <w:t>posterioriteiten</w:t>
      </w:r>
      <w:proofErr w:type="spellEnd"/>
      <w:r>
        <w:t xml:space="preserve">. </w:t>
      </w:r>
    </w:p>
    <w:p w:rsidRPr="009B0083" w:rsidR="00040FAF" w:rsidP="00040FAF" w:rsidRDefault="00040FAF" w14:paraId="3CFB3D60" w14:textId="77777777"/>
    <w:p w:rsidRPr="009B0083" w:rsidR="00040FAF" w:rsidP="00040FAF" w:rsidRDefault="00040FAF" w14:paraId="0D6E6977" w14:textId="77777777">
      <w:r w:rsidRPr="009B0083">
        <w:lastRenderedPageBreak/>
        <w:t xml:space="preserve">De Afdeling </w:t>
      </w:r>
      <w:r w:rsidRPr="00B36938">
        <w:t>adviseert</w:t>
      </w:r>
      <w:r w:rsidRPr="009B0083">
        <w:t xml:space="preserve"> daarom dat </w:t>
      </w:r>
      <w:r>
        <w:t>in de Miljoenennota 2027</w:t>
      </w:r>
      <w:r w:rsidRPr="009B0083">
        <w:t xml:space="preserve"> voor elk departement inzichtelijk wordt gemaakt hoe de taakstelling wordt gerealiseerd, welke beleidsmatige keuzes daarvoor nodig zijn </w:t>
      </w:r>
      <w:r>
        <w:t xml:space="preserve">nadrukkelijk in het </w:t>
      </w:r>
      <w:proofErr w:type="spellStart"/>
      <w:r>
        <w:t>Rijksbrede</w:t>
      </w:r>
      <w:proofErr w:type="spellEnd"/>
      <w:r>
        <w:t xml:space="preserve"> perspectief </w:t>
      </w:r>
      <w:r w:rsidRPr="009B0083">
        <w:t xml:space="preserve">en wat de gevolgen zijn voor de dienstverlening. Daarnaast adviseert de Afdeling </w:t>
      </w:r>
      <w:r>
        <w:t>een expliciete keuze te maken over</w:t>
      </w:r>
      <w:r w:rsidRPr="009B0083">
        <w:t xml:space="preserve"> de gevallen waarin de taakstellingen niet volledig kunnen worden gerealiseerd binnen de economische bandbreedtes van het CPB</w:t>
      </w:r>
      <w:r>
        <w:t xml:space="preserve">: </w:t>
      </w:r>
      <w:r w:rsidRPr="009B0083">
        <w:t>ofwel kortingen bij te stellen, ofwel</w:t>
      </w:r>
      <w:r>
        <w:t>, met inachtneming van onderlinge samenhang,</w:t>
      </w:r>
      <w:r w:rsidRPr="009B0083">
        <w:t xml:space="preserve"> concrete taken benoemen die komen te vervallen. </w:t>
      </w:r>
    </w:p>
    <w:p w:rsidR="00040FAF" w:rsidP="00040FAF" w:rsidRDefault="00040FAF" w14:paraId="5FD0BFB0" w14:textId="77777777"/>
    <w:p w:rsidRPr="00BD51BA" w:rsidR="00040FAF" w:rsidP="00040FAF" w:rsidRDefault="00040FAF" w14:paraId="6656AB63" w14:textId="77777777">
      <w:pPr>
        <w:rPr>
          <w:b/>
          <w:sz w:val="18"/>
          <w:szCs w:val="18"/>
        </w:rPr>
      </w:pPr>
      <w:r w:rsidRPr="00BD51BA">
        <w:rPr>
          <w:b/>
          <w:sz w:val="18"/>
          <w:szCs w:val="18"/>
        </w:rPr>
        <w:t xml:space="preserve">Figuur 1. Werkzame personen bij </w:t>
      </w:r>
      <w:r w:rsidRPr="00BD51BA">
        <w:rPr>
          <w:b/>
          <w:noProof/>
          <w:sz w:val="18"/>
          <w:szCs w:val="18"/>
        </w:rPr>
        <w:t>de Rijksoverheid</w:t>
      </w:r>
    </w:p>
    <w:p w:rsidR="00040FAF" w:rsidP="00040FAF" w:rsidRDefault="00040FAF" w14:paraId="25F9D6C0" w14:textId="3FFB4A41">
      <w:r>
        <w:rPr>
          <w:noProof/>
        </w:rPr>
        <w:drawing>
          <wp:inline distT="0" distB="0" distL="0" distR="0" wp14:anchorId="210F7F28" wp14:editId="6A8DE0FE">
            <wp:extent cx="5267325" cy="3352800"/>
            <wp:effectExtent l="0" t="0" r="9525" b="0"/>
            <wp:docPr id="757141437" name="Grafiek 1">
              <a:extLst xmlns:a="http://schemas.openxmlformats.org/drawingml/2006/main">
                <a:ext uri="{FF2B5EF4-FFF2-40B4-BE49-F238E27FC236}">
                  <a16:creationId xmlns:a16="http://schemas.microsoft.com/office/drawing/2014/main" id="{6CDF9C0D-9A57-D35F-E6EF-8EED927AB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40FAF" w:rsidP="00040FAF" w:rsidRDefault="00040FAF" w14:paraId="7CB038CC" w14:textId="77777777">
      <w:pPr>
        <w:rPr>
          <w:i/>
          <w:sz w:val="18"/>
          <w:szCs w:val="18"/>
        </w:rPr>
      </w:pPr>
    </w:p>
    <w:p w:rsidR="00040FAF" w:rsidP="00040FAF" w:rsidRDefault="00040FAF" w14:paraId="0F7FDB08" w14:textId="77777777">
      <w:pPr>
        <w:rPr>
          <w:i/>
          <w:sz w:val="18"/>
          <w:szCs w:val="18"/>
        </w:rPr>
      </w:pPr>
      <w:r w:rsidRPr="007B45A5">
        <w:rPr>
          <w:i/>
          <w:sz w:val="18"/>
          <w:szCs w:val="18"/>
        </w:rPr>
        <w:t>Bron: Ministerie Binnenlandse Zaken en Koninkrijksrelaties (</w:t>
      </w:r>
      <w:hyperlink w:history="1" r:id="rId8">
        <w:r w:rsidRPr="007B45A5">
          <w:rPr>
            <w:rStyle w:val="Hyperlink"/>
            <w:i/>
            <w:sz w:val="18"/>
            <w:szCs w:val="18"/>
          </w:rPr>
          <w:t>link</w:t>
        </w:r>
      </w:hyperlink>
      <w:r w:rsidRPr="007B45A5">
        <w:rPr>
          <w:i/>
          <w:sz w:val="18"/>
          <w:szCs w:val="18"/>
        </w:rPr>
        <w:t>)</w:t>
      </w:r>
    </w:p>
    <w:p w:rsidRPr="007B45A5" w:rsidR="00040FAF" w:rsidP="00040FAF" w:rsidRDefault="00040FAF" w14:paraId="37026B31" w14:textId="77777777">
      <w:pPr>
        <w:rPr>
          <w:i/>
          <w:sz w:val="18"/>
          <w:szCs w:val="18"/>
        </w:rPr>
      </w:pPr>
    </w:p>
    <w:p w:rsidRPr="00097478" w:rsidR="00040FAF" w:rsidP="00040FAF" w:rsidRDefault="00040FAF" w14:paraId="72D713DC" w14:textId="77777777">
      <w:pPr>
        <w:pStyle w:val="Lijstalinea"/>
        <w:numPr>
          <w:ilvl w:val="0"/>
          <w:numId w:val="19"/>
        </w:numPr>
        <w:ind w:hanging="720"/>
        <w:rPr>
          <w:u w:val="single"/>
        </w:rPr>
      </w:pPr>
      <w:r w:rsidRPr="00097478">
        <w:rPr>
          <w:u w:val="single"/>
        </w:rPr>
        <w:t>V</w:t>
      </w:r>
      <w:r>
        <w:rPr>
          <w:u w:val="single"/>
        </w:rPr>
        <w:t>oorkom</w:t>
      </w:r>
      <w:r w:rsidRPr="00097478">
        <w:rPr>
          <w:u w:val="single"/>
        </w:rPr>
        <w:t xml:space="preserve"> besteding van </w:t>
      </w:r>
      <w:proofErr w:type="spellStart"/>
      <w:r w:rsidRPr="00097478">
        <w:rPr>
          <w:u w:val="single"/>
        </w:rPr>
        <w:t>onderuitputting</w:t>
      </w:r>
      <w:proofErr w:type="spellEnd"/>
      <w:r>
        <w:rPr>
          <w:u w:val="single"/>
        </w:rPr>
        <w:t xml:space="preserve"> aan andere beleidsdoelen </w:t>
      </w:r>
    </w:p>
    <w:p w:rsidRPr="009B0083" w:rsidR="00040FAF" w:rsidP="00040FAF" w:rsidRDefault="00040FAF" w14:paraId="4021CFB0" w14:textId="77777777">
      <w:pPr>
        <w:pStyle w:val="Lijstalinea"/>
        <w:ind w:left="360"/>
      </w:pPr>
    </w:p>
    <w:p w:rsidR="00040FAF" w:rsidP="00040FAF" w:rsidRDefault="00040FAF" w14:paraId="6C297B03" w14:textId="77777777">
      <w:r>
        <w:t xml:space="preserve">Zoals hierboven beschreven is onvoldoende gewaarborgd dat doelen werkelijk behaald kunnen worden. Een logische consequentie is dat in 2026 en 2027 naar verwachting een substantieel deel van de gebudgetteerde middelen niet worden uitgegeven. In de CEP-raming is de </w:t>
      </w:r>
      <w:proofErr w:type="spellStart"/>
      <w:r>
        <w:t>onderuitputting</w:t>
      </w:r>
      <w:proofErr w:type="spellEnd"/>
      <w:r>
        <w:t xml:space="preserve"> </w:t>
      </w:r>
      <w:r w:rsidRPr="007B45A5">
        <w:t>(daadwerkelijke uitgaven zijn kleiner dan de gereserveerde uitgaven)</w:t>
      </w:r>
      <w:r>
        <w:t xml:space="preserve"> voor beide jaren € 13,9 mld. Tot 2018 was de </w:t>
      </w:r>
      <w:proofErr w:type="spellStart"/>
      <w:r>
        <w:t>onderuitputting</w:t>
      </w:r>
      <w:proofErr w:type="spellEnd"/>
      <w:r>
        <w:t xml:space="preserve"> relatief beperkt. Daarna zorgden vooral extra beleidsambities in combinatie met een krappe arbeidsmarkt voor een forse toename.</w:t>
      </w:r>
      <w:r>
        <w:rPr>
          <w:rStyle w:val="Voetnootmarkering"/>
          <w:rFonts w:eastAsiaTheme="majorEastAsia"/>
        </w:rPr>
        <w:footnoteReference w:id="69"/>
      </w:r>
    </w:p>
    <w:p w:rsidR="00040FAF" w:rsidP="00040FAF" w:rsidRDefault="00040FAF" w14:paraId="0E610765" w14:textId="77777777"/>
    <w:p w:rsidR="00040FAF" w:rsidP="00040FAF" w:rsidRDefault="00040FAF" w14:paraId="3B657759" w14:textId="77777777">
      <w:r>
        <w:t xml:space="preserve">Allereerst is een goede raming van de overheidsuitgaven essentieel voor een adequaat begrotingsbeleid (realistisch ramen). Het kabinet heeft toegezegd te </w:t>
      </w:r>
      <w:r>
        <w:lastRenderedPageBreak/>
        <w:t>werken aan de implementatie van de aanbeveling van de Expertgroep realistisch ramen.</w:t>
      </w:r>
      <w:r>
        <w:rPr>
          <w:rStyle w:val="Voetnootmarkering"/>
        </w:rPr>
        <w:footnoteReference w:id="70"/>
      </w:r>
      <w:r>
        <w:t xml:space="preserve"> De Afdeling heeft eerder geadviseerd te onderzoeken of de 100%-eindejaarsmarge voor fondsen moet worden aangepast om de prikkel voor realistisch ramen bij investeringsfondsen te versterken.</w:t>
      </w:r>
      <w:r>
        <w:rPr>
          <w:rStyle w:val="Voetnootmarkering"/>
        </w:rPr>
        <w:footnoteReference w:id="71"/>
      </w:r>
      <w:r>
        <w:t xml:space="preserve"> De 18</w:t>
      </w:r>
      <w:r w:rsidRPr="00E342B8">
        <w:rPr>
          <w:vertAlign w:val="superscript"/>
        </w:rPr>
        <w:t>e</w:t>
      </w:r>
      <w:r>
        <w:t xml:space="preserve"> Studiegroep Begrotingsruimte adviseert om aanvullende maatregelen door te voeren als de kasschuiven </w:t>
      </w:r>
      <w:proofErr w:type="gramStart"/>
      <w:r>
        <w:t>naar</w:t>
      </w:r>
      <w:proofErr w:type="gramEnd"/>
      <w:r>
        <w:t xml:space="preserve"> verloop van tijd niet verminderen.</w:t>
      </w:r>
      <w:r>
        <w:rPr>
          <w:rStyle w:val="Voetnootmarkering"/>
          <w:rFonts w:eastAsiaTheme="majorEastAsia"/>
        </w:rPr>
        <w:footnoteReference w:id="72"/>
      </w:r>
      <w:r>
        <w:t xml:space="preserve"> De Afdeling sluit zich daarbij aan. </w:t>
      </w:r>
    </w:p>
    <w:p w:rsidR="00040FAF" w:rsidP="00040FAF" w:rsidRDefault="00040FAF" w14:paraId="3EA05A03" w14:textId="77777777"/>
    <w:p w:rsidR="00040FAF" w:rsidP="00040FAF" w:rsidRDefault="00040FAF" w14:paraId="28AA0646" w14:textId="77777777">
      <w:r>
        <w:t xml:space="preserve">Vervolgens is het belangrijk opgetreden </w:t>
      </w:r>
      <w:proofErr w:type="spellStart"/>
      <w:r>
        <w:t>onderuitputting</w:t>
      </w:r>
      <w:proofErr w:type="spellEnd"/>
      <w:r>
        <w:t xml:space="preserve"> niet aan andere beleidsdoelen te besteden. </w:t>
      </w:r>
      <w:proofErr w:type="spellStart"/>
      <w:r>
        <w:t>Onderuitputting</w:t>
      </w:r>
      <w:proofErr w:type="spellEnd"/>
      <w:r>
        <w:t xml:space="preserve"> kent verschillende oorzaken, met elk andere budgettaire consequenties:</w:t>
      </w:r>
    </w:p>
    <w:p w:rsidR="00040FAF" w:rsidP="00040FAF" w:rsidRDefault="00040FAF" w14:paraId="1DBF7576" w14:textId="77777777"/>
    <w:p w:rsidR="00040FAF" w:rsidP="00040FAF" w:rsidRDefault="00040FAF" w14:paraId="5509F506" w14:textId="77777777">
      <w:pPr>
        <w:pStyle w:val="Lijstalinea"/>
        <w:numPr>
          <w:ilvl w:val="0"/>
          <w:numId w:val="24"/>
        </w:numPr>
      </w:pPr>
      <w:r w:rsidRPr="00452AD1">
        <w:rPr>
          <w:i/>
          <w:iCs/>
        </w:rPr>
        <w:t>Ten eerste</w:t>
      </w:r>
      <w:r>
        <w:t xml:space="preserve"> kan </w:t>
      </w:r>
      <w:proofErr w:type="spellStart"/>
      <w:r>
        <w:t>onderuitputting</w:t>
      </w:r>
      <w:proofErr w:type="spellEnd"/>
      <w:r>
        <w:t xml:space="preserve"> een gevolg zijn van een verschuiving in de tijd: geplande uitgaven worden niet in het begrote jaar gedaan, maar in een later jaar. </w:t>
      </w:r>
      <w:r w:rsidRPr="00A06E5D">
        <w:t xml:space="preserve">Dit </w:t>
      </w:r>
      <w:r>
        <w:t>doet zich voor bij overheidsinvesteringen</w:t>
      </w:r>
      <w:r w:rsidRPr="00A06E5D">
        <w:t xml:space="preserve">, waar de doorlooptijd van projecten moeilijk precies te ramen is. Om die reden hebben de reserveringen voor het </w:t>
      </w:r>
      <w:r>
        <w:t>I</w:t>
      </w:r>
      <w:r w:rsidRPr="00A06E5D">
        <w:t xml:space="preserve">nfrastructuurfonds, het </w:t>
      </w:r>
      <w:r>
        <w:t>D</w:t>
      </w:r>
      <w:r w:rsidRPr="00A06E5D">
        <w:t xml:space="preserve">eltafonds en het </w:t>
      </w:r>
      <w:r>
        <w:t>D</w:t>
      </w:r>
      <w:r w:rsidRPr="00A06E5D">
        <w:t xml:space="preserve">efensiematerieelbegrotingsfonds een zogeheten 100%-eindejaarsmarge, waardoor niet-bestede middelen naar latere jaren kunnen worden doorgeschoven. </w:t>
      </w:r>
    </w:p>
    <w:p w:rsidR="00040FAF" w:rsidP="00040FAF" w:rsidRDefault="00040FAF" w14:paraId="7A09DA1E" w14:textId="77777777"/>
    <w:p w:rsidR="00040FAF" w:rsidP="00040FAF" w:rsidRDefault="00040FAF" w14:paraId="6701A329" w14:textId="77777777">
      <w:pPr>
        <w:pStyle w:val="Lijstalinea"/>
        <w:numPr>
          <w:ilvl w:val="0"/>
          <w:numId w:val="24"/>
        </w:numPr>
      </w:pPr>
      <w:r w:rsidRPr="00452AD1">
        <w:rPr>
          <w:i/>
          <w:iCs/>
        </w:rPr>
        <w:t>Ten tweede</w:t>
      </w:r>
      <w:r>
        <w:t xml:space="preserve"> kan </w:t>
      </w:r>
      <w:proofErr w:type="spellStart"/>
      <w:r>
        <w:t>onderuitputting</w:t>
      </w:r>
      <w:proofErr w:type="spellEnd"/>
      <w:r>
        <w:t xml:space="preserve"> ontstaan doordat minder middelen nodig blijken dan geraamd. In dat geval is er sprake van een meevaller. Deze mag onder de huidige begrotingsregels in een specifiek jaar worden ingezet om tegenvallers elders op de begroting op te vangen, maar niet voor nieuw beleid. </w:t>
      </w:r>
    </w:p>
    <w:p w:rsidR="00040FAF" w:rsidP="00040FAF" w:rsidRDefault="00040FAF" w14:paraId="44DD5C3F" w14:textId="77777777"/>
    <w:p w:rsidR="00040FAF" w:rsidP="00040FAF" w:rsidRDefault="00040FAF" w14:paraId="7B28BC7E" w14:textId="77777777">
      <w:pPr>
        <w:pStyle w:val="Lijstalinea"/>
        <w:numPr>
          <w:ilvl w:val="0"/>
          <w:numId w:val="24"/>
        </w:numPr>
      </w:pPr>
      <w:r w:rsidRPr="00452AD1">
        <w:rPr>
          <w:i/>
          <w:iCs/>
        </w:rPr>
        <w:t>Ten derde</w:t>
      </w:r>
      <w:r>
        <w:t xml:space="preserve"> kan </w:t>
      </w:r>
      <w:proofErr w:type="spellStart"/>
      <w:r>
        <w:t>onderuitputting</w:t>
      </w:r>
      <w:proofErr w:type="spellEnd"/>
      <w:r>
        <w:t xml:space="preserve"> ontstaan doordat uitvoering niet mogelijk blijkt – bijvoorbeeld door de krappe arbeidsmarkt. In zo’n geval moet de uitgave nog steeds worden gedaan, zij het in een later jaar. Als deze niet-uitgegeven middelen alsnog zouden worden besteed, bijvoorbeeld aan tegenvallers elders of aan nieuw beleid, dan wordt het geld in feite ‘dubbel uitgegeven’. Daardoor loopt de EMU-schuld op termijn hoger op. </w:t>
      </w:r>
    </w:p>
    <w:p w:rsidR="00040FAF" w:rsidP="00040FAF" w:rsidRDefault="00040FAF" w14:paraId="64D42548" w14:textId="77777777"/>
    <w:p w:rsidR="00040FAF" w:rsidP="00040FAF" w:rsidRDefault="00040FAF" w14:paraId="39A73092" w14:textId="77777777">
      <w:r>
        <w:t xml:space="preserve">De Afdeling adviseert uit te gaan van een realistische uitgavenraming, vast te houden aan het trendmatig begrotingsbeleid en in beginsel </w:t>
      </w:r>
      <w:proofErr w:type="spellStart"/>
      <w:r>
        <w:t>onderuitputting</w:t>
      </w:r>
      <w:proofErr w:type="spellEnd"/>
      <w:r>
        <w:t xml:space="preserve"> niet in te zetten voor andere beleidsdoelen.</w:t>
      </w:r>
    </w:p>
    <w:p w:rsidRPr="00935886" w:rsidR="00040FAF" w:rsidP="00040FAF" w:rsidRDefault="00040FAF" w14:paraId="5DFF1CB7" w14:textId="77777777"/>
    <w:p w:rsidRPr="00097478" w:rsidR="00040FAF" w:rsidP="00040FAF" w:rsidRDefault="00040FAF" w14:paraId="1EFD83DB" w14:textId="77777777">
      <w:pPr>
        <w:pStyle w:val="Lijstalinea"/>
        <w:numPr>
          <w:ilvl w:val="0"/>
          <w:numId w:val="19"/>
        </w:numPr>
        <w:ind w:hanging="720"/>
        <w:rPr>
          <w:u w:val="single"/>
        </w:rPr>
      </w:pPr>
      <w:r>
        <w:rPr>
          <w:u w:val="single"/>
        </w:rPr>
        <w:t>Let op e</w:t>
      </w:r>
      <w:r w:rsidRPr="00097478">
        <w:rPr>
          <w:u w:val="single"/>
        </w:rPr>
        <w:t>venwichtige verdeling van de lasten</w:t>
      </w:r>
    </w:p>
    <w:p w:rsidRPr="009B0083" w:rsidR="00040FAF" w:rsidP="00040FAF" w:rsidRDefault="00040FAF" w14:paraId="7EB82732" w14:textId="77777777">
      <w:pPr>
        <w:rPr>
          <w:i/>
          <w:iCs/>
          <w:u w:val="single"/>
        </w:rPr>
      </w:pPr>
    </w:p>
    <w:p w:rsidR="00040FAF" w:rsidP="00040FAF" w:rsidRDefault="00040FAF" w14:paraId="79C4A3AB" w14:textId="77777777">
      <w:r w:rsidRPr="009B0083">
        <w:t>De Voorjaarsnota 2026 leidt tot een verzwaring van de lasten met €</w:t>
      </w:r>
      <w:r>
        <w:t> </w:t>
      </w:r>
      <w:r w:rsidRPr="009B0083">
        <w:t xml:space="preserve">5,8 mld. in 2030, waarbij het grootste deel voor rekening komt van de lasten op </w:t>
      </w:r>
      <w:r>
        <w:t xml:space="preserve">(vroegere) </w:t>
      </w:r>
      <w:r w:rsidRPr="00C11149">
        <w:lastRenderedPageBreak/>
        <w:t xml:space="preserve">arbeid. </w:t>
      </w:r>
      <w:r w:rsidRPr="00D60480">
        <w:t xml:space="preserve">De gedeeltelijke financiering van defensie-uitgaven via van werkgevers (overheid en bedrijfsleven) geheven hogere </w:t>
      </w:r>
      <w:proofErr w:type="spellStart"/>
      <w:r w:rsidRPr="00D60480">
        <w:t>Aof</w:t>
      </w:r>
      <w:proofErr w:type="spellEnd"/>
      <w:r w:rsidRPr="00D60480">
        <w:t xml:space="preserve">-premies kan ook leiden tot hogere lasten op arbeid. Afhankelijk van de </w:t>
      </w:r>
      <w:r>
        <w:t>o</w:t>
      </w:r>
      <w:r w:rsidRPr="00D60480">
        <w:t>nderhandelings</w:t>
      </w:r>
      <w:r>
        <w:t>verhoud</w:t>
      </w:r>
      <w:r w:rsidRPr="00D60480">
        <w:t xml:space="preserve">ingen tussen werkgever en werknemers kunnen de hogere arbeidskosten uiteindelijk deels neerslaan in lagere </w:t>
      </w:r>
      <w:proofErr w:type="spellStart"/>
      <w:r w:rsidRPr="00D60480">
        <w:t>netto-lonen</w:t>
      </w:r>
      <w:proofErr w:type="spellEnd"/>
      <w:r w:rsidRPr="00D60480">
        <w:t xml:space="preserve"> voor werknemers. </w:t>
      </w:r>
    </w:p>
    <w:p w:rsidRPr="00C11149" w:rsidR="00040FAF" w:rsidP="00040FAF" w:rsidRDefault="00040FAF" w14:paraId="07C7D6BA" w14:textId="77777777">
      <w:pPr>
        <w:rPr>
          <w:color w:val="FF0000"/>
        </w:rPr>
      </w:pPr>
    </w:p>
    <w:p w:rsidR="00040FAF" w:rsidP="00040FAF" w:rsidRDefault="00040FAF" w14:paraId="18855DF0" w14:textId="77777777">
      <w:r w:rsidRPr="00C11149">
        <w:t xml:space="preserve">De Afdeling wijst erop dat deze maatregelen het verschil tussen de lastendruk op de factor arbeid </w:t>
      </w:r>
      <w:r>
        <w:t xml:space="preserve">(loon) </w:t>
      </w:r>
      <w:r w:rsidRPr="00C11149">
        <w:t xml:space="preserve">ten opzichte van die op de factor kapitaal </w:t>
      </w:r>
      <w:r>
        <w:t xml:space="preserve">(vermogen) </w:t>
      </w:r>
      <w:r w:rsidRPr="00C11149">
        <w:t xml:space="preserve">vergroten. Relatieve verzwaring van de lastendruk op arbeid kan zorgen voor verstoringen van het economisch systeem en het maatschappelijke draagvlak voor belastingen verminderen. </w:t>
      </w:r>
      <w:r>
        <w:t>D</w:t>
      </w:r>
      <w:r w:rsidRPr="009B0083">
        <w:t>e 18</w:t>
      </w:r>
      <w:r w:rsidRPr="009B0083">
        <w:rPr>
          <w:vertAlign w:val="superscript"/>
        </w:rPr>
        <w:t>e</w:t>
      </w:r>
      <w:r w:rsidRPr="009B0083">
        <w:t xml:space="preserve"> Studiegroep Begrotingsruimte </w:t>
      </w:r>
      <w:r>
        <w:t xml:space="preserve">(SBR) </w:t>
      </w:r>
      <w:r w:rsidRPr="009B0083">
        <w:t xml:space="preserve">en </w:t>
      </w:r>
      <w:r>
        <w:t>het Bouwstenenrapport</w:t>
      </w:r>
      <w:r w:rsidRPr="009B0083">
        <w:t xml:space="preserve"> van het Ministerie van Financiën</w:t>
      </w:r>
      <w:r>
        <w:t xml:space="preserve"> hebben dit verschil in (relatieve) verzwaring als bestaande onevenwichtigheid benoemd</w:t>
      </w:r>
      <w:r w:rsidRPr="009B0083">
        <w:t xml:space="preserve">. </w:t>
      </w:r>
      <w:r>
        <w:t>D</w:t>
      </w:r>
      <w:r w:rsidRPr="009B0083">
        <w:t>e 18</w:t>
      </w:r>
      <w:r w:rsidRPr="009B0083">
        <w:rPr>
          <w:vertAlign w:val="superscript"/>
        </w:rPr>
        <w:t>e</w:t>
      </w:r>
      <w:r w:rsidRPr="009B0083">
        <w:t xml:space="preserve"> SBR </w:t>
      </w:r>
      <w:r>
        <w:t>stelt</w:t>
      </w:r>
      <w:r w:rsidRPr="009B0083">
        <w:t xml:space="preserve"> dat vermogen een groeiende grondslag vormt, maar geen evenwichtige bijdrage levert aan de belastinginkomsten en niet neutraal wordt belast.</w:t>
      </w:r>
      <w:r w:rsidRPr="009B0083">
        <w:rPr>
          <w:vertAlign w:val="superscript"/>
        </w:rPr>
        <w:footnoteReference w:id="73"/>
      </w:r>
      <w:r w:rsidRPr="009B0083">
        <w:t xml:space="preserve"> Het </w:t>
      </w:r>
      <w:r>
        <w:t>Bouwstenenrapport</w:t>
      </w:r>
      <w:r w:rsidRPr="009B0083">
        <w:t xml:space="preserve"> noemt de </w:t>
      </w:r>
      <w:r>
        <w:t xml:space="preserve">steeds hogere belastingdruk op arbeid ten opzichte van de lagere belasting op vermogen </w:t>
      </w:r>
      <w:r w:rsidRPr="009B0083">
        <w:t>één van de uitdagingen voor de verbetering van het belastingsysteem en wijst op de negatieve effecten van hoge lasten op arbeid.</w:t>
      </w:r>
      <w:r w:rsidRPr="009B0083">
        <w:rPr>
          <w:vertAlign w:val="superscript"/>
        </w:rPr>
        <w:footnoteReference w:id="74"/>
      </w:r>
      <w:r>
        <w:rPr>
          <w:rStyle w:val="Voetnootmarkering"/>
        </w:rPr>
        <w:footnoteReference w:id="75"/>
      </w:r>
      <w:r w:rsidRPr="009B0083">
        <w:t xml:space="preserve"> </w:t>
      </w:r>
    </w:p>
    <w:p w:rsidRPr="009B0083" w:rsidR="00040FAF" w:rsidP="00040FAF" w:rsidRDefault="00040FAF" w14:paraId="4F7174C9" w14:textId="77777777"/>
    <w:p w:rsidR="00040FAF" w:rsidP="00040FAF" w:rsidRDefault="00040FAF" w14:paraId="4E9A307D" w14:textId="77777777">
      <w:r w:rsidRPr="009B0083">
        <w:t xml:space="preserve">Het kabinet kiest voor een stapsgewijze verandering van het stelsel van toeslagen en inkomstenbelasting, waarbij de focus vooral ligt op vereenvoudiging. Voor het najaar van 2026 is een hervormingsagenda van het stelsel van de Inkomstenbelasting afgekondigd. Het </w:t>
      </w:r>
      <w:r>
        <w:t>is niet duidelijk of</w:t>
      </w:r>
      <w:r w:rsidRPr="009B0083">
        <w:t xml:space="preserve"> deze </w:t>
      </w:r>
      <w:r>
        <w:t>hervormings</w:t>
      </w:r>
      <w:r w:rsidRPr="009B0083">
        <w:t xml:space="preserve">agenda mede betrekking heeft op de samenhang tussen de belastingheffing op </w:t>
      </w:r>
      <w:r>
        <w:t>de factor arbeid en kapitaal e</w:t>
      </w:r>
      <w:r w:rsidRPr="009B0083">
        <w:t xml:space="preserve">n daarmee ook op aanverwante belastingwetten, zoals de </w:t>
      </w:r>
      <w:r>
        <w:t>verhouding met en tussen box 2 en box 3,</w:t>
      </w:r>
      <w:r w:rsidRPr="009B0083">
        <w:t xml:space="preserve"> </w:t>
      </w:r>
      <w:r>
        <w:t xml:space="preserve">het lage tarief in </w:t>
      </w:r>
      <w:r w:rsidRPr="009B0083">
        <w:t>de vennootschapsbelasting</w:t>
      </w:r>
      <w:r>
        <w:t>, de eigen woning en de bedrijfsopvolgingsregelingen</w:t>
      </w:r>
      <w:r w:rsidRPr="009B0083">
        <w:t>.</w:t>
      </w:r>
    </w:p>
    <w:p w:rsidRPr="009B0083" w:rsidR="00040FAF" w:rsidP="00040FAF" w:rsidRDefault="00040FAF" w14:paraId="0C4313B7" w14:textId="77777777"/>
    <w:p w:rsidRPr="009B0083" w:rsidR="00040FAF" w:rsidP="00040FAF" w:rsidRDefault="00040FAF" w14:paraId="045800F7" w14:textId="77777777">
      <w:r>
        <w:t>De begrotingsregels zoals vermeld in de Startnota kennen geen expliciete norm of ambitie voor de gewenste ontwikkeling en verdeling van de lastendruk, anders dan de technische eis dat het inkomstenkader dient te sluiten. Dit houdt in dat</w:t>
      </w:r>
      <w:r w:rsidRPr="009B0083">
        <w:t xml:space="preserve"> de beleidsmatige lastenmaatregelen over de kabinetsperiode </w:t>
      </w:r>
      <w:r>
        <w:t>per saldo</w:t>
      </w:r>
      <w:r w:rsidRPr="009B0083">
        <w:t xml:space="preserve"> neutraal moeten zijn.</w:t>
      </w:r>
      <w:r w:rsidRPr="009B0083">
        <w:rPr>
          <w:vertAlign w:val="superscript"/>
        </w:rPr>
        <w:footnoteReference w:id="76"/>
      </w:r>
      <w:r w:rsidRPr="009B0083">
        <w:t xml:space="preserve"> Het inkomstenkader </w:t>
      </w:r>
      <w:r>
        <w:t xml:space="preserve">bevat geen norm of ambitie </w:t>
      </w:r>
      <w:r w:rsidRPr="009B0083">
        <w:t xml:space="preserve">over de samenstelling van de lasten. </w:t>
      </w:r>
    </w:p>
    <w:p w:rsidRPr="009B0083" w:rsidR="00040FAF" w:rsidP="00040FAF" w:rsidRDefault="00040FAF" w14:paraId="3F29C106" w14:textId="77777777"/>
    <w:p w:rsidRPr="009B0083" w:rsidR="00040FAF" w:rsidP="00040FAF" w:rsidRDefault="00040FAF" w14:paraId="3FDECCFC" w14:textId="77777777">
      <w:r>
        <w:t>De</w:t>
      </w:r>
      <w:r w:rsidRPr="009B0083">
        <w:t xml:space="preserve"> Afdeling</w:t>
      </w:r>
      <w:r>
        <w:t xml:space="preserve"> </w:t>
      </w:r>
      <w:r w:rsidRPr="003F3B16">
        <w:t>adviseert</w:t>
      </w:r>
      <w:r w:rsidRPr="009B0083">
        <w:t xml:space="preserve"> bij de aangekondigde hervormingsagenda inkomstenbelasting expliciet te maken of, en zo ja hoe, de samenhang met de belastingheffing op vermogen en vennootschapsbelasting wordt</w:t>
      </w:r>
      <w:r>
        <w:t xml:space="preserve"> geadresseerd</w:t>
      </w:r>
      <w:r w:rsidRPr="009B0083">
        <w:t xml:space="preserve">. De huidige formulering van het coalitieakkoord laat dit open. Zolang die </w:t>
      </w:r>
      <w:r w:rsidRPr="009B0083">
        <w:lastRenderedPageBreak/>
        <w:t xml:space="preserve">samenhang niet wordt geëxpliciteerd, bestaat het risico dat de hervormingsagenda de </w:t>
      </w:r>
      <w:r>
        <w:t xml:space="preserve">onevenwichtigheid in de lasten op arbeid ten opzichte van die op kapitaal </w:t>
      </w:r>
      <w:r w:rsidRPr="009B0083">
        <w:t xml:space="preserve">ongemoeid laat. </w:t>
      </w:r>
    </w:p>
    <w:p w:rsidRPr="009B0083" w:rsidR="00040FAF" w:rsidP="00040FAF" w:rsidRDefault="00040FAF" w14:paraId="616AB62A" w14:textId="77777777"/>
    <w:p w:rsidR="00040FAF" w:rsidP="00040FAF" w:rsidRDefault="00040FAF" w14:paraId="55DB4232" w14:textId="77777777">
      <w:proofErr w:type="gramStart"/>
      <w:r>
        <w:t>Tevens</w:t>
      </w:r>
      <w:proofErr w:type="gramEnd"/>
      <w:r w:rsidRPr="00577F41">
        <w:t xml:space="preserve"> </w:t>
      </w:r>
      <w:r w:rsidRPr="003F3B16">
        <w:t>adviseert</w:t>
      </w:r>
      <w:r>
        <w:t xml:space="preserve"> de Afdeling om bij lastenmaatregelen inzicht te bieden in de effecten op de lastendruk, waarbij aandacht wordt besteed aan de lasten op respectievelijk de factor</w:t>
      </w:r>
      <w:r w:rsidRPr="00C11149">
        <w:t xml:space="preserve"> arbeid en </w:t>
      </w:r>
      <w:r>
        <w:t xml:space="preserve">de factor </w:t>
      </w:r>
      <w:r w:rsidRPr="00C11149">
        <w:t>kapitaal van verschillende huishoudtypen</w:t>
      </w:r>
      <w:r w:rsidRPr="00C11149">
        <w:rPr>
          <w:b/>
          <w:bCs/>
        </w:rPr>
        <w:t>.</w:t>
      </w:r>
      <w:r w:rsidRPr="00C11149">
        <w:t xml:space="preserve"> </w:t>
      </w:r>
      <w:r w:rsidRPr="00C73802">
        <w:t xml:space="preserve">Een aanvullend inzicht in </w:t>
      </w:r>
      <w:r>
        <w:t>de belastingdruk</w:t>
      </w:r>
      <w:r w:rsidRPr="00C73802">
        <w:t xml:space="preserve"> en </w:t>
      </w:r>
      <w:r>
        <w:t xml:space="preserve">de </w:t>
      </w:r>
      <w:r w:rsidRPr="00C73802">
        <w:t>verdelingseffecten vergroot de transparantie voor burgers, bedrijven en de Tweede Kamer, en maakt een integrale beoordeling van opeenvolgende beleidspakketten mogelijk.</w:t>
      </w:r>
    </w:p>
    <w:p w:rsidRPr="009B0083" w:rsidR="00040FAF" w:rsidP="00040FAF" w:rsidRDefault="00040FAF" w14:paraId="5787694E" w14:textId="77777777"/>
    <w:p w:rsidRPr="00097478" w:rsidR="00040FAF" w:rsidP="00040FAF" w:rsidRDefault="00040FAF" w14:paraId="00DFB9D2" w14:textId="77777777">
      <w:pPr>
        <w:pStyle w:val="Lijstalinea"/>
        <w:numPr>
          <w:ilvl w:val="0"/>
          <w:numId w:val="19"/>
        </w:numPr>
        <w:ind w:hanging="720"/>
        <w:rPr>
          <w:u w:val="single"/>
        </w:rPr>
      </w:pPr>
      <w:r w:rsidRPr="00097478">
        <w:rPr>
          <w:u w:val="single"/>
        </w:rPr>
        <w:t>Blijf alert op ondoelmatige fiscale regelingen</w:t>
      </w:r>
    </w:p>
    <w:p w:rsidRPr="009B0083" w:rsidR="00040FAF" w:rsidP="00040FAF" w:rsidRDefault="00040FAF" w14:paraId="21E850A8" w14:textId="77777777"/>
    <w:p w:rsidR="00040FAF" w:rsidP="00040FAF" w:rsidRDefault="00040FAF" w14:paraId="686B0CAE" w14:textId="77777777">
      <w:r>
        <w:t xml:space="preserve">De </w:t>
      </w:r>
      <w:r w:rsidRPr="009B0083">
        <w:t>18</w:t>
      </w:r>
      <w:r w:rsidRPr="009B0083">
        <w:rPr>
          <w:vertAlign w:val="superscript"/>
        </w:rPr>
        <w:t>e</w:t>
      </w:r>
      <w:r w:rsidRPr="009B0083">
        <w:t xml:space="preserve"> SBR </w:t>
      </w:r>
      <w:r>
        <w:t xml:space="preserve">wijst </w:t>
      </w:r>
      <w:r w:rsidRPr="009B0083">
        <w:t xml:space="preserve">op ondoelmatige fiscale regelingen. Uit evaluaties blijkt dat belastingwetten diverse regelingen bevatten waarvan niet duidelijk is welk doel zij nog dienen of waarvan het doel wel duidelijk is, maar waarbij de desbetreffende regelingen dat doel niet op een doeltreffende en/of doelmatige wijze bereiken. </w:t>
      </w:r>
      <w:r>
        <w:t xml:space="preserve">Voorbeelden zijn het lage tarief in de vennootschapsbelasting, de bedrijfsopvolgingsregeling in de schenk- en erfbelasting, de landbouwvrijstelling en de hypotheekrenteaftrek. </w:t>
      </w:r>
    </w:p>
    <w:p w:rsidR="00040FAF" w:rsidP="00040FAF" w:rsidRDefault="00040FAF" w14:paraId="6DD257C5" w14:textId="77777777"/>
    <w:p w:rsidR="00040FAF" w:rsidP="00040FAF" w:rsidRDefault="00040FAF" w14:paraId="397E1FF2" w14:textId="77777777">
      <w:r>
        <w:t xml:space="preserve">Het </w:t>
      </w:r>
      <w:r w:rsidRPr="009B0083">
        <w:t>coalitieakkoord</w:t>
      </w:r>
      <w:r>
        <w:t xml:space="preserve"> besteedt</w:t>
      </w:r>
      <w:r w:rsidRPr="009B0083">
        <w:t xml:space="preserve"> buiten het afschaffen van het verlaagde btw-tarief voor sierteelt</w:t>
      </w:r>
      <w:r>
        <w:t xml:space="preserve"> en de aftrek specifieke zorgkosten</w:t>
      </w:r>
      <w:r w:rsidRPr="009B0083">
        <w:t>, weinig aandacht aan het afschaffen van ondoelmatige fiscale regelingen.</w:t>
      </w:r>
      <w:r>
        <w:t xml:space="preserve"> Volgens de Voorjaarsnota is het uitgangspunt dat </w:t>
      </w:r>
      <w:proofErr w:type="gramStart"/>
      <w:r>
        <w:t>indien</w:t>
      </w:r>
      <w:proofErr w:type="gramEnd"/>
      <w:r>
        <w:t xml:space="preserve"> een fiscale regeling negatief geëvalueerd wordt, deze wordt afgeschaft of zodanig aangepast dat tegemoet wordt gekomen aan de aanbeveling van de evaluatie.</w:t>
      </w:r>
      <w:r>
        <w:rPr>
          <w:rStyle w:val="Voetnootmarkering"/>
        </w:rPr>
        <w:footnoteReference w:id="77"/>
      </w:r>
      <w:r>
        <w:t xml:space="preserve"> </w:t>
      </w:r>
    </w:p>
    <w:p w:rsidR="00040FAF" w:rsidP="00040FAF" w:rsidRDefault="00040FAF" w14:paraId="369C58A9" w14:textId="77777777"/>
    <w:p w:rsidR="00040FAF" w:rsidP="00040FAF" w:rsidRDefault="00040FAF" w14:paraId="27022BC1" w14:textId="77777777">
      <w:r>
        <w:t xml:space="preserve">Het inkomstenkader bevat echter geen opbrengsten als gevolg van het </w:t>
      </w:r>
      <w:proofErr w:type="spellStart"/>
      <w:r>
        <w:t>uitfaseren</w:t>
      </w:r>
      <w:proofErr w:type="spellEnd"/>
      <w:r>
        <w:t xml:space="preserve"> van andere fiscale regelingen dan het verlaagde btw-tarief voor sierteelt en de aftrek specifieke zorgkosten. Een positief effect hiervan is volgens de Afdeling dat geen inkomsten worden gebudgetteerd die naderhand niet worden gerealiseerd en dan vanwege het inkomstenkader op andere wijze moeten worden gedekt. Aan de andere kant zijn ondoelmatige fiscale regelingen vanuit economisch en sociaal oogpunt niet optimaal. De Afdeling </w:t>
      </w:r>
      <w:r w:rsidRPr="003F3B16">
        <w:t>adviseert</w:t>
      </w:r>
      <w:r>
        <w:t xml:space="preserve"> daarom te blijven streven naar het </w:t>
      </w:r>
      <w:proofErr w:type="spellStart"/>
      <w:r>
        <w:t>uitfaseren</w:t>
      </w:r>
      <w:proofErr w:type="spellEnd"/>
      <w:r>
        <w:t xml:space="preserve"> van ondoelmatige fiscale regelingen en hiervoor een concreet plan van aanpak te ontwikkelen. </w:t>
      </w:r>
    </w:p>
    <w:p w:rsidRPr="00820E43" w:rsidR="00040FAF" w:rsidP="00040FAF" w:rsidRDefault="00040FAF" w14:paraId="19555538" w14:textId="77777777">
      <w:pPr>
        <w:jc w:val="center"/>
      </w:pPr>
    </w:p>
    <w:p w:rsidR="00040FAF" w:rsidP="00040FAF" w:rsidRDefault="00040FAF" w14:paraId="7C3909DB" w14:textId="77777777">
      <w:r w:rsidRPr="009E4C8B">
        <w:t xml:space="preserve">De raming van de overheidsfinanciën kent grote onzekerheden, </w:t>
      </w:r>
      <w:r>
        <w:t xml:space="preserve">temeer nu </w:t>
      </w:r>
      <w:r w:rsidRPr="009E4C8B">
        <w:t xml:space="preserve">de aard en de duur van </w:t>
      </w:r>
      <w:r>
        <w:t xml:space="preserve">de oorlog </w:t>
      </w:r>
      <w:r w:rsidRPr="009E4C8B">
        <w:t xml:space="preserve">in het Midden-Oosten op dit moment niet is in te schatten. Een terugval van de – toch al gematigde – economische groei als gevolg van </w:t>
      </w:r>
      <w:r>
        <w:t xml:space="preserve">de oorlog </w:t>
      </w:r>
      <w:r w:rsidRPr="009E4C8B">
        <w:t xml:space="preserve">zou normaal gesproken leiden tot lagere overheidsinkomsten en hogere overheidsuitgaven. Dit houdt in dat het EMU-saldo met grote onzekerheden is omgeven. </w:t>
      </w:r>
    </w:p>
    <w:p w:rsidR="00040FAF" w:rsidP="00040FAF" w:rsidRDefault="00040FAF" w14:paraId="333C1A49" w14:textId="77777777"/>
    <w:p w:rsidR="00040FAF" w:rsidP="00040FAF" w:rsidRDefault="00040FAF" w14:paraId="23C92296" w14:textId="77777777">
      <w:r>
        <w:t xml:space="preserve">Tegen deze achtergrond is het van belang om vast te houden aan consistent trendmatig begrotingsbeleid, met heldere inkomsten- en uitgavenkaders als anker. Juist in een dergelijke systematiek is een volatiel conjunctuurgevoelig saldo niet richtinggevend. In plaats daarvan vraagt de nieuwe preventieve arm van het Europese begrotingsraamwerk om het borgen van voldoende afstand tot de tekort- en schuldgrenzen via het </w:t>
      </w:r>
      <w:proofErr w:type="spellStart"/>
      <w:r>
        <w:t>uitgavenpad</w:t>
      </w:r>
      <w:proofErr w:type="spellEnd"/>
      <w:r>
        <w:t>. Dat is onder normale omstandigheden al prudent, maar is in het huidige klimaat van uitsluitend neerwaartse risico’s des te urgenter.</w:t>
      </w:r>
    </w:p>
    <w:p w:rsidR="00040FAF" w:rsidP="00040FAF" w:rsidRDefault="00040FAF" w14:paraId="76409394" w14:textId="77777777"/>
    <w:p w:rsidR="00460E56" w:rsidP="00460E56" w:rsidRDefault="00040FAF" w14:paraId="110AEB32" w14:textId="3263B72B">
      <w:r w:rsidRPr="009B40C3">
        <w:t xml:space="preserve">De budgettaire marges voor de komende jaren zijn beperkt en kleiner dan in eerdere kabinetsperiodes. Dit maakt de noodzakelijke politieke keuzes niet eenvoudiger. </w:t>
      </w:r>
      <w:r>
        <w:t>Los van de discussie over politieke keuzes is het belangrijk dat kabinet en parlement gezamenlijk verantwoordelijkheid nemen voor een ordelijk begrotingsproces dat in lijn is met de door henzelf vastgestelde nationale en Europese wettelijke kaders.</w:t>
      </w:r>
    </w:p>
    <w:p w:rsidR="00795E44" w:rsidRDefault="00795E44" w14:paraId="7FDFE94D" w14:textId="02AC9F96">
      <w:r>
        <w:br w:type="page"/>
      </w:r>
    </w:p>
    <w:p w:rsidR="00460E56" w:rsidP="00460E56" w:rsidRDefault="00460E56" w14:paraId="4E6B173A" w14:textId="70B1A7DA">
      <w:pPr>
        <w:pStyle w:val="Lijstalinea"/>
        <w:numPr>
          <w:ilvl w:val="0"/>
          <w:numId w:val="4"/>
        </w:numPr>
      </w:pPr>
      <w:r>
        <w:lastRenderedPageBreak/>
        <w:t xml:space="preserve">REACTIE VAN HET KABINET </w:t>
      </w:r>
    </w:p>
    <w:p w:rsidR="00460E56" w:rsidP="00460E56" w:rsidRDefault="00460E56" w14:paraId="2E2A8158" w14:textId="77777777"/>
    <w:p w:rsidR="002B646B" w:rsidP="00795E44" w:rsidRDefault="004A7477" w14:paraId="360FC67D" w14:textId="77777777">
      <w:pPr>
        <w:pBdr>
          <w:top w:val="single" w:color="auto" w:sz="4" w:space="1"/>
          <w:left w:val="single" w:color="auto" w:sz="4" w:space="1"/>
          <w:bottom w:val="single" w:color="auto" w:sz="4" w:space="1"/>
          <w:right w:val="single" w:color="auto" w:sz="4" w:space="1"/>
        </w:pBdr>
        <w:rPr>
          <w:szCs w:val="22"/>
        </w:rPr>
      </w:pPr>
      <w:r w:rsidRPr="00143879">
        <w:rPr>
          <w:szCs w:val="22"/>
        </w:rPr>
        <w:t>Het kabinet dankt de Afdeling advisering van de Raad van State (hierna: de Afdeling) voor haar oordeel over de Voorjaarsnota 2026, de Jaarlijkse Voortgangsrapportage (</w:t>
      </w:r>
      <w:proofErr w:type="spellStart"/>
      <w:r w:rsidRPr="00460E56">
        <w:t>Annual</w:t>
      </w:r>
      <w:proofErr w:type="spellEnd"/>
      <w:r w:rsidRPr="00460E56">
        <w:t xml:space="preserve"> </w:t>
      </w:r>
      <w:proofErr w:type="spellStart"/>
      <w:r w:rsidRPr="00460E56">
        <w:t>Progress</w:t>
      </w:r>
      <w:proofErr w:type="spellEnd"/>
      <w:r w:rsidRPr="00460E56">
        <w:t xml:space="preserve"> </w:t>
      </w:r>
      <w:r w:rsidRPr="00143879">
        <w:rPr>
          <w:szCs w:val="22"/>
        </w:rPr>
        <w:t>Report, APR) 2026 en het nieuwe budgettair-structureel plan voor de middellange termijn (</w:t>
      </w:r>
      <w:proofErr w:type="spellStart"/>
      <w:r w:rsidRPr="00460E56">
        <w:t>Fiscal</w:t>
      </w:r>
      <w:proofErr w:type="spellEnd"/>
      <w:r w:rsidRPr="00460E56">
        <w:t xml:space="preserve"> </w:t>
      </w:r>
      <w:proofErr w:type="spellStart"/>
      <w:r w:rsidRPr="00460E56">
        <w:t>Structural</w:t>
      </w:r>
      <w:proofErr w:type="spellEnd"/>
      <w:r w:rsidRPr="00460E56">
        <w:t xml:space="preserve"> Plan, </w:t>
      </w:r>
      <w:r w:rsidRPr="00143879">
        <w:rPr>
          <w:szCs w:val="22"/>
        </w:rPr>
        <w:t>FSP) van het kabinet. Hierin toetst de Afdeling de ontwikkeling van de overheidsfinanciën en in hoeverre deze ontwikkeling voldoet aan de regels uit het Stabiliteits- en Groeipact (SGP) en de nationale begrotingsafspraken.</w:t>
      </w:r>
    </w:p>
    <w:p w:rsidR="002B646B" w:rsidP="00795E44" w:rsidRDefault="002B646B" w14:paraId="766F093B" w14:textId="77777777">
      <w:pPr>
        <w:pBdr>
          <w:top w:val="single" w:color="auto" w:sz="4" w:space="1"/>
          <w:left w:val="single" w:color="auto" w:sz="4" w:space="1"/>
          <w:bottom w:val="single" w:color="auto" w:sz="4" w:space="1"/>
          <w:right w:val="single" w:color="auto" w:sz="4" w:space="1"/>
        </w:pBdr>
        <w:rPr>
          <w:szCs w:val="22"/>
        </w:rPr>
      </w:pPr>
    </w:p>
    <w:p w:rsidR="002B646B" w:rsidP="00795E44" w:rsidRDefault="004A7477" w14:paraId="6195A8D9" w14:textId="77777777">
      <w:pPr>
        <w:pBdr>
          <w:top w:val="single" w:color="auto" w:sz="4" w:space="1"/>
          <w:left w:val="single" w:color="auto" w:sz="4" w:space="1"/>
          <w:bottom w:val="single" w:color="auto" w:sz="4" w:space="1"/>
          <w:right w:val="single" w:color="auto" w:sz="4" w:space="1"/>
        </w:pBdr>
        <w:rPr>
          <w:szCs w:val="22"/>
        </w:rPr>
      </w:pPr>
      <w:r w:rsidRPr="00143879">
        <w:rPr>
          <w:szCs w:val="22"/>
        </w:rPr>
        <w:t xml:space="preserve">In de Voorjaarsnota is de Startnota geïntegreerd. De Voorjaarsnota bevat daarmee naast een update van de Rijksbegroting voor de komende jaren, ook het afgesproken uitgavenkader en inkomstenkader van het nieuwe kabinet in lijn met het trendmatig begrotingsbeleid. </w:t>
      </w:r>
      <w:proofErr w:type="gramStart"/>
      <w:r w:rsidRPr="00143879">
        <w:rPr>
          <w:szCs w:val="22"/>
        </w:rPr>
        <w:t>Tevens</w:t>
      </w:r>
      <w:proofErr w:type="gramEnd"/>
      <w:r w:rsidRPr="00143879">
        <w:rPr>
          <w:szCs w:val="22"/>
        </w:rPr>
        <w:t xml:space="preserve"> worden in de Startnota de begrotingsregels van het nieuwe kabinet vastgesteld. De bijbehorende eerste suppletoire begrotingen bevatten de concrete wijzigingen per begrotingshoofdstuk.</w:t>
      </w:r>
    </w:p>
    <w:p w:rsidR="002B646B" w:rsidP="00795E44" w:rsidRDefault="002B646B" w14:paraId="2E9C726D" w14:textId="77777777">
      <w:pPr>
        <w:pBdr>
          <w:top w:val="single" w:color="auto" w:sz="4" w:space="1"/>
          <w:left w:val="single" w:color="auto" w:sz="4" w:space="1"/>
          <w:bottom w:val="single" w:color="auto" w:sz="4" w:space="1"/>
          <w:right w:val="single" w:color="auto" w:sz="4" w:space="1"/>
        </w:pBdr>
        <w:rPr>
          <w:szCs w:val="22"/>
        </w:rPr>
      </w:pPr>
    </w:p>
    <w:p w:rsidR="002B646B" w:rsidP="00795E44" w:rsidRDefault="004A7477" w14:paraId="24CCCC11" w14:textId="77777777">
      <w:pPr>
        <w:pBdr>
          <w:top w:val="single" w:color="auto" w:sz="4" w:space="1"/>
          <w:left w:val="single" w:color="auto" w:sz="4" w:space="1"/>
          <w:bottom w:val="single" w:color="auto" w:sz="4" w:space="1"/>
          <w:right w:val="single" w:color="auto" w:sz="4" w:space="1"/>
        </w:pBdr>
        <w:rPr>
          <w:szCs w:val="22"/>
        </w:rPr>
      </w:pPr>
      <w:r w:rsidRPr="00143879">
        <w:rPr>
          <w:szCs w:val="22"/>
        </w:rPr>
        <w:t>Het APR presenteert de voortgang van het vooralsnog geldende FSP, zoals opgesteld door het kabinet Schoof, dat in principe eens in de vier jaar opgesteld wordt. Het beschrijft de ontwikkeling van de Nederlandse overheidsfinanciën en de economische vooruitzichten ten aanzien van het SGP. Het huidige FSP waarop de Afdeling heeft getoetst geldt van 2024 tot en met 2028. Het kabinet heeft een nieuw FSP, op basis van de Voorjaarsnota 2026, ingediend bij de Europese Commissie (Commissie) op basis van de plannen uit het coalitieakkoord.</w:t>
      </w:r>
    </w:p>
    <w:p w:rsidR="002B646B" w:rsidP="00795E44" w:rsidRDefault="002B646B" w14:paraId="00B0CD7B" w14:textId="77777777">
      <w:pPr>
        <w:pBdr>
          <w:top w:val="single" w:color="auto" w:sz="4" w:space="1"/>
          <w:left w:val="single" w:color="auto" w:sz="4" w:space="1"/>
          <w:bottom w:val="single" w:color="auto" w:sz="4" w:space="1"/>
          <w:right w:val="single" w:color="auto" w:sz="4" w:space="1"/>
        </w:pBdr>
        <w:rPr>
          <w:szCs w:val="22"/>
        </w:rPr>
      </w:pPr>
    </w:p>
    <w:p w:rsidR="00CB394A" w:rsidP="00795E44" w:rsidRDefault="004A7477" w14:paraId="4ED6F8B0" w14:textId="5FBD6AA3">
      <w:pPr>
        <w:pBdr>
          <w:top w:val="single" w:color="auto" w:sz="4" w:space="1"/>
          <w:left w:val="single" w:color="auto" w:sz="4" w:space="1"/>
          <w:bottom w:val="single" w:color="auto" w:sz="4" w:space="1"/>
          <w:right w:val="single" w:color="auto" w:sz="4" w:space="1"/>
        </w:pBdr>
        <w:rPr>
          <w:szCs w:val="22"/>
        </w:rPr>
      </w:pPr>
      <w:r w:rsidRPr="00143879">
        <w:rPr>
          <w:szCs w:val="22"/>
        </w:rPr>
        <w:t>De overheidsfinanciën in het APR zijn gepresenteerd op basis van het Centraal Economisch Plan (CEP) van het Centraal Planbureau (CPB). In het FSP zijn voor de geraamde groei van de netto primaire uitgaven ook de CEP-cijfers van het CPB leidend, terwijl voor het bepalen van de maximaal toegestane uitgavengroei de methodiek van de Commissie en onderliggende (aangepaste) technische informatie leidend zijn. Dit verschilt met de Voorjaarsnota, die op basis van de ramingen van het kabinet wordt opgesteld. Hierdoor kunnen op sommige punten verschillen ontstaan. De economische vooruitzichten in zowel de Voorjaarsnota als het APR zijn gebaseerd op het Centraal Economisch Plan (CEP) 2026. De Afdeling heeft beoordeeld in hoeverre de ontwikkeling van de overheidsfinanciën voldoet aan de nationale begrotingsregels en de Europese begrotingsregels uit het SGP.</w:t>
      </w:r>
    </w:p>
    <w:p w:rsidR="00CB394A" w:rsidP="00795E44" w:rsidRDefault="00CB394A" w14:paraId="19B41707" w14:textId="77777777">
      <w:pPr>
        <w:pBdr>
          <w:top w:val="single" w:color="auto" w:sz="4" w:space="1"/>
          <w:left w:val="single" w:color="auto" w:sz="4" w:space="1"/>
          <w:bottom w:val="single" w:color="auto" w:sz="4" w:space="1"/>
          <w:right w:val="single" w:color="auto" w:sz="4" w:space="1"/>
        </w:pBdr>
        <w:rPr>
          <w:szCs w:val="22"/>
        </w:rPr>
      </w:pPr>
    </w:p>
    <w:p w:rsidR="00795E44" w:rsidP="00795E44" w:rsidRDefault="004A7477" w14:paraId="43A03C86" w14:textId="77777777">
      <w:pPr>
        <w:pBdr>
          <w:top w:val="single" w:color="auto" w:sz="4" w:space="1"/>
          <w:left w:val="single" w:color="auto" w:sz="4" w:space="1"/>
          <w:bottom w:val="single" w:color="auto" w:sz="4" w:space="1"/>
          <w:right w:val="single" w:color="auto" w:sz="4" w:space="1"/>
        </w:pBdr>
        <w:rPr>
          <w:szCs w:val="22"/>
        </w:rPr>
      </w:pPr>
      <w:r w:rsidRPr="00143879">
        <w:rPr>
          <w:szCs w:val="22"/>
        </w:rPr>
        <w:t>Hierbij reageert het kabinet puntsgewijs op de aanbevelingen en opmerkingen van de Afdeling zoals beschreven in de rapportage.</w:t>
      </w:r>
    </w:p>
    <w:p w:rsidR="00795E44" w:rsidP="00795E44" w:rsidRDefault="00795E44" w14:paraId="4A348F37" w14:textId="77777777">
      <w:pPr>
        <w:pBdr>
          <w:top w:val="single" w:color="auto" w:sz="4" w:space="1"/>
          <w:left w:val="single" w:color="auto" w:sz="4" w:space="1"/>
          <w:bottom w:val="single" w:color="auto" w:sz="4" w:space="1"/>
          <w:right w:val="single" w:color="auto" w:sz="4" w:space="1"/>
        </w:pBdr>
        <w:rPr>
          <w:szCs w:val="22"/>
        </w:rPr>
      </w:pPr>
    </w:p>
    <w:p w:rsidR="00795E44" w:rsidP="00795E44" w:rsidRDefault="004A7477" w14:paraId="713C5462" w14:textId="77777777">
      <w:pPr>
        <w:pBdr>
          <w:top w:val="single" w:color="auto" w:sz="4" w:space="1"/>
          <w:left w:val="single" w:color="auto" w:sz="4" w:space="1"/>
          <w:bottom w:val="single" w:color="auto" w:sz="4" w:space="1"/>
          <w:right w:val="single" w:color="auto" w:sz="4" w:space="1"/>
        </w:pBdr>
        <w:rPr>
          <w:szCs w:val="22"/>
        </w:rPr>
      </w:pPr>
      <w:r w:rsidRPr="00CB394A">
        <w:rPr>
          <w:szCs w:val="22"/>
          <w:u w:val="single"/>
        </w:rPr>
        <w:t>Toetsing aan de Europese begrotingsregels op basis van APR</w:t>
      </w:r>
    </w:p>
    <w:p w:rsidR="00795E44" w:rsidP="00795E44" w:rsidRDefault="004A7477" w14:paraId="327E16F5" w14:textId="211FEE49">
      <w:pPr>
        <w:pBdr>
          <w:top w:val="single" w:color="auto" w:sz="4" w:space="1"/>
          <w:left w:val="single" w:color="auto" w:sz="4" w:space="1"/>
          <w:bottom w:val="single" w:color="auto" w:sz="4" w:space="1"/>
          <w:right w:val="single" w:color="auto" w:sz="4" w:space="1"/>
        </w:pBdr>
        <w:rPr>
          <w:szCs w:val="22"/>
        </w:rPr>
      </w:pPr>
      <w:r w:rsidRPr="00143879">
        <w:rPr>
          <w:szCs w:val="22"/>
        </w:rPr>
        <w:t xml:space="preserve">In de Voorjaarsrapportage toetst de Afdeling of de begroting voldoet aan de Europese begrotingsregels in 2025, 2026 en 2027. De Afdeling kijkt hierbij naar cijfers uit het APR waarin de CPB-ramingen voor de overheidsfinanciën zijn verwerkt. In het APR rapporteren lidstaten van de Europese Unie over het </w:t>
      </w:r>
      <w:r w:rsidRPr="00143879">
        <w:rPr>
          <w:szCs w:val="22"/>
        </w:rPr>
        <w:lastRenderedPageBreak/>
        <w:t xml:space="preserve">meerjarig </w:t>
      </w:r>
      <w:proofErr w:type="spellStart"/>
      <w:r w:rsidRPr="00143879">
        <w:rPr>
          <w:szCs w:val="22"/>
        </w:rPr>
        <w:t>uitgavenpad</w:t>
      </w:r>
      <w:proofErr w:type="spellEnd"/>
      <w:r w:rsidRPr="00143879">
        <w:rPr>
          <w:szCs w:val="22"/>
        </w:rPr>
        <w:t xml:space="preserve"> en de voortgang op de hervormingen en investeringen die in het FSP zijn opgenomen.</w:t>
      </w:r>
    </w:p>
    <w:p w:rsidR="00795E44" w:rsidP="00795E44" w:rsidRDefault="00795E44" w14:paraId="557007F3" w14:textId="77777777">
      <w:pPr>
        <w:pBdr>
          <w:top w:val="single" w:color="auto" w:sz="4" w:space="1"/>
          <w:left w:val="single" w:color="auto" w:sz="4" w:space="1"/>
          <w:bottom w:val="single" w:color="auto" w:sz="4" w:space="1"/>
          <w:right w:val="single" w:color="auto" w:sz="4" w:space="1"/>
        </w:pBdr>
        <w:rPr>
          <w:szCs w:val="22"/>
        </w:rPr>
      </w:pPr>
    </w:p>
    <w:p w:rsidR="00CB394A" w:rsidP="00795E44" w:rsidRDefault="004A7477" w14:paraId="2A438973" w14:textId="77777777">
      <w:pPr>
        <w:pBdr>
          <w:top w:val="single" w:color="auto" w:sz="4" w:space="1"/>
          <w:left w:val="single" w:color="auto" w:sz="4" w:space="1"/>
          <w:bottom w:val="single" w:color="auto" w:sz="4" w:space="1"/>
          <w:right w:val="single" w:color="auto" w:sz="4" w:space="1"/>
        </w:pBdr>
        <w:rPr>
          <w:szCs w:val="22"/>
        </w:rPr>
      </w:pPr>
      <w:r w:rsidRPr="00143879">
        <w:rPr>
          <w:szCs w:val="22"/>
        </w:rPr>
        <w:t>De Afdeling concludeert dat Nederland op basis van zowel het APR als de Voorjaarsnota in alle jaren voldoet aan de vereisten van de correctieve arm uit het SGP. In 2025 bedraagt het EMU-saldo -1,6% bbp en de EMU-schuld 44,4% bbp. Ook in de ramingen van het CPB voor 2026 en 2027 blijft het EMU-saldo boven de -3% bbp (respectievelijk -2,6% bbp en -1,9% bbp) en de EMU-schuld onder de 60% bbp (45,3% bbp in beide jaren).</w:t>
      </w:r>
    </w:p>
    <w:p w:rsidR="00CB394A" w:rsidP="00795E44" w:rsidRDefault="00CB394A" w14:paraId="72D14B84" w14:textId="77777777">
      <w:pPr>
        <w:pBdr>
          <w:top w:val="single" w:color="auto" w:sz="4" w:space="1"/>
          <w:left w:val="single" w:color="auto" w:sz="4" w:space="1"/>
          <w:bottom w:val="single" w:color="auto" w:sz="4" w:space="1"/>
          <w:right w:val="single" w:color="auto" w:sz="4" w:space="1"/>
        </w:pBdr>
        <w:rPr>
          <w:szCs w:val="22"/>
        </w:rPr>
      </w:pPr>
    </w:p>
    <w:p w:rsidR="00CB394A" w:rsidP="00795E44" w:rsidRDefault="004A7477" w14:paraId="7BFCCF73" w14:textId="77777777">
      <w:pPr>
        <w:pBdr>
          <w:top w:val="single" w:color="auto" w:sz="4" w:space="1"/>
          <w:left w:val="single" w:color="auto" w:sz="4" w:space="1"/>
          <w:bottom w:val="single" w:color="auto" w:sz="4" w:space="1"/>
          <w:right w:val="single" w:color="auto" w:sz="4" w:space="1"/>
        </w:pBdr>
        <w:rPr>
          <w:szCs w:val="22"/>
        </w:rPr>
      </w:pPr>
      <w:r w:rsidRPr="00143879">
        <w:rPr>
          <w:szCs w:val="22"/>
        </w:rPr>
        <w:t xml:space="preserve">Onder de herziene begrotingsregels van het SGP stelt de Raad van de Europese Unie (de Raad) per lidstaat een maximum voor de uitgavengroei vast, het zogenoemde aanbevolen </w:t>
      </w:r>
      <w:proofErr w:type="spellStart"/>
      <w:r w:rsidRPr="00143879">
        <w:rPr>
          <w:szCs w:val="22"/>
        </w:rPr>
        <w:t>uitgavenpad</w:t>
      </w:r>
      <w:proofErr w:type="spellEnd"/>
      <w:r w:rsidRPr="00143879">
        <w:rPr>
          <w:szCs w:val="22"/>
        </w:rPr>
        <w:t>.</w:t>
      </w:r>
      <w:r w:rsidRPr="00143879">
        <w:rPr>
          <w:rStyle w:val="Voetnootmarkering"/>
          <w:szCs w:val="22"/>
        </w:rPr>
        <w:footnoteReference w:id="78"/>
      </w:r>
      <w:r w:rsidRPr="00143879">
        <w:rPr>
          <w:szCs w:val="22"/>
        </w:rPr>
        <w:t xml:space="preserve"> Het aanbevolen </w:t>
      </w:r>
      <w:proofErr w:type="spellStart"/>
      <w:r w:rsidRPr="00143879">
        <w:rPr>
          <w:szCs w:val="22"/>
        </w:rPr>
        <w:t>uitgavenpad</w:t>
      </w:r>
      <w:proofErr w:type="spellEnd"/>
      <w:r w:rsidRPr="00143879">
        <w:rPr>
          <w:szCs w:val="22"/>
        </w:rPr>
        <w:t xml:space="preserve"> zorgt ervoor dat de overheidsschuld van lidstaten op de middellange termijn (een tijdsperiode bestaande uit de aanpassingsperiode van 4 of 7 jaar plus 10 jaar) op een prudent niveau blijft onder de 60% bbp, of geloofwaardig daalt </w:t>
      </w:r>
      <w:proofErr w:type="gramStart"/>
      <w:r w:rsidRPr="00143879">
        <w:rPr>
          <w:szCs w:val="22"/>
        </w:rPr>
        <w:t>indien</w:t>
      </w:r>
      <w:proofErr w:type="gramEnd"/>
      <w:r w:rsidRPr="00143879">
        <w:rPr>
          <w:szCs w:val="22"/>
        </w:rPr>
        <w:t xml:space="preserve"> de schuld hoger is dan 60% bbp. Ook moet dit </w:t>
      </w:r>
      <w:proofErr w:type="spellStart"/>
      <w:r w:rsidRPr="00143879">
        <w:rPr>
          <w:szCs w:val="22"/>
        </w:rPr>
        <w:t>uitgavenpad</w:t>
      </w:r>
      <w:proofErr w:type="spellEnd"/>
      <w:r w:rsidRPr="00143879">
        <w:rPr>
          <w:szCs w:val="22"/>
        </w:rPr>
        <w:t xml:space="preserve"> ervoor zorgen dat het tekort onder de 3% bbp blijft op de middellange termijn. Volgens het huidige door de Raad aanbevolen </w:t>
      </w:r>
      <w:proofErr w:type="spellStart"/>
      <w:r w:rsidRPr="00143879">
        <w:rPr>
          <w:szCs w:val="22"/>
        </w:rPr>
        <w:t>uitgavenpad</w:t>
      </w:r>
      <w:proofErr w:type="spellEnd"/>
      <w:r w:rsidRPr="00143879">
        <w:rPr>
          <w:szCs w:val="22"/>
        </w:rPr>
        <w:t xml:space="preserve"> kan Nederland, om te voldoen aan de eisen, de netto primaire uitgaven jaarlijks met gemiddeld 3,2% laten groeien in de periode van 2025 tot en met 2028. Specifiek mogen de uitgaven groeien met ten hoogste 3,5% in 2025, 3,3% in 2026 en 3,0% in zowel 2027 en 2028.</w:t>
      </w:r>
    </w:p>
    <w:p w:rsidR="00CB394A" w:rsidP="00795E44" w:rsidRDefault="00CB394A" w14:paraId="71A0CF3F" w14:textId="77777777">
      <w:pPr>
        <w:pBdr>
          <w:top w:val="single" w:color="auto" w:sz="4" w:space="1"/>
          <w:left w:val="single" w:color="auto" w:sz="4" w:space="1"/>
          <w:bottom w:val="single" w:color="auto" w:sz="4" w:space="1"/>
          <w:right w:val="single" w:color="auto" w:sz="4" w:space="1"/>
        </w:pBdr>
        <w:rPr>
          <w:szCs w:val="22"/>
        </w:rPr>
      </w:pPr>
    </w:p>
    <w:p w:rsidR="00CB394A" w:rsidP="00795E44" w:rsidRDefault="004A7477" w14:paraId="2CAF6457" w14:textId="77777777">
      <w:pPr>
        <w:pBdr>
          <w:top w:val="single" w:color="auto" w:sz="4" w:space="1"/>
          <w:left w:val="single" w:color="auto" w:sz="4" w:space="1"/>
          <w:bottom w:val="single" w:color="auto" w:sz="4" w:space="1"/>
          <w:right w:val="single" w:color="auto" w:sz="4" w:space="1"/>
        </w:pBdr>
        <w:rPr>
          <w:szCs w:val="22"/>
        </w:rPr>
      </w:pPr>
      <w:r w:rsidRPr="00143879">
        <w:rPr>
          <w:szCs w:val="22"/>
        </w:rPr>
        <w:t xml:space="preserve">De Afdeling constateert dat de uitgavengroei van de Rijksbegroting de maximale uitgavengroei, zoals vastgesteld door de Europese Raad op basis van het FSP van het kabinet-Schoof, overstijgt. De netto primaire uitgaven stijgen jaarlijks met gemiddeld 4,6% in de periode van 2025 tot en met 2028. In de verschillende jaren stijgen de uitgaven ten opzichte van 2023 met 7,2% in 2025, 4,7% in 2026, 3,5% in 2027 en 3,1% in 2028. De cumulatieve groei is ook hoger dan aanbevolen. In 2028 bedraagt de cumulatieve groei 26,9%, terwijl de norm 21% voorschrijft. Zolang het EMU-saldo boven de -3% bbp en de EMU-schuld onder de 60% blijft heeft het eventueel niet voldoen aan het aanbevolen </w:t>
      </w:r>
      <w:proofErr w:type="spellStart"/>
      <w:r w:rsidRPr="00143879">
        <w:rPr>
          <w:szCs w:val="22"/>
        </w:rPr>
        <w:t>uitgavenpad</w:t>
      </w:r>
      <w:proofErr w:type="spellEnd"/>
      <w:r w:rsidRPr="00143879">
        <w:rPr>
          <w:szCs w:val="22"/>
        </w:rPr>
        <w:t xml:space="preserve"> geen concrete gevolgen. Dit is in de huidige kabinetsperiode nog steeds het geval.</w:t>
      </w:r>
    </w:p>
    <w:p w:rsidR="00CB394A" w:rsidP="00795E44" w:rsidRDefault="00CB394A" w14:paraId="25FF101B" w14:textId="77777777">
      <w:pPr>
        <w:pBdr>
          <w:top w:val="single" w:color="auto" w:sz="4" w:space="1"/>
          <w:left w:val="single" w:color="auto" w:sz="4" w:space="1"/>
          <w:bottom w:val="single" w:color="auto" w:sz="4" w:space="1"/>
          <w:right w:val="single" w:color="auto" w:sz="4" w:space="1"/>
        </w:pBdr>
        <w:rPr>
          <w:szCs w:val="22"/>
        </w:rPr>
      </w:pPr>
    </w:p>
    <w:p w:rsidR="00CB394A" w:rsidP="00795E44" w:rsidRDefault="004A7477" w14:paraId="5FA9374B" w14:textId="610526F5">
      <w:pPr>
        <w:pBdr>
          <w:top w:val="single" w:color="auto" w:sz="4" w:space="1"/>
          <w:left w:val="single" w:color="auto" w:sz="4" w:space="1"/>
          <w:bottom w:val="single" w:color="auto" w:sz="4" w:space="1"/>
          <w:right w:val="single" w:color="auto" w:sz="4" w:space="1"/>
        </w:pBdr>
        <w:rPr>
          <w:szCs w:val="22"/>
        </w:rPr>
      </w:pPr>
      <w:r w:rsidRPr="00143879">
        <w:rPr>
          <w:szCs w:val="22"/>
        </w:rPr>
        <w:t xml:space="preserve">Het kabinet onderschrijft de beoordeling van de Afdeling over de naleving van de Europese begrotingsregels. De overheidsfinanciën voldoen in de gehele kabinetsperiode aan de Europese referentiewaarden van -3% EMU-saldo en 60% EMU-schuld. Hiermee geeft Nederland invulling aan de afspraak om buitensporige tekorten te vermijden en kunnen de Commissie en de Raad geen handhavingsmaatregelen opleggen. Bovendien heeft het kabinet afgesproken om zich te houden aan de Europese referentiewaarden. De Europese Raad zal op basis van het nieuwe FSP een nieuw </w:t>
      </w:r>
      <w:proofErr w:type="spellStart"/>
      <w:r w:rsidRPr="00143879">
        <w:rPr>
          <w:szCs w:val="22"/>
        </w:rPr>
        <w:t>uitgavenpad</w:t>
      </w:r>
      <w:proofErr w:type="spellEnd"/>
      <w:r w:rsidRPr="00143879">
        <w:rPr>
          <w:szCs w:val="22"/>
        </w:rPr>
        <w:t xml:space="preserve"> vaststellen. De ontwikkeling </w:t>
      </w:r>
      <w:r w:rsidRPr="00143879">
        <w:rPr>
          <w:szCs w:val="22"/>
        </w:rPr>
        <w:lastRenderedPageBreak/>
        <w:t xml:space="preserve">van de Nederlandse overheidsfinanciën op basis van de Voorjaarsnota 2026 voldoet aan het nieuwe </w:t>
      </w:r>
      <w:proofErr w:type="spellStart"/>
      <w:r w:rsidRPr="00143879">
        <w:rPr>
          <w:szCs w:val="22"/>
        </w:rPr>
        <w:t>uitgavenpad</w:t>
      </w:r>
      <w:proofErr w:type="spellEnd"/>
      <w:r w:rsidRPr="00143879">
        <w:rPr>
          <w:szCs w:val="22"/>
        </w:rPr>
        <w:t>.</w:t>
      </w:r>
    </w:p>
    <w:p w:rsidR="00CB394A" w:rsidP="00795E44" w:rsidRDefault="00CB394A" w14:paraId="01E54653" w14:textId="77777777">
      <w:pPr>
        <w:pBdr>
          <w:top w:val="single" w:color="auto" w:sz="4" w:space="1"/>
          <w:left w:val="single" w:color="auto" w:sz="4" w:space="1"/>
          <w:bottom w:val="single" w:color="auto" w:sz="4" w:space="1"/>
          <w:right w:val="single" w:color="auto" w:sz="4" w:space="1"/>
        </w:pBdr>
        <w:rPr>
          <w:szCs w:val="22"/>
        </w:rPr>
      </w:pPr>
    </w:p>
    <w:p w:rsidR="00CB394A" w:rsidP="00795E44" w:rsidRDefault="004A7477" w14:paraId="79BB2257" w14:textId="77777777">
      <w:pPr>
        <w:pBdr>
          <w:top w:val="single" w:color="auto" w:sz="4" w:space="1"/>
          <w:left w:val="single" w:color="auto" w:sz="4" w:space="1"/>
          <w:bottom w:val="single" w:color="auto" w:sz="4" w:space="1"/>
          <w:right w:val="single" w:color="auto" w:sz="4" w:space="1"/>
        </w:pBdr>
        <w:rPr>
          <w:szCs w:val="22"/>
        </w:rPr>
      </w:pPr>
      <w:r w:rsidRPr="00CB394A">
        <w:rPr>
          <w:szCs w:val="22"/>
          <w:u w:val="single"/>
        </w:rPr>
        <w:t xml:space="preserve">Het </w:t>
      </w:r>
      <w:bookmarkStart w:name="_Hlk226536544" w:id="1"/>
      <w:r w:rsidRPr="00CB394A">
        <w:rPr>
          <w:szCs w:val="22"/>
          <w:u w:val="single"/>
        </w:rPr>
        <w:t>nieuwe budgettair-structureel plan voor de middellange termijn</w:t>
      </w:r>
      <w:bookmarkEnd w:id="1"/>
    </w:p>
    <w:p w:rsidR="00CB394A" w:rsidP="00795E44" w:rsidRDefault="004A7477" w14:paraId="1B216B9A" w14:textId="77777777">
      <w:pPr>
        <w:pBdr>
          <w:top w:val="single" w:color="auto" w:sz="4" w:space="1"/>
          <w:left w:val="single" w:color="auto" w:sz="4" w:space="1"/>
          <w:bottom w:val="single" w:color="auto" w:sz="4" w:space="1"/>
          <w:right w:val="single" w:color="auto" w:sz="4" w:space="1"/>
        </w:pBdr>
        <w:rPr>
          <w:szCs w:val="22"/>
        </w:rPr>
      </w:pPr>
      <w:r w:rsidRPr="00143879">
        <w:rPr>
          <w:szCs w:val="22"/>
        </w:rPr>
        <w:t xml:space="preserve">Het kabinet heeft op basis van het coalitieakkoord een nieuw FSP ingediend bij de Commissie. Dit FSP, en het daaruit volgende </w:t>
      </w:r>
      <w:proofErr w:type="spellStart"/>
      <w:r w:rsidRPr="00143879">
        <w:rPr>
          <w:szCs w:val="22"/>
        </w:rPr>
        <w:t>uitgavenpad</w:t>
      </w:r>
      <w:proofErr w:type="spellEnd"/>
      <w:r w:rsidRPr="00143879">
        <w:rPr>
          <w:szCs w:val="22"/>
        </w:rPr>
        <w:t xml:space="preserve"> dat door de Raad van de Europese Unie wordt vastgesteld, geldt voor een budgettaire aanpassingsperiode van 2026 tot en met 2029. De Afdeling heeft beoordeeld of het nieuwe FSP voldoet aan de vereisten van het herziene SGP. De Afdeling constateert dat het FSP op het eerste gezicht voldoet aan de vereisten van de preventieve arm van het SGP, maar plaatst wel enkele kanttekeningen bij de wijze waarop het kabinet tot deze uitkomst is gekomen.</w:t>
      </w:r>
    </w:p>
    <w:p w:rsidR="00CB394A" w:rsidP="00795E44" w:rsidRDefault="00CB394A" w14:paraId="113FBE21" w14:textId="77777777">
      <w:pPr>
        <w:pBdr>
          <w:top w:val="single" w:color="auto" w:sz="4" w:space="1"/>
          <w:left w:val="single" w:color="auto" w:sz="4" w:space="1"/>
          <w:bottom w:val="single" w:color="auto" w:sz="4" w:space="1"/>
          <w:right w:val="single" w:color="auto" w:sz="4" w:space="1"/>
        </w:pBdr>
        <w:rPr>
          <w:szCs w:val="22"/>
        </w:rPr>
      </w:pPr>
    </w:p>
    <w:p w:rsidR="00CB394A" w:rsidP="00795E44" w:rsidRDefault="004A7477" w14:paraId="6C29C07E" w14:textId="77777777">
      <w:pPr>
        <w:pBdr>
          <w:top w:val="single" w:color="auto" w:sz="4" w:space="1"/>
          <w:left w:val="single" w:color="auto" w:sz="4" w:space="1"/>
          <w:bottom w:val="single" w:color="auto" w:sz="4" w:space="1"/>
          <w:right w:val="single" w:color="auto" w:sz="4" w:space="1"/>
        </w:pBdr>
        <w:rPr>
          <w:szCs w:val="22"/>
        </w:rPr>
      </w:pPr>
      <w:r w:rsidRPr="00143879">
        <w:rPr>
          <w:szCs w:val="22"/>
        </w:rPr>
        <w:t xml:space="preserve">De Afdeling constateert dat in het FSP de budgettaire aannames en ramingen van de Commissie leidend zijn voor de berekening van de maximale netto-uitgaven. Met de projecties van de Commissie voldoen de Nederlandse overheidsfinanciën tot en met 2039 aan de Europese referentiewaarden. De Afdeling wijst erop dat de overheidsfinanciën in de </w:t>
      </w:r>
      <w:proofErr w:type="spellStart"/>
      <w:r w:rsidRPr="00143879">
        <w:rPr>
          <w:szCs w:val="22"/>
        </w:rPr>
        <w:t>langetermijnramingen</w:t>
      </w:r>
      <w:proofErr w:type="spellEnd"/>
      <w:r w:rsidRPr="00143879">
        <w:rPr>
          <w:szCs w:val="22"/>
        </w:rPr>
        <w:t xml:space="preserve"> van het CPB de Europese referentiewaarden op termijn overschrijden. Dit houdt in dat het FSP naar verwachting formeel aan de norm voor de cumulatieve netto-uitgavengroei voldoet, maar dat het voorgestelde </w:t>
      </w:r>
      <w:proofErr w:type="spellStart"/>
      <w:r w:rsidRPr="00143879">
        <w:rPr>
          <w:szCs w:val="22"/>
        </w:rPr>
        <w:t>uitgavenpad</w:t>
      </w:r>
      <w:proofErr w:type="spellEnd"/>
      <w:r w:rsidRPr="00143879">
        <w:rPr>
          <w:szCs w:val="22"/>
        </w:rPr>
        <w:t xml:space="preserve"> op basis van de CPB-raming op de lange termijn niet houdbaar lijkt.</w:t>
      </w:r>
    </w:p>
    <w:p w:rsidR="00CB394A" w:rsidP="00795E44" w:rsidRDefault="00CB394A" w14:paraId="6A4F51CC" w14:textId="77777777">
      <w:pPr>
        <w:pBdr>
          <w:top w:val="single" w:color="auto" w:sz="4" w:space="1"/>
          <w:left w:val="single" w:color="auto" w:sz="4" w:space="1"/>
          <w:bottom w:val="single" w:color="auto" w:sz="4" w:space="1"/>
          <w:right w:val="single" w:color="auto" w:sz="4" w:space="1"/>
        </w:pBdr>
        <w:rPr>
          <w:szCs w:val="22"/>
        </w:rPr>
      </w:pPr>
    </w:p>
    <w:p w:rsidR="00CB394A" w:rsidP="00795E44" w:rsidRDefault="004A7477" w14:paraId="18CAA1E7" w14:textId="1DB466F0">
      <w:pPr>
        <w:pBdr>
          <w:top w:val="single" w:color="auto" w:sz="4" w:space="1"/>
          <w:left w:val="single" w:color="auto" w:sz="4" w:space="1"/>
          <w:bottom w:val="single" w:color="auto" w:sz="4" w:space="1"/>
          <w:right w:val="single" w:color="auto" w:sz="4" w:space="1"/>
        </w:pBdr>
        <w:rPr>
          <w:szCs w:val="22"/>
        </w:rPr>
      </w:pPr>
      <w:r w:rsidRPr="00143879">
        <w:rPr>
          <w:szCs w:val="22"/>
        </w:rPr>
        <w:t>Voorts constateert de Afdeling dat toepassing van de macro-economische aannames en ramingen van de Commissie consistent is met de methodiek zoals deze door de Commissie wordt gehanteerd, maar dat dit afwijkt van de nationale bepalingen uit de Wet houdbare overheidsfinanciën (Wet Hof) om de methodiek van het CPB te volgen. De Afdeling beveelt aan om consequent de macro-economische uitgangspunten van het CPB te hanteren als grondslag voor de ramingen van het saldo en de schuld, en bij afwijking hiervan dit expliciet en volledig te verantwoorden.</w:t>
      </w:r>
    </w:p>
    <w:p w:rsidR="00CB394A" w:rsidP="00795E44" w:rsidRDefault="00CB394A" w14:paraId="33498373" w14:textId="77777777">
      <w:pPr>
        <w:pBdr>
          <w:top w:val="single" w:color="auto" w:sz="4" w:space="1"/>
          <w:left w:val="single" w:color="auto" w:sz="4" w:space="1"/>
          <w:bottom w:val="single" w:color="auto" w:sz="4" w:space="1"/>
          <w:right w:val="single" w:color="auto" w:sz="4" w:space="1"/>
        </w:pBdr>
        <w:rPr>
          <w:szCs w:val="22"/>
        </w:rPr>
      </w:pPr>
    </w:p>
    <w:p w:rsidR="00CB394A" w:rsidP="00795E44" w:rsidRDefault="004A7477" w14:paraId="379443DA" w14:textId="77777777">
      <w:pPr>
        <w:pBdr>
          <w:top w:val="single" w:color="auto" w:sz="4" w:space="1"/>
          <w:left w:val="single" w:color="auto" w:sz="4" w:space="1"/>
          <w:bottom w:val="single" w:color="auto" w:sz="4" w:space="1"/>
          <w:right w:val="single" w:color="auto" w:sz="4" w:space="1"/>
        </w:pBdr>
        <w:rPr>
          <w:szCs w:val="22"/>
        </w:rPr>
      </w:pPr>
      <w:r w:rsidRPr="00143879">
        <w:rPr>
          <w:szCs w:val="22"/>
        </w:rPr>
        <w:t>Het kabinet onderschrijft de analyse van de Afdeling dat het schuldhoudbaarheidsmodel (DSA-model) en de onderliggende technische informatie van de Commissie in het herziene Europese begrotingsraamwerk leidend zijn bij het bepalen van de maximaal toegestane groei van de netto primaire uitgaven. Nationaal vaart Nederland op ramingen van het CPB, zoals ook vastgelegd in de Wet Hof. In het FSP is daarom de door het CPB geraamde groei van de netto-primaire uitgaven afgezet tegen de maximaal toegestane uitgavengroei op basis van het DSA-model en onderliggende (aangepaste)</w:t>
      </w:r>
      <w:r w:rsidRPr="00143879">
        <w:rPr>
          <w:rStyle w:val="Voetnootmarkering"/>
          <w:szCs w:val="22"/>
        </w:rPr>
        <w:footnoteReference w:id="79"/>
      </w:r>
      <w:r w:rsidRPr="00143879">
        <w:rPr>
          <w:szCs w:val="22"/>
        </w:rPr>
        <w:t xml:space="preserve"> technische informatie van de Commissie. De geraamde uitgavengroei overschrijdt de maximaal toegestane groei zoals gepresenteerd in het FSP niet. </w:t>
      </w:r>
      <w:r w:rsidRPr="00143879">
        <w:rPr>
          <w:szCs w:val="22"/>
        </w:rPr>
        <w:lastRenderedPageBreak/>
        <w:t xml:space="preserve">Daarbij erkent het kabinet dat het DSA-model van de Commissie verschilt van de ramingsmethodiek van het CPB. Zodra het </w:t>
      </w:r>
      <w:proofErr w:type="spellStart"/>
      <w:r w:rsidRPr="00143879">
        <w:rPr>
          <w:szCs w:val="22"/>
        </w:rPr>
        <w:t>uitgavenpad</w:t>
      </w:r>
      <w:proofErr w:type="spellEnd"/>
      <w:r w:rsidRPr="00143879">
        <w:rPr>
          <w:szCs w:val="22"/>
        </w:rPr>
        <w:t xml:space="preserve"> door de Raad is vastgesteld zal deze gedurende de monitoring in de Europese begrotingsstukken (APR en Ontwerpbegrotingen (</w:t>
      </w:r>
      <w:r w:rsidRPr="00143879">
        <w:rPr>
          <w:i/>
          <w:iCs/>
          <w:szCs w:val="22"/>
        </w:rPr>
        <w:t xml:space="preserve">Draft </w:t>
      </w:r>
      <w:proofErr w:type="spellStart"/>
      <w:r w:rsidRPr="00143879">
        <w:rPr>
          <w:i/>
          <w:iCs/>
          <w:szCs w:val="22"/>
        </w:rPr>
        <w:t>Budgetary</w:t>
      </w:r>
      <w:proofErr w:type="spellEnd"/>
      <w:r w:rsidRPr="00143879">
        <w:rPr>
          <w:i/>
          <w:iCs/>
          <w:szCs w:val="22"/>
        </w:rPr>
        <w:t xml:space="preserve"> </w:t>
      </w:r>
      <w:proofErr w:type="spellStart"/>
      <w:r w:rsidRPr="00143879">
        <w:rPr>
          <w:i/>
          <w:iCs/>
          <w:szCs w:val="22"/>
        </w:rPr>
        <w:t>Plans</w:t>
      </w:r>
      <w:proofErr w:type="spellEnd"/>
      <w:r w:rsidRPr="00143879">
        <w:rPr>
          <w:i/>
          <w:iCs/>
          <w:szCs w:val="22"/>
        </w:rPr>
        <w:t xml:space="preserve">, </w:t>
      </w:r>
      <w:r w:rsidRPr="00143879">
        <w:rPr>
          <w:szCs w:val="22"/>
        </w:rPr>
        <w:t xml:space="preserve">DBP) worden afgezet tegen de realisatiecijfers en de ramingen van het CPB, </w:t>
      </w:r>
      <w:proofErr w:type="gramStart"/>
      <w:r w:rsidRPr="00143879">
        <w:rPr>
          <w:szCs w:val="22"/>
        </w:rPr>
        <w:t>conform</w:t>
      </w:r>
      <w:proofErr w:type="gramEnd"/>
      <w:r w:rsidRPr="00143879">
        <w:rPr>
          <w:szCs w:val="22"/>
        </w:rPr>
        <w:t xml:space="preserve"> de Wet Hof.</w:t>
      </w:r>
    </w:p>
    <w:p w:rsidR="00CB394A" w:rsidP="00795E44" w:rsidRDefault="00CB394A" w14:paraId="3AF118A4" w14:textId="77777777">
      <w:pPr>
        <w:pBdr>
          <w:top w:val="single" w:color="auto" w:sz="4" w:space="1"/>
          <w:left w:val="single" w:color="auto" w:sz="4" w:space="1"/>
          <w:bottom w:val="single" w:color="auto" w:sz="4" w:space="1"/>
          <w:right w:val="single" w:color="auto" w:sz="4" w:space="1"/>
        </w:pBdr>
        <w:rPr>
          <w:szCs w:val="22"/>
        </w:rPr>
      </w:pPr>
    </w:p>
    <w:p w:rsidR="00573FE0" w:rsidP="00795E44" w:rsidRDefault="004A7477" w14:paraId="33C8A204" w14:textId="77777777">
      <w:pPr>
        <w:pBdr>
          <w:top w:val="single" w:color="auto" w:sz="4" w:space="1"/>
          <w:left w:val="single" w:color="auto" w:sz="4" w:space="1"/>
          <w:bottom w:val="single" w:color="auto" w:sz="4" w:space="1"/>
          <w:right w:val="single" w:color="auto" w:sz="4" w:space="1"/>
        </w:pBdr>
        <w:rPr>
          <w:szCs w:val="22"/>
        </w:rPr>
      </w:pPr>
      <w:r w:rsidRPr="00CB394A">
        <w:rPr>
          <w:szCs w:val="22"/>
          <w:u w:val="single"/>
        </w:rPr>
        <w:t>Toetsing aan de nationale begrotingsregels</w:t>
      </w:r>
    </w:p>
    <w:p w:rsidR="00573FE0" w:rsidP="00795E44" w:rsidRDefault="004A7477" w14:paraId="2899A6C8" w14:textId="77777777">
      <w:pPr>
        <w:pBdr>
          <w:top w:val="single" w:color="auto" w:sz="4" w:space="1"/>
          <w:left w:val="single" w:color="auto" w:sz="4" w:space="1"/>
          <w:bottom w:val="single" w:color="auto" w:sz="4" w:space="1"/>
          <w:right w:val="single" w:color="auto" w:sz="4" w:space="1"/>
        </w:pBdr>
        <w:rPr>
          <w:szCs w:val="22"/>
        </w:rPr>
      </w:pPr>
      <w:r w:rsidRPr="00143879">
        <w:rPr>
          <w:szCs w:val="22"/>
        </w:rPr>
        <w:t>In de voorjaarsrapportage toetst de Afdeling de Voorjaarsnota aan de nationale begrotingsregels en de eerder vastgestelde uitgavenkader en inkomstenkader. Doordat de Startnota onderdeel is van de Voorjaarsnota 2026 en daar de kaders zijn vastgesteld heeft de Afdeling vooral getoetst op de gemaakte keuzes in de Startnota.</w:t>
      </w:r>
    </w:p>
    <w:p w:rsidR="00573FE0" w:rsidP="00795E44" w:rsidRDefault="00573FE0" w14:paraId="359C37E3" w14:textId="77777777">
      <w:pPr>
        <w:pBdr>
          <w:top w:val="single" w:color="auto" w:sz="4" w:space="1"/>
          <w:left w:val="single" w:color="auto" w:sz="4" w:space="1"/>
          <w:bottom w:val="single" w:color="auto" w:sz="4" w:space="1"/>
          <w:right w:val="single" w:color="auto" w:sz="4" w:space="1"/>
        </w:pBdr>
        <w:rPr>
          <w:szCs w:val="22"/>
        </w:rPr>
      </w:pPr>
    </w:p>
    <w:p w:rsidR="00573FE0" w:rsidP="00795E44" w:rsidRDefault="004A7477" w14:paraId="1125EAD7" w14:textId="4518CC44">
      <w:pPr>
        <w:pBdr>
          <w:top w:val="single" w:color="auto" w:sz="4" w:space="1"/>
          <w:left w:val="single" w:color="auto" w:sz="4" w:space="1"/>
          <w:bottom w:val="single" w:color="auto" w:sz="4" w:space="1"/>
          <w:right w:val="single" w:color="auto" w:sz="4" w:space="1"/>
        </w:pBdr>
        <w:rPr>
          <w:szCs w:val="22"/>
        </w:rPr>
      </w:pPr>
      <w:r w:rsidRPr="00143879">
        <w:rPr>
          <w:szCs w:val="22"/>
        </w:rPr>
        <w:t xml:space="preserve">De Afdeling constateert dat afgaande op de formulering in de Startnota afwijking van het voorgeschreven </w:t>
      </w:r>
      <w:proofErr w:type="spellStart"/>
      <w:r w:rsidRPr="00143879">
        <w:rPr>
          <w:szCs w:val="22"/>
        </w:rPr>
        <w:t>uitgavenpad</w:t>
      </w:r>
      <w:proofErr w:type="spellEnd"/>
      <w:r w:rsidRPr="00143879">
        <w:rPr>
          <w:szCs w:val="22"/>
        </w:rPr>
        <w:t xml:space="preserve"> als geoorloofd lijkt te worden beschouwd als het EMU-saldo en de EMU-schuld binnen de Europese grenswaarden blijven. Dit staat op gespannen voet met het SGP en de Wet Hof. De Afdeling adviseert het kabinet de formulering in de Startnota te verduidelijken en zo nodig aan te passen, zodat ondubbelzinnig blijkt dat het geformuleerde begrotingsbeleid in overeenstemming is met de verplichtingen uit het SGP en de Wet Hof.</w:t>
      </w:r>
    </w:p>
    <w:p w:rsidR="00573FE0" w:rsidP="00795E44" w:rsidRDefault="00573FE0" w14:paraId="221BC825" w14:textId="77777777">
      <w:pPr>
        <w:pBdr>
          <w:top w:val="single" w:color="auto" w:sz="4" w:space="1"/>
          <w:left w:val="single" w:color="auto" w:sz="4" w:space="1"/>
          <w:bottom w:val="single" w:color="auto" w:sz="4" w:space="1"/>
          <w:right w:val="single" w:color="auto" w:sz="4" w:space="1"/>
        </w:pBdr>
        <w:rPr>
          <w:szCs w:val="22"/>
        </w:rPr>
      </w:pPr>
    </w:p>
    <w:p w:rsidR="00573FE0" w:rsidP="00795E44" w:rsidRDefault="004A7477" w14:paraId="76AEED47" w14:textId="167BB2CD">
      <w:pPr>
        <w:pBdr>
          <w:top w:val="single" w:color="auto" w:sz="4" w:space="1"/>
          <w:left w:val="single" w:color="auto" w:sz="4" w:space="1"/>
          <w:bottom w:val="single" w:color="auto" w:sz="4" w:space="1"/>
          <w:right w:val="single" w:color="auto" w:sz="4" w:space="1"/>
        </w:pBdr>
        <w:rPr>
          <w:szCs w:val="22"/>
        </w:rPr>
      </w:pPr>
      <w:r w:rsidRPr="00143879">
        <w:rPr>
          <w:szCs w:val="22"/>
        </w:rPr>
        <w:t xml:space="preserve">De Afdeling adviseert </w:t>
      </w:r>
      <w:proofErr w:type="gramStart"/>
      <w:r w:rsidRPr="00143879">
        <w:rPr>
          <w:szCs w:val="22"/>
        </w:rPr>
        <w:t>tevens</w:t>
      </w:r>
      <w:proofErr w:type="gramEnd"/>
      <w:r w:rsidRPr="00143879">
        <w:rPr>
          <w:szCs w:val="22"/>
        </w:rPr>
        <w:t xml:space="preserve"> het begrotingsanker voor de kabinetsperiode te verduidelijken. In de Startnota is een EMU-saldo van –2,1% aan het einde van de regeerperiode gepresenteerd en is </w:t>
      </w:r>
      <w:proofErr w:type="gramStart"/>
      <w:r w:rsidRPr="00143879">
        <w:rPr>
          <w:szCs w:val="22"/>
        </w:rPr>
        <w:t>conform</w:t>
      </w:r>
      <w:proofErr w:type="gramEnd"/>
      <w:r w:rsidRPr="00143879">
        <w:rPr>
          <w:szCs w:val="22"/>
        </w:rPr>
        <w:t xml:space="preserve"> trendmatig begrotingsbeleid het uitgavenkader en inkomstenkader vastgesteld. Bij trendmatig begroten wordt er gestuurd op het sluiten van de kaders en niet op het feitelijke EMU-saldo. De Afdeling geeft aan dat in Startnota niet geëxpliciteerd is hoe het kabinet handelt </w:t>
      </w:r>
      <w:proofErr w:type="gramStart"/>
      <w:r w:rsidRPr="00143879">
        <w:rPr>
          <w:szCs w:val="22"/>
        </w:rPr>
        <w:t>indien</w:t>
      </w:r>
      <w:proofErr w:type="gramEnd"/>
      <w:r w:rsidRPr="00143879">
        <w:rPr>
          <w:szCs w:val="22"/>
        </w:rPr>
        <w:t xml:space="preserve"> het EMU-saldo door conjuncturele tegenwind verslechtert en richting de Europese grenswaarden beweegt.</w:t>
      </w:r>
    </w:p>
    <w:p w:rsidR="00573FE0" w:rsidP="00795E44" w:rsidRDefault="00573FE0" w14:paraId="2879B72D" w14:textId="77777777">
      <w:pPr>
        <w:pBdr>
          <w:top w:val="single" w:color="auto" w:sz="4" w:space="1"/>
          <w:left w:val="single" w:color="auto" w:sz="4" w:space="1"/>
          <w:bottom w:val="single" w:color="auto" w:sz="4" w:space="1"/>
          <w:right w:val="single" w:color="auto" w:sz="4" w:space="1"/>
        </w:pBdr>
        <w:rPr>
          <w:szCs w:val="22"/>
        </w:rPr>
      </w:pPr>
    </w:p>
    <w:p w:rsidR="00573FE0" w:rsidP="00795E44" w:rsidRDefault="004A7477" w14:paraId="2FD1BF52" w14:textId="77777777">
      <w:pPr>
        <w:pBdr>
          <w:top w:val="single" w:color="auto" w:sz="4" w:space="1"/>
          <w:left w:val="single" w:color="auto" w:sz="4" w:space="1"/>
          <w:bottom w:val="single" w:color="auto" w:sz="4" w:space="1"/>
          <w:right w:val="single" w:color="auto" w:sz="4" w:space="1"/>
        </w:pBdr>
        <w:rPr>
          <w:szCs w:val="22"/>
        </w:rPr>
      </w:pPr>
      <w:r w:rsidRPr="00143879">
        <w:rPr>
          <w:szCs w:val="22"/>
        </w:rPr>
        <w:t>Het kabinet heeft in het coalitieakkoord en in de Startnota aangegeven trendmatig begrotingsbeleid te voeren met inachtneming van de Wet Hof. Dit houdt in dat het uitgavenkader en inkomstenkader leidend zijn voor de kabinetsperiode. Dit betekent dat hogere uitgaven worden gedekt door uitgaven elders op de begroting te verlagen en niet door de lasten daarvoor te verhogen. Ook dienen beleidsmatige aanpassingen aan de inkomstenkant gecompenseerd te worden met inkomstenmaatregelen. Daarbij heeft het kabinet aangegeven zich aan de Europese referentiewaarden voor het begrotingstekort en overheidsschuld te houden. Voor trendmatig begrotingsbeleid is voldoende afstand nodig tot deze referentiewaarden. In onzekere tijden is dit belangrijk, zodat de begroting een schok kan opvangen bij een crisis. Bij economische tegenwind kan zo worden vastgehouden aan het vastgestelde inkomsten- en uitgavenkader binnen de Europese referentiewaarden.</w:t>
      </w:r>
    </w:p>
    <w:p w:rsidR="00573FE0" w:rsidP="00795E44" w:rsidRDefault="00573FE0" w14:paraId="013B05FE" w14:textId="77777777">
      <w:pPr>
        <w:pBdr>
          <w:top w:val="single" w:color="auto" w:sz="4" w:space="1"/>
          <w:left w:val="single" w:color="auto" w:sz="4" w:space="1"/>
          <w:bottom w:val="single" w:color="auto" w:sz="4" w:space="1"/>
          <w:right w:val="single" w:color="auto" w:sz="4" w:space="1"/>
        </w:pBdr>
        <w:rPr>
          <w:szCs w:val="22"/>
        </w:rPr>
      </w:pPr>
    </w:p>
    <w:p w:rsidR="00573FE0" w:rsidP="00795E44" w:rsidRDefault="004A7477" w14:paraId="1CA57074" w14:textId="77777777">
      <w:pPr>
        <w:pBdr>
          <w:top w:val="single" w:color="auto" w:sz="4" w:space="1"/>
          <w:left w:val="single" w:color="auto" w:sz="4" w:space="1"/>
          <w:bottom w:val="single" w:color="auto" w:sz="4" w:space="1"/>
          <w:right w:val="single" w:color="auto" w:sz="4" w:space="1"/>
        </w:pBdr>
        <w:rPr>
          <w:szCs w:val="22"/>
        </w:rPr>
      </w:pPr>
      <w:r w:rsidRPr="00573FE0">
        <w:rPr>
          <w:szCs w:val="22"/>
          <w:u w:val="single"/>
        </w:rPr>
        <w:t>Aanbevelingen bij uitgaven- en lastenkader</w:t>
      </w:r>
      <w:bookmarkStart w:name="_Hlk226560011" w:id="2"/>
    </w:p>
    <w:p w:rsidR="00573FE0" w:rsidP="00795E44" w:rsidRDefault="004A7477" w14:paraId="11D7C672" w14:textId="77777777">
      <w:pPr>
        <w:pBdr>
          <w:top w:val="single" w:color="auto" w:sz="4" w:space="1"/>
          <w:left w:val="single" w:color="auto" w:sz="4" w:space="1"/>
          <w:bottom w:val="single" w:color="auto" w:sz="4" w:space="1"/>
          <w:right w:val="single" w:color="auto" w:sz="4" w:space="1"/>
        </w:pBdr>
        <w:rPr>
          <w:szCs w:val="22"/>
        </w:rPr>
      </w:pPr>
      <w:r w:rsidRPr="00143879">
        <w:rPr>
          <w:szCs w:val="22"/>
        </w:rPr>
        <w:t xml:space="preserve">Ten eerste adviseert de Afdeling het kabinet om in de Miljoenennota 2027 een structuuranalyse te presenteren en dit te doen aan de hand van toetsbare doelen </w:t>
      </w:r>
      <w:r w:rsidRPr="00143879">
        <w:rPr>
          <w:szCs w:val="22"/>
        </w:rPr>
        <w:lastRenderedPageBreak/>
        <w:t>per hoofdbeleidsdomein, een onderbouwing van uitvoerbaarheid op basis van beschikbare capaciteit bij Rijk, medeoverheden en bedrijven, een toetsing op de samenstelling van de overheidsuitgaven en daarmee inzicht in de samenhang en afruilen die de allocatie van middelen over die domeinen onderbouwt. De Afdeling geeft hierbij aan dat daarmee de structuuranalyse niet een document is naast de begroting, maar een analytische onderbouwing is van de gemaakte keuzes. Het kabinet onderschrijft dat bovengenoemde factoren belangrijk zijn in het opstellen van beleid.</w:t>
      </w:r>
      <w:bookmarkEnd w:id="2"/>
    </w:p>
    <w:p w:rsidR="00573FE0" w:rsidP="00795E44" w:rsidRDefault="00573FE0" w14:paraId="7A3891B5" w14:textId="77777777">
      <w:pPr>
        <w:pBdr>
          <w:top w:val="single" w:color="auto" w:sz="4" w:space="1"/>
          <w:left w:val="single" w:color="auto" w:sz="4" w:space="1"/>
          <w:bottom w:val="single" w:color="auto" w:sz="4" w:space="1"/>
          <w:right w:val="single" w:color="auto" w:sz="4" w:space="1"/>
        </w:pBdr>
        <w:rPr>
          <w:szCs w:val="22"/>
        </w:rPr>
      </w:pPr>
    </w:p>
    <w:p w:rsidR="00A67913" w:rsidP="00795E44" w:rsidRDefault="004A7477" w14:paraId="35DD3B5E" w14:textId="77777777">
      <w:pPr>
        <w:pBdr>
          <w:top w:val="single" w:color="auto" w:sz="4" w:space="1"/>
          <w:left w:val="single" w:color="auto" w:sz="4" w:space="1"/>
          <w:bottom w:val="single" w:color="auto" w:sz="4" w:space="1"/>
          <w:right w:val="single" w:color="auto" w:sz="4" w:space="1"/>
        </w:pBdr>
        <w:rPr>
          <w:szCs w:val="22"/>
        </w:rPr>
      </w:pPr>
      <w:r w:rsidRPr="00143879">
        <w:rPr>
          <w:szCs w:val="22"/>
        </w:rPr>
        <w:t>Voorts adviseert de Afdeling om bij de Miljoenennota 2027 inzichtelijk te maken hoe de efficiencytaakstelling per departement wordt gerealiseerd en welke beleidsmatige keuzes daarvoor nodig zijn. Vanuit het kabinet coördineert de minister van BZK de vernieuwing van de rijksdienst. De efficiencytaakstelling is verdeeld onder de departementen. De departementen verantwoorden in de jaarverslagen over de realisatie van deze taakstelling, waarbij de minister van BZK een coördinerende rol heeft.</w:t>
      </w:r>
    </w:p>
    <w:p w:rsidR="00A67913" w:rsidP="00795E44" w:rsidRDefault="00A67913" w14:paraId="15D4F750" w14:textId="77777777">
      <w:pPr>
        <w:pBdr>
          <w:top w:val="single" w:color="auto" w:sz="4" w:space="1"/>
          <w:left w:val="single" w:color="auto" w:sz="4" w:space="1"/>
          <w:bottom w:val="single" w:color="auto" w:sz="4" w:space="1"/>
          <w:right w:val="single" w:color="auto" w:sz="4" w:space="1"/>
        </w:pBdr>
        <w:rPr>
          <w:szCs w:val="22"/>
        </w:rPr>
      </w:pPr>
    </w:p>
    <w:p w:rsidR="00A67913" w:rsidP="00795E44" w:rsidRDefault="004A7477" w14:paraId="0D2767C8" w14:textId="77777777">
      <w:pPr>
        <w:pBdr>
          <w:top w:val="single" w:color="auto" w:sz="4" w:space="1"/>
          <w:left w:val="single" w:color="auto" w:sz="4" w:space="1"/>
          <w:bottom w:val="single" w:color="auto" w:sz="4" w:space="1"/>
          <w:right w:val="single" w:color="auto" w:sz="4" w:space="1"/>
        </w:pBdr>
        <w:rPr>
          <w:szCs w:val="22"/>
        </w:rPr>
      </w:pPr>
      <w:proofErr w:type="gramStart"/>
      <w:r w:rsidRPr="00143879">
        <w:rPr>
          <w:szCs w:val="22"/>
        </w:rPr>
        <w:t>Tevens</w:t>
      </w:r>
      <w:proofErr w:type="gramEnd"/>
      <w:r w:rsidRPr="00143879">
        <w:rPr>
          <w:szCs w:val="22"/>
        </w:rPr>
        <w:t xml:space="preserve"> adviseert de Afdeling om </w:t>
      </w:r>
      <w:proofErr w:type="spellStart"/>
      <w:r w:rsidRPr="00143879">
        <w:rPr>
          <w:szCs w:val="22"/>
        </w:rPr>
        <w:t>onderuitputting</w:t>
      </w:r>
      <w:proofErr w:type="spellEnd"/>
      <w:r w:rsidRPr="00143879">
        <w:rPr>
          <w:szCs w:val="22"/>
        </w:rPr>
        <w:t xml:space="preserve"> niet in te zetten voor andere beleidsdoelen, een evenwichtige verdeling van lasten, en alert te blijven op ondoelmatige fiscale regelingen. Het kabinet onderschrijft deze adviezen en erkent het belang van de afspraken die samenhangen met trendmatig begrotingsbeleid, zoals het niet inzetten van voordelen voor nieuw beleid.</w:t>
      </w:r>
    </w:p>
    <w:p w:rsidR="00A67913" w:rsidP="00795E44" w:rsidRDefault="00A67913" w14:paraId="16795DF8" w14:textId="77777777">
      <w:pPr>
        <w:pBdr>
          <w:top w:val="single" w:color="auto" w:sz="4" w:space="1"/>
          <w:left w:val="single" w:color="auto" w:sz="4" w:space="1"/>
          <w:bottom w:val="single" w:color="auto" w:sz="4" w:space="1"/>
          <w:right w:val="single" w:color="auto" w:sz="4" w:space="1"/>
        </w:pBdr>
        <w:rPr>
          <w:szCs w:val="22"/>
        </w:rPr>
      </w:pPr>
    </w:p>
    <w:p w:rsidR="00A67913" w:rsidP="00795E44" w:rsidRDefault="004A7477" w14:paraId="36EC17E7" w14:textId="77777777">
      <w:pPr>
        <w:pBdr>
          <w:top w:val="single" w:color="auto" w:sz="4" w:space="1"/>
          <w:left w:val="single" w:color="auto" w:sz="4" w:space="1"/>
          <w:bottom w:val="single" w:color="auto" w:sz="4" w:space="1"/>
          <w:right w:val="single" w:color="auto" w:sz="4" w:space="1"/>
        </w:pBdr>
        <w:rPr>
          <w:szCs w:val="22"/>
        </w:rPr>
      </w:pPr>
      <w:r w:rsidRPr="00143879">
        <w:rPr>
          <w:szCs w:val="22"/>
        </w:rPr>
        <w:t>De Afdeling adviseert om bij lastenmaatregelen inzicht te bieden in de effecten op de lastendruk, waarbij aandacht wordt besteed aan de lasten op respectievelijk de factor arbeid en de factor kapitaal van verschillende huishoudtypen. Hat kabinet onderschrijft het belang van het bieden van inzicht in de lastenontwikkeling op de factoren arbeid, kapitaal en consumptie. Het zet stappen om dit verder te brengen. In het Financieel Jaarverslag van het Rijk zal een meerjarige analyse worden opgenomen van de inkomsten van het Rijk, waarin terugkijkend wordt uitgesplitst hoe de inkomsten van de laatste jaren zijn verdeeld over deze factoren. Ook is het Centraal Planbureau samen met het ministerie van Financiën aan het uitwerken of de beleidsmatige lastenontwikkeling voortaan kan worden uitgesplitst in deze factoren. Hiermee wordt het inzicht verbeterd.</w:t>
      </w:r>
    </w:p>
    <w:p w:rsidR="00A67913" w:rsidP="00795E44" w:rsidRDefault="00A67913" w14:paraId="1ABEE16C" w14:textId="77777777">
      <w:pPr>
        <w:pBdr>
          <w:top w:val="single" w:color="auto" w:sz="4" w:space="1"/>
          <w:left w:val="single" w:color="auto" w:sz="4" w:space="1"/>
          <w:bottom w:val="single" w:color="auto" w:sz="4" w:space="1"/>
          <w:right w:val="single" w:color="auto" w:sz="4" w:space="1"/>
        </w:pBdr>
        <w:rPr>
          <w:szCs w:val="22"/>
        </w:rPr>
      </w:pPr>
    </w:p>
    <w:p w:rsidR="00A67913" w:rsidP="00795E44" w:rsidRDefault="004A7477" w14:paraId="3A8F8FA6" w14:textId="77777777">
      <w:pPr>
        <w:pBdr>
          <w:top w:val="single" w:color="auto" w:sz="4" w:space="1"/>
          <w:left w:val="single" w:color="auto" w:sz="4" w:space="1"/>
          <w:bottom w:val="single" w:color="auto" w:sz="4" w:space="1"/>
          <w:right w:val="single" w:color="auto" w:sz="4" w:space="1"/>
        </w:pBdr>
        <w:rPr>
          <w:szCs w:val="22"/>
        </w:rPr>
      </w:pPr>
      <w:r w:rsidRPr="00143879">
        <w:rPr>
          <w:szCs w:val="22"/>
        </w:rPr>
        <w:t xml:space="preserve">De Afdeling adviseert bij de aangekondigde hervormingsagenda inkomstenbelasting expliciet te maken of, en zo ja hoe, de samenhang met de belastingheffing op vermogen en vennootschapsbelasting wordt geadresseerd. Het kabinet komt voor het einde van 2026 met een hervormingsagenda met concrete mijlpalen in de tijd op verschillende onderdelen, beginnende met de herziening van het stelsel van de inkomstenbelasting en stappen in het stelsel van toeslagen, overige inkomensregelingen en sociale zekerheid. Bij de verschillende boxen van de inkomstenbelasting, geldt dat sprake is van samenhang tussen de belasting op arbeid en de belasting op vermogen en winst. Op dit moment wordt de hervormingsagenda nog uitgewerkt. Daar waar van </w:t>
      </w:r>
      <w:r w:rsidRPr="00143879">
        <w:rPr>
          <w:szCs w:val="22"/>
        </w:rPr>
        <w:lastRenderedPageBreak/>
        <w:t>toepassing zal de samenhang van belastingheffing tussen de verschillende boxen in deze agenda worden bezien.</w:t>
      </w:r>
    </w:p>
    <w:p w:rsidR="00A67913" w:rsidP="00795E44" w:rsidRDefault="00A67913" w14:paraId="3945BAC5" w14:textId="77777777">
      <w:pPr>
        <w:pBdr>
          <w:top w:val="single" w:color="auto" w:sz="4" w:space="1"/>
          <w:left w:val="single" w:color="auto" w:sz="4" w:space="1"/>
          <w:bottom w:val="single" w:color="auto" w:sz="4" w:space="1"/>
          <w:right w:val="single" w:color="auto" w:sz="4" w:space="1"/>
        </w:pBdr>
        <w:rPr>
          <w:szCs w:val="22"/>
        </w:rPr>
      </w:pPr>
    </w:p>
    <w:p w:rsidR="00A67913" w:rsidP="00795E44" w:rsidRDefault="004A7477" w14:paraId="206ED055" w14:textId="16236806">
      <w:pPr>
        <w:pBdr>
          <w:top w:val="single" w:color="auto" w:sz="4" w:space="1"/>
          <w:left w:val="single" w:color="auto" w:sz="4" w:space="1"/>
          <w:bottom w:val="single" w:color="auto" w:sz="4" w:space="1"/>
          <w:right w:val="single" w:color="auto" w:sz="4" w:space="1"/>
        </w:pBdr>
        <w:rPr>
          <w:szCs w:val="22"/>
        </w:rPr>
      </w:pPr>
      <w:r w:rsidRPr="00143879">
        <w:rPr>
          <w:szCs w:val="22"/>
        </w:rPr>
        <w:t xml:space="preserve">De Afdeling adviseert ten slotte om te blijven streven naar het </w:t>
      </w:r>
      <w:proofErr w:type="spellStart"/>
      <w:r w:rsidRPr="00143879">
        <w:rPr>
          <w:szCs w:val="22"/>
        </w:rPr>
        <w:t>uitfaseren</w:t>
      </w:r>
      <w:proofErr w:type="spellEnd"/>
      <w:r w:rsidRPr="00143879">
        <w:rPr>
          <w:szCs w:val="22"/>
        </w:rPr>
        <w:t xml:space="preserve"> van ondoelmatige fiscale regelingen en hiervoor een concreet plan van aanpak te ontwikkelen. Het kabinet onderschrijft dit streven, en heeft om deze reden gezorgd voor goede verankering van de omgang met ondoelmatig fiscale regelingen in de begrotingsregels. De budgettaire ontwikkeling van fiscale regelingen wordt jaarlijks gemonitord in de Miljoenennota. Substantiële opwaartse afwijkingen ten opzichte van het verwachte niveau aan het begin van de kabinetsperiode en relatief hoge endogene groei, worden in de monitoring apart benoemd en geven in beginsel aanleiding voor het nemen van maatregelen. Voor alle nieuwe regelingen aan de inkomstenkant dient een toetsingskader te worden doorlopen. Ook vinden evaluaties plaats van fiscale regelingen volgens een evaluatieprogrammering die in de Miljoenennota en begrotingen wordt gepubliceerd. </w:t>
      </w:r>
      <w:proofErr w:type="gramStart"/>
      <w:r w:rsidRPr="00143879">
        <w:rPr>
          <w:szCs w:val="22"/>
        </w:rPr>
        <w:t>Indien</w:t>
      </w:r>
      <w:proofErr w:type="gramEnd"/>
      <w:r w:rsidRPr="00143879">
        <w:rPr>
          <w:szCs w:val="22"/>
        </w:rPr>
        <w:t xml:space="preserve"> een fiscale regeling negatief geëvalueerd wordt, is het uitgangspunt om deze regeling te af te schaffen of aan te passen. Daarbij zal het kabinet altijd het effect op de bedrijven of inkomensgroepen die gebruik maken van de regeling meewegen, en de economische context.</w:t>
      </w:r>
    </w:p>
    <w:p w:rsidR="00301DC7" w:rsidP="00A67913" w:rsidRDefault="00301DC7" w14:paraId="1B277C9F" w14:textId="77777777">
      <w:pPr>
        <w:rPr>
          <w:szCs w:val="22"/>
        </w:rPr>
      </w:pPr>
    </w:p>
    <w:p w:rsidR="00795E44" w:rsidP="00A67913" w:rsidRDefault="00795E44" w14:paraId="13D99F41" w14:textId="77777777">
      <w:pPr>
        <w:rPr>
          <w:szCs w:val="22"/>
        </w:rPr>
      </w:pPr>
    </w:p>
    <w:p w:rsidRPr="0088493D" w:rsidR="00575C07" w:rsidP="00A67913" w:rsidRDefault="00575C07" w14:paraId="35D44662" w14:textId="27EBE9A3">
      <w:pPr>
        <w:rPr>
          <w:szCs w:val="22"/>
        </w:rPr>
      </w:pPr>
      <w:r w:rsidRPr="00093B7D">
        <w:t xml:space="preserve">De Afdeling heeft in de reactie van de regering geen aanleiding gezien om haar beoordeling aan te passen. </w:t>
      </w:r>
    </w:p>
    <w:p w:rsidR="00575C07" w:rsidP="00575C07" w:rsidRDefault="00575C07" w14:paraId="2B9CE6F6" w14:textId="77777777"/>
    <w:p w:rsidR="00575C07" w:rsidP="00575C07" w:rsidRDefault="00575C07" w14:paraId="3D5523A4" w14:textId="77777777"/>
    <w:p w:rsidRPr="00143879" w:rsidR="00575C07" w:rsidP="00575C07" w:rsidRDefault="00575C07" w14:paraId="018A6869" w14:textId="06450DDE">
      <w:r w:rsidRPr="00093B7D">
        <w:t xml:space="preserve">De </w:t>
      </w:r>
      <w:proofErr w:type="spellStart"/>
      <w:r w:rsidRPr="00093B7D">
        <w:t>vice-president</w:t>
      </w:r>
      <w:proofErr w:type="spellEnd"/>
      <w:r w:rsidRPr="00093B7D">
        <w:t xml:space="preserve"> van de Raad van State, </w:t>
      </w:r>
    </w:p>
    <w:sectPr w:rsidRPr="00143879" w:rsidR="00575C07" w:rsidSect="008327A0">
      <w:headerReference w:type="default" r:id="rId9"/>
      <w:footerReference w:type="default" r:id="rId10"/>
      <w:head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31B4" w14:textId="77777777" w:rsidR="00DF205D" w:rsidRDefault="00DF205D">
      <w:r>
        <w:separator/>
      </w:r>
    </w:p>
  </w:endnote>
  <w:endnote w:type="continuationSeparator" w:id="0">
    <w:p w14:paraId="71B21F33" w14:textId="77777777" w:rsidR="00DF205D" w:rsidRDefault="00DF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61283" w14:paraId="6C26475F" w14:textId="77777777" w:rsidTr="00D90098">
      <w:tc>
        <w:tcPr>
          <w:tcW w:w="4815" w:type="dxa"/>
        </w:tcPr>
        <w:p w14:paraId="6C26475D" w14:textId="77777777" w:rsidR="00D90098" w:rsidRDefault="00D90098" w:rsidP="00D90098">
          <w:pPr>
            <w:pStyle w:val="Voettekst"/>
          </w:pPr>
        </w:p>
      </w:tc>
      <w:tc>
        <w:tcPr>
          <w:tcW w:w="4247" w:type="dxa"/>
        </w:tcPr>
        <w:p w14:paraId="6C26475E" w14:textId="77777777" w:rsidR="00D90098" w:rsidRDefault="00D90098" w:rsidP="00D90098">
          <w:pPr>
            <w:pStyle w:val="Voettekst"/>
            <w:jc w:val="right"/>
          </w:pPr>
        </w:p>
      </w:tc>
    </w:tr>
  </w:tbl>
  <w:p w14:paraId="6C264760" w14:textId="77777777" w:rsidR="00D90098" w:rsidRDefault="00D900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A0EC0" w14:textId="77777777" w:rsidR="00DF205D" w:rsidRDefault="00DF205D">
      <w:r>
        <w:separator/>
      </w:r>
    </w:p>
  </w:footnote>
  <w:footnote w:type="continuationSeparator" w:id="0">
    <w:p w14:paraId="5C1A7AF8" w14:textId="77777777" w:rsidR="00DF205D" w:rsidRDefault="00DF205D">
      <w:r>
        <w:continuationSeparator/>
      </w:r>
    </w:p>
  </w:footnote>
  <w:footnote w:id="1">
    <w:p w14:paraId="4FE5A528" w14:textId="77777777" w:rsidR="00040FAF" w:rsidRPr="00B64FA6" w:rsidRDefault="00040FAF" w:rsidP="00040FAF">
      <w:pPr>
        <w:pStyle w:val="Voetnoottekst"/>
      </w:pPr>
      <w:r>
        <w:rPr>
          <w:rStyle w:val="Voetnootmarkering"/>
        </w:rPr>
        <w:footnoteRef/>
      </w:r>
      <w:r w:rsidRPr="001B28F8">
        <w:rPr>
          <w:lang w:val="en-US"/>
        </w:rPr>
        <w:t xml:space="preserve"> </w:t>
      </w:r>
      <w:r w:rsidRPr="001A5E76">
        <w:rPr>
          <w:lang w:val="en-US"/>
        </w:rPr>
        <w:t>Draghi (2024)</w:t>
      </w:r>
      <w:r>
        <w:rPr>
          <w:lang w:val="en-US"/>
        </w:rPr>
        <w:t>.</w:t>
      </w:r>
      <w:r w:rsidRPr="001A5E76">
        <w:rPr>
          <w:lang w:val="en-US"/>
        </w:rPr>
        <w:t xml:space="preserve"> </w:t>
      </w:r>
      <w:hyperlink r:id="rId1" w:history="1">
        <w:r w:rsidRPr="00CD4F25">
          <w:rPr>
            <w:rStyle w:val="Hyperlink"/>
            <w:lang w:val="en-US"/>
          </w:rPr>
          <w:t>The future of European competitiveness</w:t>
        </w:r>
      </w:hyperlink>
      <w:r w:rsidRPr="00CD4F25">
        <w:rPr>
          <w:lang w:val="en-US"/>
        </w:rPr>
        <w:t>; Letta (2024)</w:t>
      </w:r>
      <w:r>
        <w:rPr>
          <w:lang w:val="en-US"/>
        </w:rPr>
        <w:t>.</w:t>
      </w:r>
      <w:r w:rsidRPr="00CD4F25">
        <w:rPr>
          <w:lang w:val="en-US"/>
        </w:rPr>
        <w:t xml:space="preserve"> </w:t>
      </w:r>
      <w:hyperlink r:id="rId2" w:history="1">
        <w:proofErr w:type="spellStart"/>
        <w:r w:rsidRPr="00B64FA6">
          <w:rPr>
            <w:rStyle w:val="Hyperlink"/>
          </w:rPr>
          <w:t>Much</w:t>
        </w:r>
        <w:proofErr w:type="spellEnd"/>
        <w:r w:rsidRPr="00B64FA6">
          <w:rPr>
            <w:rStyle w:val="Hyperlink"/>
          </w:rPr>
          <w:t xml:space="preserve"> more </w:t>
        </w:r>
        <w:proofErr w:type="spellStart"/>
        <w:r w:rsidRPr="00B64FA6">
          <w:rPr>
            <w:rStyle w:val="Hyperlink"/>
          </w:rPr>
          <w:t>than</w:t>
        </w:r>
        <w:proofErr w:type="spellEnd"/>
        <w:r w:rsidRPr="00B64FA6">
          <w:rPr>
            <w:rStyle w:val="Hyperlink"/>
          </w:rPr>
          <w:t xml:space="preserve"> a market</w:t>
        </w:r>
      </w:hyperlink>
      <w:r w:rsidRPr="00B64FA6">
        <w:t xml:space="preserve">. </w:t>
      </w:r>
      <w:proofErr w:type="spellStart"/>
      <w:r w:rsidRPr="00B64FA6">
        <w:t>Wennink</w:t>
      </w:r>
      <w:proofErr w:type="spellEnd"/>
      <w:r w:rsidRPr="00B64FA6">
        <w:t xml:space="preserve"> (2025), </w:t>
      </w:r>
      <w:hyperlink r:id="rId3" w:history="1">
        <w:r w:rsidRPr="00B64FA6">
          <w:rPr>
            <w:rStyle w:val="Hyperlink"/>
          </w:rPr>
          <w:t>De route naar toekomstige welvaart</w:t>
        </w:r>
      </w:hyperlink>
      <w:r w:rsidRPr="00B64FA6">
        <w:t>.</w:t>
      </w:r>
    </w:p>
  </w:footnote>
  <w:footnote w:id="2">
    <w:p w14:paraId="37FDCF11" w14:textId="77777777" w:rsidR="00040FAF" w:rsidRDefault="00040FAF" w:rsidP="00040FAF">
      <w:pPr>
        <w:pStyle w:val="Voetnoottekst"/>
      </w:pPr>
      <w:r>
        <w:rPr>
          <w:rStyle w:val="Voetnootmarkering"/>
        </w:rPr>
        <w:footnoteRef/>
      </w:r>
      <w:r>
        <w:t xml:space="preserve"> Het betreft het begrotingstoezicht, bedoeld in het Verdrag </w:t>
      </w:r>
      <w:proofErr w:type="gramStart"/>
      <w:r>
        <w:t>inzake</w:t>
      </w:r>
      <w:proofErr w:type="gramEnd"/>
      <w:r>
        <w:t xml:space="preserve"> Stabiliteit, Coördinatie </w:t>
      </w:r>
    </w:p>
    <w:p w14:paraId="1EFD895B" w14:textId="77777777" w:rsidR="00040FAF" w:rsidRDefault="00040FAF" w:rsidP="00040FAF">
      <w:pPr>
        <w:pStyle w:val="Voetnoottekst"/>
      </w:pPr>
      <w:proofErr w:type="gramStart"/>
      <w:r>
        <w:t>en</w:t>
      </w:r>
      <w:proofErr w:type="gramEnd"/>
      <w:r>
        <w:t xml:space="preserve"> Bestuur (VSCB), in artikel 5 van </w:t>
      </w:r>
      <w:hyperlink r:id="rId4" w:history="1">
        <w:r w:rsidRPr="00DC2A4D">
          <w:rPr>
            <w:rStyle w:val="Hyperlink"/>
          </w:rPr>
          <w:t>Verordening (EU) 473/2013</w:t>
        </w:r>
      </w:hyperlink>
      <w:r>
        <w:t xml:space="preserve"> en zoals opgenomen in </w:t>
      </w:r>
    </w:p>
    <w:p w14:paraId="7F8B3B27" w14:textId="77777777" w:rsidR="00040FAF" w:rsidRDefault="00040FAF" w:rsidP="00040FAF">
      <w:pPr>
        <w:pStyle w:val="Voetnoottekst"/>
      </w:pPr>
      <w:proofErr w:type="gramStart"/>
      <w:r>
        <w:t>artikel</w:t>
      </w:r>
      <w:proofErr w:type="gramEnd"/>
      <w:r>
        <w:t xml:space="preserve"> 2a, eerste lid van de </w:t>
      </w:r>
      <w:hyperlink r:id="rId5" w:history="1">
        <w:r w:rsidRPr="00331974">
          <w:rPr>
            <w:rStyle w:val="Hyperlink"/>
          </w:rPr>
          <w:t>Wet houdbare overheidsfinanciën</w:t>
        </w:r>
      </w:hyperlink>
      <w:r>
        <w:t>.</w:t>
      </w:r>
    </w:p>
  </w:footnote>
  <w:footnote w:id="3">
    <w:p w14:paraId="18D0FB4A" w14:textId="77777777" w:rsidR="00040FAF" w:rsidRDefault="00040FAF" w:rsidP="00040FAF">
      <w:pPr>
        <w:pStyle w:val="Voetnoottekst"/>
      </w:pPr>
      <w:r>
        <w:rPr>
          <w:rStyle w:val="Voetnootmarkering"/>
          <w:rFonts w:eastAsiaTheme="majorEastAsia"/>
        </w:rPr>
        <w:footnoteRef/>
      </w:r>
      <w:r>
        <w:t xml:space="preserve"> Gebaseerd op OECD (2025) </w:t>
      </w:r>
      <w:hyperlink r:id="rId6" w:history="1">
        <w:proofErr w:type="spellStart"/>
        <w:r w:rsidRPr="00623B03">
          <w:rPr>
            <w:rStyle w:val="Hyperlink"/>
          </w:rPr>
          <w:t>Economic</w:t>
        </w:r>
        <w:proofErr w:type="spellEnd"/>
        <w:r w:rsidRPr="00623B03">
          <w:rPr>
            <w:rStyle w:val="Hyperlink"/>
          </w:rPr>
          <w:t xml:space="preserve"> Outlook</w:t>
        </w:r>
      </w:hyperlink>
      <w:r>
        <w:t>, december. De EU-17 is een specifiek aggregaat van landen uit de eurozone van de OECD en bestaat uit Oostenrijk, België, Estland, Finland, Frankrijk, Duitsland, Griekenland, Ierland, Italië, Letland, Litouwen, Luxemburg, Nederland, Portugal, Slowakije, Slovenië en Spanje.</w:t>
      </w:r>
    </w:p>
  </w:footnote>
  <w:footnote w:id="4">
    <w:p w14:paraId="24450473" w14:textId="77777777" w:rsidR="00040FAF" w:rsidRDefault="00040FAF" w:rsidP="00040FAF">
      <w:pPr>
        <w:pStyle w:val="Voetnoottekst"/>
      </w:pPr>
      <w:r>
        <w:rPr>
          <w:rStyle w:val="Voetnootmarkering"/>
          <w:rFonts w:eastAsiaTheme="majorEastAsia"/>
        </w:rPr>
        <w:footnoteRef/>
      </w:r>
      <w:r>
        <w:t xml:space="preserve"> Centraal Planbureau (2023) </w:t>
      </w:r>
      <w:hyperlink r:id="rId7" w:history="1">
        <w:r>
          <w:rPr>
            <w:rStyle w:val="Hyperlink"/>
            <w:rFonts w:eastAsiaTheme="majorEastAsia"/>
          </w:rPr>
          <w:t>Wederuitvoer motor achter Nederlandse export</w:t>
        </w:r>
      </w:hyperlink>
      <w:r>
        <w:t>. De Nederlandse export deed het bij de Covid-uitbraak beter dan die van Frankrijk, Duitsland en de VK. Dit beeld is wel minder gunstig geworden sinds de energiecrisis in 2022.</w:t>
      </w:r>
    </w:p>
  </w:footnote>
  <w:footnote w:id="5">
    <w:p w14:paraId="06C87CF5" w14:textId="77777777" w:rsidR="00040FAF" w:rsidRDefault="00040FAF" w:rsidP="00040FAF">
      <w:pPr>
        <w:pStyle w:val="Voetnoottekst"/>
      </w:pPr>
      <w:r>
        <w:rPr>
          <w:rStyle w:val="Voetnootmarkering"/>
        </w:rPr>
        <w:footnoteRef/>
      </w:r>
      <w:r>
        <w:t xml:space="preserve"> CPB (2026). </w:t>
      </w:r>
      <w:hyperlink r:id="rId8" w:history="1">
        <w:r w:rsidRPr="00A27DBA">
          <w:rPr>
            <w:rStyle w:val="Hyperlink"/>
          </w:rPr>
          <w:t>Centraal Economisch Plan 2026</w:t>
        </w:r>
      </w:hyperlink>
      <w:r>
        <w:t>.</w:t>
      </w:r>
    </w:p>
  </w:footnote>
  <w:footnote w:id="6">
    <w:p w14:paraId="546E79ED" w14:textId="77777777" w:rsidR="00040FAF" w:rsidRDefault="00040FAF" w:rsidP="00040FAF">
      <w:pPr>
        <w:pStyle w:val="Voetnoottekst"/>
      </w:pPr>
      <w:r>
        <w:rPr>
          <w:rStyle w:val="Voetnootmarkering"/>
          <w:rFonts w:eastAsiaTheme="majorEastAsia"/>
        </w:rPr>
        <w:footnoteRef/>
      </w:r>
      <w:r>
        <w:t xml:space="preserve"> CPB (2026). </w:t>
      </w:r>
      <w:hyperlink r:id="rId9" w:history="1">
        <w:r w:rsidRPr="00A27DBA">
          <w:rPr>
            <w:rStyle w:val="Hyperlink"/>
          </w:rPr>
          <w:t>Centraal Economisch Plan 2026</w:t>
        </w:r>
      </w:hyperlink>
      <w:r>
        <w:t>, bijlage 1. Dit is de gemiddelde volumegroei van het bbp over de periode 1996-2025.</w:t>
      </w:r>
    </w:p>
  </w:footnote>
  <w:footnote w:id="7">
    <w:p w14:paraId="2D485868" w14:textId="77777777" w:rsidR="00040FAF" w:rsidRDefault="00040FAF" w:rsidP="00040FAF">
      <w:pPr>
        <w:pStyle w:val="Voetnoottekst"/>
      </w:pPr>
      <w:r>
        <w:rPr>
          <w:rStyle w:val="Voetnootmarkering"/>
          <w:rFonts w:eastAsiaTheme="majorEastAsia"/>
        </w:rPr>
        <w:footnoteRef/>
      </w:r>
      <w:r>
        <w:t xml:space="preserve"> Denkwerk (2025) </w:t>
      </w:r>
      <w:hyperlink r:id="rId10" w:history="1">
        <w:r w:rsidRPr="00552D20">
          <w:rPr>
            <w:rStyle w:val="Hyperlink"/>
          </w:rPr>
          <w:t>Kiezen en delen: werken en investeren voor morgen met een contract voor de toekomst</w:t>
        </w:r>
      </w:hyperlink>
      <w:r>
        <w:t>.</w:t>
      </w:r>
    </w:p>
  </w:footnote>
  <w:footnote w:id="8">
    <w:p w14:paraId="4B74696B" w14:textId="77777777" w:rsidR="00040FAF" w:rsidRDefault="00040FAF" w:rsidP="00040FAF">
      <w:pPr>
        <w:pStyle w:val="Voetnoottekst"/>
      </w:pPr>
      <w:r>
        <w:rPr>
          <w:rStyle w:val="Voetnootmarkering"/>
        </w:rPr>
        <w:footnoteRef/>
      </w:r>
      <w:r>
        <w:t xml:space="preserve"> Staatscommissie Demografische Ontwikkelingen 2050 (2024). </w:t>
      </w:r>
      <w:hyperlink r:id="rId11" w:history="1">
        <w:r w:rsidRPr="00787AAE">
          <w:rPr>
            <w:rStyle w:val="Hyperlink"/>
          </w:rPr>
          <w:t>Gematigde Groei</w:t>
        </w:r>
      </w:hyperlink>
      <w:r>
        <w:t>.</w:t>
      </w:r>
    </w:p>
  </w:footnote>
  <w:footnote w:id="9">
    <w:p w14:paraId="4BFD0D54" w14:textId="77777777" w:rsidR="00040FAF" w:rsidRDefault="00040FAF" w:rsidP="00040FAF">
      <w:pPr>
        <w:pStyle w:val="Voetnoottekst"/>
      </w:pPr>
      <w:r>
        <w:rPr>
          <w:rStyle w:val="Voetnootmarkering"/>
        </w:rPr>
        <w:footnoteRef/>
      </w:r>
      <w:r>
        <w:t xml:space="preserve"> Staatscommissie Demografische Ontwikkelingen 2050 (2024). </w:t>
      </w:r>
      <w:hyperlink r:id="rId12" w:history="1">
        <w:r w:rsidRPr="00787AAE">
          <w:rPr>
            <w:rStyle w:val="Hyperlink"/>
          </w:rPr>
          <w:t>Gematigde Groei</w:t>
        </w:r>
      </w:hyperlink>
      <w:r>
        <w:t>.</w:t>
      </w:r>
    </w:p>
  </w:footnote>
  <w:footnote w:id="10">
    <w:p w14:paraId="45F53917" w14:textId="77777777" w:rsidR="00040FAF" w:rsidRDefault="00040FAF" w:rsidP="00040FAF">
      <w:pPr>
        <w:pStyle w:val="Voetnoottekst"/>
      </w:pPr>
      <w:r>
        <w:rPr>
          <w:rStyle w:val="Voetnootmarkering"/>
        </w:rPr>
        <w:footnoteRef/>
      </w:r>
      <w:r>
        <w:t xml:space="preserve"> Zie CEP (2023). </w:t>
      </w:r>
      <w:hyperlink r:id="rId13" w:history="1">
        <w:r w:rsidRPr="0062450F">
          <w:rPr>
            <w:rStyle w:val="Hyperlink"/>
          </w:rPr>
          <w:t>Nederland in historisch perspectief</w:t>
        </w:r>
      </w:hyperlink>
      <w:r>
        <w:t xml:space="preserve">. </w:t>
      </w:r>
      <w:proofErr w:type="gramStart"/>
      <w:r>
        <w:t>voor</w:t>
      </w:r>
      <w:proofErr w:type="gramEnd"/>
      <w:r>
        <w:t xml:space="preserve"> een historische analyse van het arbeidsaanbod en CEP (2025). </w:t>
      </w:r>
      <w:hyperlink r:id="rId14" w:history="1">
        <w:r w:rsidRPr="005D684A">
          <w:rPr>
            <w:rStyle w:val="Hyperlink"/>
          </w:rPr>
          <w:t>Centraal Economisch Plan 2025, Structureel Arbeidsaanbod in het CEP 2025.</w:t>
        </w:r>
      </w:hyperlink>
      <w:r>
        <w:t xml:space="preserve"> voor een gedetailleerde beschrijving van de toekomstige ontwikkelingen. </w:t>
      </w:r>
    </w:p>
  </w:footnote>
  <w:footnote w:id="11">
    <w:p w14:paraId="6B9BFE92" w14:textId="77777777" w:rsidR="00040FAF" w:rsidRPr="00A016E7" w:rsidRDefault="00040FAF" w:rsidP="00040FAF">
      <w:pPr>
        <w:pStyle w:val="Voetnoottekst"/>
      </w:pPr>
      <w:r>
        <w:rPr>
          <w:rStyle w:val="Voetnootmarkering"/>
        </w:rPr>
        <w:footnoteRef/>
      </w:r>
      <w:r>
        <w:t xml:space="preserve"> Voor een meer gedetailleerde beschrijving van de onderliggende oorzaken van de lage productiviteitsgroei, zie onder andere </w:t>
      </w:r>
      <w:proofErr w:type="spellStart"/>
      <w:r>
        <w:t>Draghi</w:t>
      </w:r>
      <w:proofErr w:type="spellEnd"/>
      <w:r>
        <w:t xml:space="preserve"> (2024). </w:t>
      </w:r>
      <w:hyperlink r:id="rId15" w:history="1">
        <w:r w:rsidRPr="00CD4F25">
          <w:rPr>
            <w:rStyle w:val="Hyperlink"/>
            <w:lang w:val="en-US"/>
          </w:rPr>
          <w:t>The future of European competitiveness.</w:t>
        </w:r>
      </w:hyperlink>
      <w:r w:rsidRPr="00CD4F25">
        <w:rPr>
          <w:lang w:val="en-US"/>
        </w:rPr>
        <w:t xml:space="preserve"> ; Letta (2024). </w:t>
      </w:r>
      <w:hyperlink r:id="rId16" w:history="1">
        <w:r w:rsidRPr="00245B2E">
          <w:rPr>
            <w:rStyle w:val="Hyperlink"/>
            <w:lang w:val="en-US"/>
          </w:rPr>
          <w:t>Much more than a market.</w:t>
        </w:r>
      </w:hyperlink>
      <w:r>
        <w:rPr>
          <w:lang w:val="en-US"/>
        </w:rPr>
        <w:t xml:space="preserve">; </w:t>
      </w:r>
      <w:proofErr w:type="spellStart"/>
      <w:r w:rsidRPr="00524A06">
        <w:rPr>
          <w:lang w:val="en-US"/>
        </w:rPr>
        <w:t>Wennink</w:t>
      </w:r>
      <w:proofErr w:type="spellEnd"/>
      <w:r w:rsidRPr="00524A06">
        <w:rPr>
          <w:lang w:val="en-US"/>
        </w:rPr>
        <w:t xml:space="preserve"> (2025). </w:t>
      </w:r>
      <w:hyperlink r:id="rId17" w:history="1">
        <w:r w:rsidRPr="00A63AF0">
          <w:rPr>
            <w:rStyle w:val="Hyperlink"/>
          </w:rPr>
          <w:t>De route naar toekomstige welvaart.</w:t>
        </w:r>
      </w:hyperlink>
    </w:p>
  </w:footnote>
  <w:footnote w:id="12">
    <w:p w14:paraId="5A82115C" w14:textId="77777777" w:rsidR="00040FAF" w:rsidRDefault="00040FAF" w:rsidP="00040FAF">
      <w:pPr>
        <w:pStyle w:val="Voetnoottekst"/>
      </w:pPr>
      <w:r>
        <w:rPr>
          <w:rStyle w:val="Voetnootmarkering"/>
        </w:rPr>
        <w:footnoteRef/>
      </w:r>
      <w:r w:rsidRPr="00AC2630">
        <w:t xml:space="preserve"> CPB (2026). </w:t>
      </w:r>
      <w:hyperlink r:id="rId18" w:history="1">
        <w:r w:rsidRPr="007579B1">
          <w:rPr>
            <w:rStyle w:val="Hyperlink"/>
          </w:rPr>
          <w:t>Centraal Economisch Plan 2026</w:t>
        </w:r>
      </w:hyperlink>
      <w:r>
        <w:t xml:space="preserve">, bijlage 1, reeks volumeontwikkeling van het bbp. </w:t>
      </w:r>
    </w:p>
  </w:footnote>
  <w:footnote w:id="13">
    <w:p w14:paraId="4AE0ED08" w14:textId="77777777" w:rsidR="00040FAF" w:rsidRDefault="00040FAF" w:rsidP="00040FAF">
      <w:pPr>
        <w:pStyle w:val="Voetnoottekst"/>
      </w:pPr>
      <w:r>
        <w:rPr>
          <w:rStyle w:val="Voetnootmarkering"/>
        </w:rPr>
        <w:footnoteRef/>
      </w:r>
      <w:r>
        <w:t xml:space="preserve"> De volumeontwikkeling van het bruto binnenlands product wordt hier afgezet tegen de groei van de bevolking. Dit geeft een indicatie van de ontwikkeling van het bruto binnenlands product per inwoner in constante prijzen. Prijsveranderingen leiden bij deze indicator niet tot wijzigingen in de welvaart. </w:t>
      </w:r>
    </w:p>
  </w:footnote>
  <w:footnote w:id="14">
    <w:p w14:paraId="31F23A5A" w14:textId="77777777" w:rsidR="00040FAF" w:rsidRDefault="00040FAF" w:rsidP="00040FAF">
      <w:pPr>
        <w:pStyle w:val="Voetnoottekst"/>
      </w:pPr>
      <w:r>
        <w:rPr>
          <w:rStyle w:val="Voetnootmarkering"/>
        </w:rPr>
        <w:footnoteRef/>
      </w:r>
      <w:r>
        <w:t xml:space="preserve"> CPB (2026). </w:t>
      </w:r>
      <w:hyperlink r:id="rId19" w:history="1">
        <w:r>
          <w:rPr>
            <w:rStyle w:val="Hyperlink"/>
            <w:rFonts w:eastAsiaTheme="majorEastAsia"/>
          </w:rPr>
          <w:t>Centraal Economisch Plan 2026</w:t>
        </w:r>
      </w:hyperlink>
      <w:r>
        <w:t xml:space="preserve">. </w:t>
      </w:r>
    </w:p>
  </w:footnote>
  <w:footnote w:id="15">
    <w:p w14:paraId="34B55E7F" w14:textId="77777777" w:rsidR="00040FAF" w:rsidRDefault="00040FAF" w:rsidP="00040FAF">
      <w:pPr>
        <w:pStyle w:val="Voetnoottekst"/>
      </w:pPr>
      <w:r>
        <w:rPr>
          <w:rStyle w:val="Voetnootmarkering"/>
        </w:rPr>
        <w:footnoteRef/>
      </w:r>
      <w:r>
        <w:t xml:space="preserve"> Zie bijvoorbeeld UWV (2026). </w:t>
      </w:r>
      <w:hyperlink r:id="rId20" w:history="1">
        <w:r w:rsidRPr="00FB10EE">
          <w:rPr>
            <w:rStyle w:val="Hyperlink"/>
          </w:rPr>
          <w:t>Werkgevers leiden vaker nieuw personeel op vanwege krappe arbeidsmarkt</w:t>
        </w:r>
      </w:hyperlink>
      <w:r>
        <w:t xml:space="preserve"> en CPB (2025). </w:t>
      </w:r>
      <w:hyperlink r:id="rId21" w:history="1">
        <w:r>
          <w:rPr>
            <w:rStyle w:val="Hyperlink"/>
            <w:rFonts w:eastAsiaTheme="majorEastAsia"/>
          </w:rPr>
          <w:t>Zicht op zorgbanen</w:t>
        </w:r>
      </w:hyperlink>
      <w:r>
        <w:t>.</w:t>
      </w:r>
    </w:p>
  </w:footnote>
  <w:footnote w:id="16">
    <w:p w14:paraId="2CF6F2C6" w14:textId="77777777" w:rsidR="00040FAF" w:rsidRDefault="00040FAF" w:rsidP="00040FAF">
      <w:pPr>
        <w:pStyle w:val="Voetnoottekst"/>
      </w:pPr>
      <w:r>
        <w:rPr>
          <w:rStyle w:val="Voetnootmarkering"/>
        </w:rPr>
        <w:footnoteRef/>
      </w:r>
      <w:r>
        <w:t xml:space="preserve"> Zie voor een korte inventarisatie van de knelpunten </w:t>
      </w:r>
      <w:r w:rsidRPr="007C1B7F">
        <w:rPr>
          <w:rFonts w:eastAsiaTheme="majorEastAsia"/>
        </w:rPr>
        <w:t xml:space="preserve">Raad van State (2025). </w:t>
      </w:r>
      <w:hyperlink r:id="rId22" w:history="1">
        <w:r w:rsidRPr="00B8042E">
          <w:rPr>
            <w:rStyle w:val="Hyperlink"/>
            <w:rFonts w:eastAsiaTheme="majorEastAsia"/>
          </w:rPr>
          <w:t>Advies Miljoenennota 2026 en septemberrapportage begrotingstoezicht 2025. No. W06.25.00214/III</w:t>
        </w:r>
      </w:hyperlink>
      <w:r>
        <w:t>.</w:t>
      </w:r>
    </w:p>
  </w:footnote>
  <w:footnote w:id="17">
    <w:p w14:paraId="18CC5818" w14:textId="77777777" w:rsidR="00040FAF" w:rsidRDefault="00040FAF" w:rsidP="00040FAF">
      <w:pPr>
        <w:pStyle w:val="Voetnoottekst"/>
      </w:pPr>
      <w:r>
        <w:rPr>
          <w:rStyle w:val="Voetnootmarkering"/>
          <w:rFonts w:eastAsiaTheme="majorEastAsia"/>
        </w:rPr>
        <w:footnoteRef/>
      </w:r>
      <w:r>
        <w:t xml:space="preserve"> </w:t>
      </w:r>
      <w:proofErr w:type="spellStart"/>
      <w:r>
        <w:t>Wennink</w:t>
      </w:r>
      <w:proofErr w:type="spellEnd"/>
      <w:r>
        <w:t xml:space="preserve"> (2025) </w:t>
      </w:r>
      <w:hyperlink r:id="rId23" w:history="1">
        <w:r>
          <w:rPr>
            <w:rStyle w:val="Hyperlink"/>
            <w:rFonts w:eastAsiaTheme="majorEastAsia"/>
          </w:rPr>
          <w:t>De route naar toekomstige welvaart</w:t>
        </w:r>
      </w:hyperlink>
      <w:r>
        <w:t xml:space="preserve">. </w:t>
      </w:r>
    </w:p>
  </w:footnote>
  <w:footnote w:id="18">
    <w:p w14:paraId="725C531A" w14:textId="77777777" w:rsidR="00040FAF" w:rsidRDefault="00040FAF" w:rsidP="00040FAF">
      <w:pPr>
        <w:pStyle w:val="Voetnoottekst"/>
      </w:pPr>
      <w:r>
        <w:rPr>
          <w:rStyle w:val="Voetnootmarkering"/>
        </w:rPr>
        <w:footnoteRef/>
      </w:r>
      <w:r>
        <w:t xml:space="preserve"> Centraal Planbureau (2026). </w:t>
      </w:r>
      <w:hyperlink r:id="rId24" w:history="1">
        <w:r>
          <w:rPr>
            <w:rStyle w:val="Hyperlink"/>
            <w:rFonts w:eastAsiaTheme="majorEastAsia"/>
          </w:rPr>
          <w:t>Centraal Economisch Plan 2026.</w:t>
        </w:r>
      </w:hyperlink>
      <w:r>
        <w:t xml:space="preserve"> Het CPB berekent een variant op basis van de gemiddelde marktverwachtingen van de prijzen tussen 2 en 9 maart (de lage variant) en een variant met een hogere piek in de prijzen omdat bijvoorbeeld meer productiefaciliteiten worden uitgeschakeld. </w:t>
      </w:r>
    </w:p>
  </w:footnote>
  <w:footnote w:id="19">
    <w:p w14:paraId="5AED0A19" w14:textId="77777777" w:rsidR="00040FAF" w:rsidRDefault="00040FAF" w:rsidP="00040FAF">
      <w:pPr>
        <w:pStyle w:val="Voetnoottekst"/>
      </w:pPr>
      <w:r>
        <w:rPr>
          <w:rStyle w:val="Voetnootmarkering"/>
        </w:rPr>
        <w:footnoteRef/>
      </w:r>
      <w:r>
        <w:t xml:space="preserve"> </w:t>
      </w:r>
      <w:r w:rsidRPr="005F1ABE">
        <w:t xml:space="preserve">De Nederlandsche Bank heeft vanwege </w:t>
      </w:r>
      <w:r>
        <w:t>de oorlog in het Midden-Oosten</w:t>
      </w:r>
      <w:r w:rsidRPr="005F1ABE">
        <w:t xml:space="preserve"> de economische raming van december 2025 geactualiseerd. De DNB-raming van de economische groei is </w:t>
      </w:r>
      <w:r>
        <w:t>neerwaarts</w:t>
      </w:r>
      <w:r w:rsidRPr="005F1ABE">
        <w:t xml:space="preserve"> bijgesteld</w:t>
      </w:r>
      <w:r>
        <w:t xml:space="preserve"> </w:t>
      </w:r>
      <w:r w:rsidRPr="005F1ABE">
        <w:t>met 0,3%-punt.</w:t>
      </w:r>
      <w:r>
        <w:t xml:space="preserve"> De bijgestelde raming van DNB gaat uit van de actuele olie- en gasprijs op 11 maart en van verhoogde onzekerheid. DNB berekent verder een ongunstig scenario en een zwaar scenario, waarbij de oorlog langer duurt en de olie en gasprijs langdurig op een hoger niveau liggen. Het ongunstigste scenario leidt tot een neerwaarts effect op de bbp-groei in 2026 en 2027 van 0,8%-punt en een opwaarts effect op de inflatie van 1,6%-punt en 2,8%-punt. Net als de CPB-scenario’s zijn deze varianten partieel en wordt er bijvoorbeeld geen rekening gehouden met beleid door regeringen en centrale banken. Zie DNB (2026) </w:t>
      </w:r>
      <w:hyperlink r:id="rId25" w:history="1">
        <w:r>
          <w:rPr>
            <w:rStyle w:val="Hyperlink"/>
            <w:rFonts w:eastAsiaTheme="majorEastAsia"/>
          </w:rPr>
          <w:t>Oorlog in het Midden-Oosten Impact op de Nederlandse economie</w:t>
        </w:r>
      </w:hyperlink>
      <w:r>
        <w:t>.</w:t>
      </w:r>
    </w:p>
  </w:footnote>
  <w:footnote w:id="20">
    <w:p w14:paraId="52A95273" w14:textId="77777777" w:rsidR="00040FAF" w:rsidRDefault="00040FAF" w:rsidP="00040FAF">
      <w:pPr>
        <w:pStyle w:val="Voetnoottekst"/>
      </w:pPr>
      <w:r>
        <w:rPr>
          <w:rStyle w:val="Voetnootmarkering"/>
        </w:rPr>
        <w:footnoteRef/>
      </w:r>
      <w:r>
        <w:t xml:space="preserve"> CPB (2026). </w:t>
      </w:r>
      <w:hyperlink r:id="rId26" w:history="1">
        <w:r>
          <w:rPr>
            <w:rStyle w:val="Hyperlink"/>
            <w:rFonts w:eastAsiaTheme="majorEastAsia"/>
          </w:rPr>
          <w:t>Centraal Economisch Plan 2026</w:t>
        </w:r>
      </w:hyperlink>
      <w:r>
        <w:t>.</w:t>
      </w:r>
    </w:p>
  </w:footnote>
  <w:footnote w:id="21">
    <w:p w14:paraId="44CCD8CC" w14:textId="77777777" w:rsidR="00040FAF" w:rsidRDefault="00040FAF" w:rsidP="00040FAF">
      <w:pPr>
        <w:pStyle w:val="Voetnoottekst"/>
      </w:pPr>
      <w:r>
        <w:rPr>
          <w:rStyle w:val="Voetnootmarkering"/>
        </w:rPr>
        <w:footnoteRef/>
      </w:r>
      <w:r>
        <w:t xml:space="preserve"> CPB (2026). </w:t>
      </w:r>
      <w:hyperlink r:id="rId27" w:history="1">
        <w:r>
          <w:rPr>
            <w:rStyle w:val="Hyperlink"/>
            <w:rFonts w:eastAsiaTheme="majorEastAsia"/>
          </w:rPr>
          <w:t>Centraal Economisch Plan 2026</w:t>
        </w:r>
      </w:hyperlink>
      <w:r>
        <w:t xml:space="preserve">. </w:t>
      </w:r>
    </w:p>
  </w:footnote>
  <w:footnote w:id="22">
    <w:p w14:paraId="01A5EDD8" w14:textId="77777777" w:rsidR="00040FAF" w:rsidRDefault="00040FAF" w:rsidP="00040FAF">
      <w:pPr>
        <w:pStyle w:val="Voetnoottekst"/>
      </w:pPr>
      <w:r>
        <w:rPr>
          <w:rStyle w:val="Voetnootmarkering"/>
        </w:rPr>
        <w:footnoteRef/>
      </w:r>
      <w:r>
        <w:t xml:space="preserve"> CPB (2026). </w:t>
      </w:r>
      <w:hyperlink r:id="rId28" w:history="1">
        <w:r w:rsidRPr="00605D78">
          <w:rPr>
            <w:rStyle w:val="Hyperlink"/>
          </w:rPr>
          <w:t>Analyse coalitieakkoord 2026-2030.</w:t>
        </w:r>
      </w:hyperlink>
    </w:p>
  </w:footnote>
  <w:footnote w:id="23">
    <w:p w14:paraId="55A221E1" w14:textId="77777777" w:rsidR="00040FAF" w:rsidRDefault="00040FAF" w:rsidP="00040FAF">
      <w:pPr>
        <w:pStyle w:val="Voetnoottekst"/>
      </w:pPr>
      <w:r>
        <w:rPr>
          <w:rStyle w:val="Voetnootmarkering"/>
        </w:rPr>
        <w:footnoteRef/>
      </w:r>
      <w:r>
        <w:t xml:space="preserve"> Deze cijfers zijn eigen berekeningen op basis van de collectieve overheidsuitgaven naar functie. Zie CPB (2026). </w:t>
      </w:r>
      <w:hyperlink r:id="rId29" w:history="1">
        <w:r w:rsidRPr="0097608D">
          <w:rPr>
            <w:rStyle w:val="Hyperlink"/>
          </w:rPr>
          <w:t>Centraal Economisch Plan 2026</w:t>
        </w:r>
      </w:hyperlink>
      <w:r>
        <w:t xml:space="preserve">, bijlage 11. Het effect van het coalitieakkoord is gebaseerd op CPB (2026). </w:t>
      </w:r>
      <w:hyperlink r:id="rId30" w:history="1">
        <w:r w:rsidRPr="008F2C54">
          <w:rPr>
            <w:rStyle w:val="Hyperlink"/>
            <w:rFonts w:eastAsiaTheme="majorEastAsia"/>
          </w:rPr>
          <w:t>Analyse Coalitieakkoord 2026-2030</w:t>
        </w:r>
      </w:hyperlink>
      <w:r>
        <w:t xml:space="preserve">. </w:t>
      </w:r>
    </w:p>
  </w:footnote>
  <w:footnote w:id="24">
    <w:p w14:paraId="47FA873C" w14:textId="77777777" w:rsidR="00040FAF" w:rsidRDefault="00040FAF" w:rsidP="00040FAF">
      <w:pPr>
        <w:pStyle w:val="Voetnoottekst"/>
      </w:pPr>
      <w:r w:rsidRPr="00AB54EC">
        <w:rPr>
          <w:rStyle w:val="Voetnootmarkering"/>
        </w:rPr>
        <w:footnoteRef/>
      </w:r>
      <w:r w:rsidRPr="00AB54EC">
        <w:t xml:space="preserve"> In het </w:t>
      </w:r>
      <w:hyperlink r:id="rId31" w:history="1">
        <w:r w:rsidRPr="000C2B50">
          <w:rPr>
            <w:rStyle w:val="Hyperlink"/>
          </w:rPr>
          <w:t>CEP 2026</w:t>
        </w:r>
      </w:hyperlink>
      <w:r w:rsidRPr="00AB54EC">
        <w:t xml:space="preserve"> bedragen de collectieve uitgaven aan defensie in 2025 1,6% van het bbp ofwel €</w:t>
      </w:r>
      <w:r>
        <w:t> </w:t>
      </w:r>
      <w:r w:rsidRPr="00AB54EC">
        <w:t xml:space="preserve">19,1 mld. </w:t>
      </w:r>
    </w:p>
  </w:footnote>
  <w:footnote w:id="25">
    <w:p w14:paraId="7122ED93" w14:textId="77777777" w:rsidR="00040FAF" w:rsidRDefault="00040FAF" w:rsidP="00040FAF">
      <w:pPr>
        <w:pStyle w:val="Voetnoottekst"/>
      </w:pPr>
      <w:r>
        <w:rPr>
          <w:rStyle w:val="Voetnootmarkering"/>
        </w:rPr>
        <w:footnoteRef/>
      </w:r>
      <w:r>
        <w:t xml:space="preserve"> De bedragen verwijzen naar de collectieve uitgaven aan defensie volgens de functie-indeling van het CPB. Deze definitie van de defensie-uitgaven wijkt af van de NAVO-definitie. De cijfers zijn gebaseerd op de doorrekeningen van het coalitieakkoord door het CPB en het CEP 2026. De uitgaven aan defensie gerelateerde infrastructuur, die wel behoren tot de nieuwe NAVO-norm vallen normaliter niet onder de functie defensie maar onder de functie infrastructuur.</w:t>
      </w:r>
    </w:p>
  </w:footnote>
  <w:footnote w:id="26">
    <w:p w14:paraId="64010601" w14:textId="77777777" w:rsidR="00040FAF" w:rsidRDefault="00040FAF" w:rsidP="00040FAF">
      <w:pPr>
        <w:pStyle w:val="Voetnoottekst"/>
      </w:pPr>
      <w:r>
        <w:rPr>
          <w:rStyle w:val="Voetnootmarkering"/>
        </w:rPr>
        <w:footnoteRef/>
      </w:r>
      <w:r>
        <w:t xml:space="preserve"> Doordat mensen langer doorwerken blijven zij langer onderdeel uitmaken van de beroepsbevolking, waardoor deze groeit of minder snel afneemt in vergelijking met het </w:t>
      </w:r>
      <w:proofErr w:type="spellStart"/>
      <w:r>
        <w:t>basispad</w:t>
      </w:r>
      <w:proofErr w:type="spellEnd"/>
      <w:r>
        <w:t>. Hierdoor neemt het arbeidsaanbod toe. Het is niet zo dat mensen meer uren per week werken, of dat in hetzelfde cohort de arbeidsparticipatie stijgt.</w:t>
      </w:r>
    </w:p>
  </w:footnote>
  <w:footnote w:id="27">
    <w:p w14:paraId="165039E5" w14:textId="77777777" w:rsidR="00040FAF" w:rsidRDefault="00040FAF" w:rsidP="00040FAF">
      <w:pPr>
        <w:pStyle w:val="Voetnoottekst"/>
      </w:pPr>
      <w:r>
        <w:rPr>
          <w:rStyle w:val="Voetnootmarkering"/>
        </w:rPr>
        <w:footnoteRef/>
      </w:r>
      <w:r>
        <w:t xml:space="preserve"> CPB (2026). </w:t>
      </w:r>
      <w:hyperlink r:id="rId32" w:history="1">
        <w:r w:rsidRPr="00605D78">
          <w:rPr>
            <w:rStyle w:val="Hyperlink"/>
          </w:rPr>
          <w:t>Analyse Coalitieakkoord 2026-2030.</w:t>
        </w:r>
      </w:hyperlink>
      <w:r>
        <w:t xml:space="preserve"> </w:t>
      </w:r>
    </w:p>
  </w:footnote>
  <w:footnote w:id="28">
    <w:p w14:paraId="1EC9BE64" w14:textId="77777777" w:rsidR="00040FAF" w:rsidRDefault="00040FAF" w:rsidP="00040FAF">
      <w:pPr>
        <w:pStyle w:val="Voetnoottekst"/>
      </w:pPr>
      <w:r>
        <w:rPr>
          <w:rStyle w:val="Voetnootmarkering"/>
        </w:rPr>
        <w:footnoteRef/>
      </w:r>
      <w:r>
        <w:t xml:space="preserve"> Onder ‘lasten op arbeid’ valt niet alleen de belasting op mensen die werken, maar ook op mensen die gepensioneerd zijn of een uitkering hebben. Zie ook Ministerie van Financiën (2020). </w:t>
      </w:r>
      <w:hyperlink r:id="rId33" w:history="1">
        <w:r>
          <w:rPr>
            <w:rStyle w:val="Hyperlink"/>
            <w:rFonts w:eastAsiaTheme="majorEastAsia"/>
          </w:rPr>
          <w:t>Bouwstenen voor een beter belastingstelsel.</w:t>
        </w:r>
      </w:hyperlink>
    </w:p>
  </w:footnote>
  <w:footnote w:id="29">
    <w:p w14:paraId="3C99BEA5" w14:textId="77777777" w:rsidR="00040FAF" w:rsidRDefault="00040FAF" w:rsidP="00040FAF">
      <w:pPr>
        <w:pStyle w:val="Voetnoottekst"/>
      </w:pPr>
      <w:r>
        <w:rPr>
          <w:rStyle w:val="Voetnootmarkering"/>
        </w:rPr>
        <w:footnoteRef/>
      </w:r>
      <w:r>
        <w:t xml:space="preserve"> CPB (2026). </w:t>
      </w:r>
      <w:hyperlink r:id="rId34" w:history="1">
        <w:r>
          <w:rPr>
            <w:rStyle w:val="Hyperlink"/>
            <w:rFonts w:eastAsiaTheme="majorEastAsia"/>
          </w:rPr>
          <w:t>Centraal Economisch Plan 2026</w:t>
        </w:r>
      </w:hyperlink>
      <w:r>
        <w:t>.</w:t>
      </w:r>
    </w:p>
  </w:footnote>
  <w:footnote w:id="30">
    <w:p w14:paraId="7133A23F" w14:textId="77777777" w:rsidR="00040FAF" w:rsidRDefault="00040FAF" w:rsidP="00040FAF">
      <w:pPr>
        <w:pStyle w:val="Voetnoottekst"/>
      </w:pPr>
      <w:r>
        <w:rPr>
          <w:rStyle w:val="Voetnootmarkering"/>
        </w:rPr>
        <w:footnoteRef/>
      </w:r>
      <w:r>
        <w:t xml:space="preserve"> CPB (2019). </w:t>
      </w:r>
      <w:hyperlink r:id="rId35" w:history="1">
        <w:r w:rsidRPr="00F40478">
          <w:rPr>
            <w:rStyle w:val="Hyperlink"/>
          </w:rPr>
          <w:t>Centraal Economisch Plan 2019</w:t>
        </w:r>
      </w:hyperlink>
      <w:r>
        <w:t xml:space="preserve">; Expertgroep Realistisch Ramen (2025). </w:t>
      </w:r>
      <w:hyperlink r:id="rId36" w:history="1">
        <w:r w:rsidRPr="00D946CE">
          <w:rPr>
            <w:rStyle w:val="Hyperlink"/>
          </w:rPr>
          <w:t>Op drift of op koers? Analyses en aanbevelingen om beter te ramen en begroten.</w:t>
        </w:r>
      </w:hyperlink>
      <w:r>
        <w:t xml:space="preserve"> </w:t>
      </w:r>
    </w:p>
  </w:footnote>
  <w:footnote w:id="31">
    <w:p w14:paraId="6771FB65" w14:textId="77777777" w:rsidR="00040FAF" w:rsidRDefault="00040FAF" w:rsidP="00040FAF">
      <w:pPr>
        <w:pStyle w:val="Voetnoottekst"/>
      </w:pPr>
      <w:r>
        <w:rPr>
          <w:rStyle w:val="Voetnootmarkering"/>
        </w:rPr>
        <w:footnoteRef/>
      </w:r>
      <w:r>
        <w:t xml:space="preserve"> Netto-uitgaven zijn de nationale overheidsuitgaven gecorrigeerd voor rente-uitgaven, tijdelijke en eenmalige uitgaven, eventuele discretionaire inkomstenmaatregelen, uitgaven die worden bekostigd met inkomsten uit EU-fondsen en nationale cofinanciering voor EU-programma’s, conjuncturele werkloosheidsuitgaven en eventuele maatregelen die zorgen voor hogere inkomsten. </w:t>
      </w:r>
    </w:p>
  </w:footnote>
  <w:footnote w:id="32">
    <w:p w14:paraId="1AC6526C" w14:textId="77777777" w:rsidR="00040FAF" w:rsidRDefault="00040FAF" w:rsidP="00040FAF">
      <w:pPr>
        <w:pStyle w:val="Voetnoottekst"/>
      </w:pPr>
      <w:r>
        <w:rPr>
          <w:rStyle w:val="Voetnootmarkering"/>
        </w:rPr>
        <w:footnoteRef/>
      </w:r>
      <w:r>
        <w:t xml:space="preserve"> </w:t>
      </w:r>
      <w:r w:rsidRPr="00C247D4">
        <w:t xml:space="preserve">Ministerie van Financiën (2024). </w:t>
      </w:r>
      <w:hyperlink r:id="rId37" w:history="1">
        <w:r>
          <w:rPr>
            <w:rStyle w:val="Hyperlink"/>
          </w:rPr>
          <w:t>B</w:t>
        </w:r>
        <w:r w:rsidRPr="00EA15EB">
          <w:rPr>
            <w:rStyle w:val="Hyperlink"/>
          </w:rPr>
          <w:t>udgettair-structureel plan voor de middellange termijn</w:t>
        </w:r>
      </w:hyperlink>
      <w:r w:rsidRPr="00C247D4">
        <w:t xml:space="preserve">. </w:t>
      </w:r>
    </w:p>
  </w:footnote>
  <w:footnote w:id="33">
    <w:p w14:paraId="4554AEF5" w14:textId="77777777" w:rsidR="00040FAF" w:rsidRDefault="00040FAF" w:rsidP="00040FAF">
      <w:pPr>
        <w:pStyle w:val="Voetnoottekst"/>
      </w:pPr>
      <w:r>
        <w:rPr>
          <w:rStyle w:val="Voetnootmarkering"/>
        </w:rPr>
        <w:footnoteRef/>
      </w:r>
      <w:r>
        <w:t xml:space="preserve"> </w:t>
      </w:r>
      <w:r w:rsidRPr="001B3C6B">
        <w:t>Raad van de Europese Unie (2025)</w:t>
      </w:r>
      <w:r>
        <w:t>.</w:t>
      </w:r>
      <w:r w:rsidRPr="001B3C6B">
        <w:t xml:space="preserve"> </w:t>
      </w:r>
      <w:hyperlink r:id="rId38" w:history="1">
        <w:r w:rsidRPr="00FF11C0">
          <w:rPr>
            <w:rStyle w:val="Hyperlink"/>
          </w:rPr>
          <w:t>Aanbeveling van de Raad tot vaststelling van het netto-</w:t>
        </w:r>
        <w:proofErr w:type="spellStart"/>
        <w:r w:rsidRPr="00FF11C0">
          <w:rPr>
            <w:rStyle w:val="Hyperlink"/>
          </w:rPr>
          <w:t>uitgavenpad</w:t>
        </w:r>
        <w:proofErr w:type="spellEnd"/>
        <w:r w:rsidRPr="00FF11C0">
          <w:rPr>
            <w:rStyle w:val="Hyperlink"/>
          </w:rPr>
          <w:t xml:space="preserve"> van Nederland.</w:t>
        </w:r>
      </w:hyperlink>
    </w:p>
  </w:footnote>
  <w:footnote w:id="34">
    <w:p w14:paraId="5CC8CFE8" w14:textId="77777777" w:rsidR="00040FAF" w:rsidRDefault="00040FAF" w:rsidP="00040FAF">
      <w:pPr>
        <w:pStyle w:val="Voetnoottekst"/>
      </w:pPr>
      <w:r>
        <w:rPr>
          <w:rStyle w:val="Voetnootmarkering"/>
        </w:rPr>
        <w:footnoteRef/>
      </w:r>
      <w:r>
        <w:t xml:space="preserve"> De verordening voor de preventieve arm voorziet niet in een automatische opschorting van het geldende netto-</w:t>
      </w:r>
      <w:proofErr w:type="spellStart"/>
      <w:r>
        <w:t>uitgavenpad</w:t>
      </w:r>
      <w:proofErr w:type="spellEnd"/>
      <w:r>
        <w:t xml:space="preserve"> gedurende de periode van voorbereiding en indiening van een herzien BSP. </w:t>
      </w:r>
    </w:p>
  </w:footnote>
  <w:footnote w:id="35">
    <w:p w14:paraId="1EDCEE7F" w14:textId="77777777" w:rsidR="00040FAF" w:rsidRDefault="00040FAF" w:rsidP="00040FAF">
      <w:pPr>
        <w:pStyle w:val="Voetnoottekst"/>
      </w:pPr>
      <w:r>
        <w:rPr>
          <w:rStyle w:val="Voetnootmarkering"/>
        </w:rPr>
        <w:footnoteRef/>
      </w:r>
      <w:r>
        <w:t xml:space="preserve"> </w:t>
      </w:r>
      <w:hyperlink r:id="rId39" w:history="1">
        <w:r w:rsidRPr="009F0178">
          <w:rPr>
            <w:rStyle w:val="Hyperlink"/>
          </w:rPr>
          <w:t>Verordening 2024/1263, art. 15, lid 5.</w:t>
        </w:r>
      </w:hyperlink>
      <w:r>
        <w:t xml:space="preserve"> </w:t>
      </w:r>
    </w:p>
  </w:footnote>
  <w:footnote w:id="36">
    <w:p w14:paraId="1CB6313E" w14:textId="77777777" w:rsidR="00040FAF" w:rsidRDefault="00040FAF" w:rsidP="00040FAF">
      <w:pPr>
        <w:pStyle w:val="Voetnoottekst"/>
      </w:pPr>
      <w:r>
        <w:rPr>
          <w:rStyle w:val="Voetnootmarkering"/>
        </w:rPr>
        <w:footnoteRef/>
      </w:r>
      <w:r>
        <w:t xml:space="preserve"> Deze referentiewaarden zijn verankerd in het Verdrag </w:t>
      </w:r>
      <w:proofErr w:type="gramStart"/>
      <w:r>
        <w:t>betreffende</w:t>
      </w:r>
      <w:proofErr w:type="gramEnd"/>
      <w:r>
        <w:t xml:space="preserve"> de werking van de Europese Unie en vormen de fundamentele normen van het SGP. Dit is bij de herziening van het SGP in 2024 ongewijzigd gebleven. </w:t>
      </w:r>
    </w:p>
  </w:footnote>
  <w:footnote w:id="37">
    <w:p w14:paraId="148BC65B" w14:textId="77777777" w:rsidR="00040FAF" w:rsidRDefault="00040FAF" w:rsidP="00040FAF">
      <w:pPr>
        <w:pStyle w:val="Voetnoottekst"/>
      </w:pPr>
      <w:r>
        <w:rPr>
          <w:rStyle w:val="Voetnootmarkering"/>
        </w:rPr>
        <w:footnoteRef/>
      </w:r>
      <w:r>
        <w:t xml:space="preserve"> Centraal Bureau voor de Statistiek (2026). </w:t>
      </w:r>
      <w:hyperlink r:id="rId40" w:history="1">
        <w:r w:rsidRPr="00E92EF3">
          <w:rPr>
            <w:rStyle w:val="Hyperlink"/>
            <w:i/>
            <w:iCs/>
          </w:rPr>
          <w:t>Inkomsten, uitgaven en schuld van de overheid boven de 500 miljard euro.</w:t>
        </w:r>
      </w:hyperlink>
    </w:p>
  </w:footnote>
  <w:footnote w:id="38">
    <w:p w14:paraId="514558B0" w14:textId="77777777" w:rsidR="00040FAF" w:rsidRDefault="00040FAF" w:rsidP="00040FAF">
      <w:pPr>
        <w:pStyle w:val="Voetnoottekst"/>
      </w:pPr>
      <w:r>
        <w:rPr>
          <w:rStyle w:val="Voetnootmarkering"/>
        </w:rPr>
        <w:footnoteRef/>
      </w:r>
      <w:r>
        <w:t xml:space="preserve"> </w:t>
      </w:r>
      <w:r w:rsidRPr="00FE35BE">
        <w:t xml:space="preserve">Om het begrotingskader bestand te maken tegen onzekere economische ontwikkelingen, moet het </w:t>
      </w:r>
      <w:proofErr w:type="spellStart"/>
      <w:r w:rsidRPr="00FE35BE">
        <w:t>referentiepad</w:t>
      </w:r>
      <w:proofErr w:type="spellEnd"/>
      <w:r w:rsidRPr="00FE35BE">
        <w:t xml:space="preserve"> ook voorzien in een gemeenschappelijke bestendigheidsmarge ten opzichte van de in </w:t>
      </w:r>
      <w:hyperlink r:id="rId41" w:history="1">
        <w:r w:rsidRPr="00605E1B">
          <w:rPr>
            <w:rStyle w:val="Hyperlink"/>
          </w:rPr>
          <w:t>artikel 126, lid 2, VWEU</w:t>
        </w:r>
      </w:hyperlink>
      <w:r w:rsidRPr="00FE35BE">
        <w:t xml:space="preserve"> in samenhang met Protocol (nr. 12) bedoelde tekortreferentiewaarde of de convergentie naar die tekortreferentiewaarde. Dankzij die gemeenschappelijke bestendigheidswaarborg moeten er begrotingsbuffers voor ongunstige omstandigheden en schokken kunnen worden aangelegd. Zie </w:t>
      </w:r>
      <w:hyperlink r:id="rId42" w:history="1">
        <w:r w:rsidRPr="00A20243">
          <w:rPr>
            <w:rStyle w:val="Hyperlink"/>
          </w:rPr>
          <w:t>Verordening 2024/1263</w:t>
        </w:r>
      </w:hyperlink>
      <w:r w:rsidRPr="00FE35BE">
        <w:t xml:space="preserve"> </w:t>
      </w:r>
    </w:p>
  </w:footnote>
  <w:footnote w:id="39">
    <w:p w14:paraId="6C684AA6" w14:textId="77777777" w:rsidR="00040FAF" w:rsidRDefault="00040FAF" w:rsidP="00040FAF">
      <w:pPr>
        <w:pStyle w:val="Voetnoottekst"/>
      </w:pPr>
      <w:r>
        <w:rPr>
          <w:rStyle w:val="Voetnootmarkering"/>
        </w:rPr>
        <w:footnoteRef/>
      </w:r>
      <w:r>
        <w:t xml:space="preserve"> Het gemiddelde is afgeleid uit de jaarlijkse norm voor de netto-uitgaven, gedeeld door het aantal jaar waarvoor het </w:t>
      </w:r>
      <w:proofErr w:type="spellStart"/>
      <w:r>
        <w:t>uitgavenpad</w:t>
      </w:r>
      <w:proofErr w:type="spellEnd"/>
      <w:r>
        <w:t xml:space="preserve"> geldt (2025-2028). </w:t>
      </w:r>
    </w:p>
  </w:footnote>
  <w:footnote w:id="40">
    <w:p w14:paraId="7804C607" w14:textId="77777777" w:rsidR="00040FAF" w:rsidRDefault="00040FAF" w:rsidP="00040FAF">
      <w:pPr>
        <w:pStyle w:val="Voetnoottekst"/>
      </w:pPr>
      <w:r>
        <w:rPr>
          <w:rStyle w:val="Voetnootmarkering"/>
        </w:rPr>
        <w:footnoteRef/>
      </w:r>
      <w:r>
        <w:t xml:space="preserve"> L</w:t>
      </w:r>
      <w:r w:rsidRPr="00C603C1">
        <w:t xml:space="preserve">idstaten met een schuld boven de 60% bbp mogen jaarlijks tot 0,3% bbp afwijken van hun </w:t>
      </w:r>
      <w:proofErr w:type="spellStart"/>
      <w:r w:rsidRPr="00C603C1">
        <w:t>uitgavenpad</w:t>
      </w:r>
      <w:proofErr w:type="spellEnd"/>
      <w:r w:rsidRPr="00C603C1">
        <w:t xml:space="preserve"> en opgeteld over meerdere jaren tot 0,6% bbp</w:t>
      </w:r>
      <w:r>
        <w:t xml:space="preserve">. </w:t>
      </w:r>
      <w:r w:rsidRPr="00C603C1">
        <w:t xml:space="preserve">In het onderzoek of sprake is van een buitensporig tekort wordt door de Commissie rekening gehouden met alle zogenoemde relevante factoren. Deze relevante factoren kunnen ertoe leiden dat er geen </w:t>
      </w:r>
      <w:proofErr w:type="spellStart"/>
      <w:r w:rsidRPr="00C603C1">
        <w:t>buitensporigtekortprocedure</w:t>
      </w:r>
      <w:proofErr w:type="spellEnd"/>
      <w:r w:rsidRPr="00C603C1">
        <w:t xml:space="preserve"> wordt geopend. </w:t>
      </w:r>
      <w:r>
        <w:t>E</w:t>
      </w:r>
      <w:r w:rsidRPr="00C603C1">
        <w:t xml:space="preserve">en eventuele toename in defensie-uitgaven </w:t>
      </w:r>
      <w:r>
        <w:t xml:space="preserve">wordt </w:t>
      </w:r>
      <w:r w:rsidRPr="00C603C1">
        <w:t xml:space="preserve">gezien als een relevante factor. </w:t>
      </w:r>
    </w:p>
  </w:footnote>
  <w:footnote w:id="41">
    <w:p w14:paraId="6A2DE0F8" w14:textId="77777777" w:rsidR="00040FAF" w:rsidRDefault="00040FAF" w:rsidP="00040FAF">
      <w:pPr>
        <w:pStyle w:val="Voetnoottekst"/>
      </w:pPr>
      <w:r>
        <w:rPr>
          <w:rStyle w:val="Voetnootmarkering"/>
        </w:rPr>
        <w:footnoteRef/>
      </w:r>
      <w:r>
        <w:t xml:space="preserve"> </w:t>
      </w:r>
      <w:r w:rsidRPr="00C603C1">
        <w:t xml:space="preserve">Raad van de Europese Unie (2025). </w:t>
      </w:r>
      <w:hyperlink r:id="rId43" w:history="1">
        <w:r w:rsidRPr="0034695E">
          <w:rPr>
            <w:rStyle w:val="Hyperlink"/>
          </w:rPr>
          <w:t>Aanbeveling van de Raad tot vaststelling van het netto-</w:t>
        </w:r>
        <w:proofErr w:type="spellStart"/>
        <w:r w:rsidRPr="0034695E">
          <w:rPr>
            <w:rStyle w:val="Hyperlink"/>
          </w:rPr>
          <w:t>uitgavenpad</w:t>
        </w:r>
        <w:proofErr w:type="spellEnd"/>
        <w:r w:rsidRPr="0034695E">
          <w:rPr>
            <w:rStyle w:val="Hyperlink"/>
          </w:rPr>
          <w:t xml:space="preserve"> van Nederland.</w:t>
        </w:r>
      </w:hyperlink>
      <w:r w:rsidRPr="00C603C1">
        <w:t xml:space="preserve"> </w:t>
      </w:r>
    </w:p>
  </w:footnote>
  <w:footnote w:id="42">
    <w:p w14:paraId="7D1C6F9E" w14:textId="77777777" w:rsidR="00040FAF" w:rsidRDefault="00040FAF" w:rsidP="00040FAF">
      <w:pPr>
        <w:pStyle w:val="Voetnoottekst"/>
      </w:pPr>
      <w:r>
        <w:rPr>
          <w:rStyle w:val="Voetnootmarkering"/>
        </w:rPr>
        <w:footnoteRef/>
      </w:r>
      <w:r>
        <w:t xml:space="preserve"> Centraal Planbureau (2026). </w:t>
      </w:r>
      <w:hyperlink r:id="rId44" w:history="1">
        <w:r w:rsidRPr="007B087B">
          <w:rPr>
            <w:rStyle w:val="Hyperlink"/>
          </w:rPr>
          <w:t>Centraal Economisch Plan 2026.</w:t>
        </w:r>
      </w:hyperlink>
    </w:p>
  </w:footnote>
  <w:footnote w:id="43">
    <w:p w14:paraId="46F30552" w14:textId="77777777" w:rsidR="00040FAF" w:rsidRPr="008E43FB" w:rsidRDefault="00040FAF" w:rsidP="00040FAF">
      <w:pPr>
        <w:pStyle w:val="Voetnoottekst"/>
      </w:pPr>
      <w:r>
        <w:rPr>
          <w:rStyle w:val="Voetnootmarkering"/>
        </w:rPr>
        <w:footnoteRef/>
      </w:r>
      <w:r w:rsidRPr="008E43FB">
        <w:t xml:space="preserve"> </w:t>
      </w:r>
      <w:r w:rsidRPr="00751542">
        <w:t xml:space="preserve">De Commissie beoordeelt </w:t>
      </w:r>
      <w:r>
        <w:t>het herziene</w:t>
      </w:r>
      <w:r w:rsidRPr="00751542">
        <w:t xml:space="preserve"> budgettair-structureel plan voor de middellange termijn binnen zes weken na de indiening ervan. </w:t>
      </w:r>
    </w:p>
  </w:footnote>
  <w:footnote w:id="44">
    <w:p w14:paraId="741FFD9E" w14:textId="77777777" w:rsidR="00040FAF" w:rsidRDefault="00040FAF" w:rsidP="00040FAF">
      <w:pPr>
        <w:pStyle w:val="Voetnoottekst"/>
      </w:pPr>
      <w:r>
        <w:rPr>
          <w:rStyle w:val="Voetnootmarkering"/>
          <w:rFonts w:eastAsiaTheme="majorEastAsia"/>
        </w:rPr>
        <w:footnoteRef/>
      </w:r>
      <w:r>
        <w:t xml:space="preserve"> De aanpassingsperiode van het BSP loopt van 2026 tot en met 2029. Dit is ook de periode waarop de Europese Commissie het BSP toetst. De kabinetsperiode loopt tot en met 2030.</w:t>
      </w:r>
    </w:p>
  </w:footnote>
  <w:footnote w:id="45">
    <w:p w14:paraId="0A5186A5" w14:textId="77777777" w:rsidR="00040FAF" w:rsidRDefault="00040FAF" w:rsidP="00040FAF">
      <w:pPr>
        <w:pStyle w:val="Voetnoottekst"/>
      </w:pPr>
      <w:r>
        <w:rPr>
          <w:rStyle w:val="Voetnootmarkering"/>
          <w:rFonts w:eastAsiaTheme="majorEastAsia"/>
        </w:rPr>
        <w:footnoteRef/>
      </w:r>
      <w:r>
        <w:t xml:space="preserve"> </w:t>
      </w:r>
      <w:r w:rsidRPr="004A2745">
        <w:t xml:space="preserve">Met de middellange termijn wordt een periode van tien jaar na afloop van het </w:t>
      </w:r>
      <w:r>
        <w:t xml:space="preserve">BSP bedoeld. In dit geval: tot 2039. </w:t>
      </w:r>
    </w:p>
  </w:footnote>
  <w:footnote w:id="46">
    <w:p w14:paraId="74A71F4F" w14:textId="77777777" w:rsidR="00040FAF" w:rsidRDefault="00040FAF" w:rsidP="00040FAF">
      <w:pPr>
        <w:pStyle w:val="Voetnoottekst"/>
      </w:pPr>
      <w:r>
        <w:rPr>
          <w:rStyle w:val="Voetnootmarkering"/>
        </w:rPr>
        <w:footnoteRef/>
      </w:r>
      <w:r>
        <w:t xml:space="preserve"> Onder het kopje ‘methodologische knelpunten’ wordt toegelicht hoe de technische informatie van de Commissie is aangepast. </w:t>
      </w:r>
    </w:p>
  </w:footnote>
  <w:footnote w:id="47">
    <w:p w14:paraId="4A6922D1" w14:textId="77777777" w:rsidR="00040FAF" w:rsidRDefault="00040FAF" w:rsidP="00040FAF">
      <w:pPr>
        <w:pStyle w:val="Voetnoottekst"/>
      </w:pPr>
      <w:r>
        <w:rPr>
          <w:rStyle w:val="Voetnootmarkering"/>
          <w:rFonts w:eastAsiaTheme="majorEastAsia"/>
        </w:rPr>
        <w:footnoteRef/>
      </w:r>
      <w:r>
        <w:t xml:space="preserve"> Ministerie van Financiën (2026). Budgettair-structureel plan voor de middellange termijn. Maart 2026. </w:t>
      </w:r>
    </w:p>
  </w:footnote>
  <w:footnote w:id="48">
    <w:p w14:paraId="3E69955A" w14:textId="77777777" w:rsidR="00040FAF" w:rsidRDefault="00040FAF" w:rsidP="00040FAF">
      <w:pPr>
        <w:pStyle w:val="Voetnoottekst"/>
      </w:pPr>
      <w:r>
        <w:rPr>
          <w:rStyle w:val="Voetnootmarkering"/>
        </w:rPr>
        <w:footnoteRef/>
      </w:r>
      <w:r>
        <w:t xml:space="preserve"> Gebaseerd op de projecties zoals gepresenteerd in tabel 5b van het BSP. </w:t>
      </w:r>
    </w:p>
  </w:footnote>
  <w:footnote w:id="49">
    <w:p w14:paraId="739366F9" w14:textId="77777777" w:rsidR="00040FAF" w:rsidRDefault="00040FAF" w:rsidP="00040FAF">
      <w:pPr>
        <w:pStyle w:val="Voetnoottekst"/>
      </w:pPr>
      <w:r>
        <w:rPr>
          <w:rStyle w:val="Voetnootmarkering"/>
        </w:rPr>
        <w:footnoteRef/>
      </w:r>
      <w:r>
        <w:t xml:space="preserve"> Gebaseerd op bijlage C uit het Verantwoordingsdocument van het CEP 2026 van het CPB. </w:t>
      </w:r>
    </w:p>
  </w:footnote>
  <w:footnote w:id="50">
    <w:p w14:paraId="78E25105" w14:textId="77777777" w:rsidR="00040FAF" w:rsidRDefault="00040FAF" w:rsidP="00040FAF">
      <w:pPr>
        <w:pStyle w:val="Voetnoottekst"/>
      </w:pPr>
      <w:r>
        <w:rPr>
          <w:rStyle w:val="Voetnootmarkering"/>
        </w:rPr>
        <w:footnoteRef/>
      </w:r>
      <w:r>
        <w:t xml:space="preserve"> </w:t>
      </w:r>
      <w:r w:rsidRPr="001E17B4">
        <w:t>Het doel van de preventieve arm, in zowel het oude als nieuwe raamwerk, is om te voorkomen dat lidstaten worden geconfronteerd met te hoge tekorten. Om dit te bewerkstelligen zit in de nieuwe sturingsvariabele van het raamwerk (</w:t>
      </w:r>
      <w:proofErr w:type="spellStart"/>
      <w:r w:rsidRPr="001E17B4">
        <w:t>uitgavenpad</w:t>
      </w:r>
      <w:proofErr w:type="spellEnd"/>
      <w:r w:rsidRPr="001E17B4">
        <w:t>) een buffer ten opzichte van de normen voor het maximale begrotingstekort (3% bbp) en maximale overheidsschuld (60% bbp) ingebouwd, zodat lidstaten stabiliserend begrotingsbeleid kunnen voeren.</w:t>
      </w:r>
    </w:p>
  </w:footnote>
  <w:footnote w:id="51">
    <w:p w14:paraId="1D4B22AE" w14:textId="77777777" w:rsidR="00040FAF" w:rsidRDefault="00040FAF" w:rsidP="00040FAF">
      <w:pPr>
        <w:pStyle w:val="Voetnoottekst"/>
      </w:pPr>
      <w:r>
        <w:rPr>
          <w:rStyle w:val="Voetnootmarkering"/>
        </w:rPr>
        <w:footnoteRef/>
      </w:r>
      <w:r>
        <w:t xml:space="preserve"> </w:t>
      </w:r>
      <w:hyperlink r:id="rId45" w:history="1">
        <w:r w:rsidRPr="00DB2D67">
          <w:rPr>
            <w:rStyle w:val="Hyperlink"/>
          </w:rPr>
          <w:t>Wet Houdbare Overheidsfinanciën, art. 2a, lid 3.</w:t>
        </w:r>
      </w:hyperlink>
    </w:p>
  </w:footnote>
  <w:footnote w:id="52">
    <w:p w14:paraId="667E3C68" w14:textId="77777777" w:rsidR="00040FAF" w:rsidRDefault="00040FAF" w:rsidP="00040FAF">
      <w:pPr>
        <w:pStyle w:val="Voetnoottekst"/>
      </w:pPr>
      <w:r>
        <w:rPr>
          <w:rStyle w:val="Voetnootmarkering"/>
        </w:rPr>
        <w:footnoteRef/>
      </w:r>
      <w:r>
        <w:t xml:space="preserve"> </w:t>
      </w:r>
      <w:hyperlink r:id="rId46" w:history="1">
        <w:r w:rsidRPr="009F0178">
          <w:rPr>
            <w:rStyle w:val="Hyperlink"/>
          </w:rPr>
          <w:t xml:space="preserve">Verordening 2024/1263, </w:t>
        </w:r>
        <w:proofErr w:type="spellStart"/>
        <w:r>
          <w:rPr>
            <w:rStyle w:val="Hyperlink"/>
          </w:rPr>
          <w:t>ovw</w:t>
        </w:r>
        <w:proofErr w:type="spellEnd"/>
        <w:r>
          <w:rPr>
            <w:rStyle w:val="Hyperlink"/>
          </w:rPr>
          <w:t xml:space="preserve"> 25</w:t>
        </w:r>
        <w:r w:rsidRPr="009F0178">
          <w:rPr>
            <w:rStyle w:val="Hyperlink"/>
          </w:rPr>
          <w:t>.</w:t>
        </w:r>
      </w:hyperlink>
      <w:r>
        <w:t xml:space="preserve"> </w:t>
      </w:r>
    </w:p>
  </w:footnote>
  <w:footnote w:id="53">
    <w:p w14:paraId="13E061C3" w14:textId="77777777" w:rsidR="00040FAF" w:rsidRDefault="00040FAF" w:rsidP="00040FAF">
      <w:pPr>
        <w:pStyle w:val="Voetnoottekst"/>
      </w:pPr>
      <w:r>
        <w:rPr>
          <w:rStyle w:val="Voetnootmarkering"/>
        </w:rPr>
        <w:footnoteRef/>
      </w:r>
      <w:r>
        <w:t xml:space="preserve"> </w:t>
      </w:r>
      <w:r w:rsidRPr="00233559">
        <w:t xml:space="preserve">Het normatieve begrotingsbeleid omvat verschillende begrotingsnomen: schuld, tekort (saldo), </w:t>
      </w:r>
      <w:proofErr w:type="gramStart"/>
      <w:r w:rsidRPr="00233559">
        <w:t>collectieve lastendruk</w:t>
      </w:r>
      <w:proofErr w:type="gramEnd"/>
      <w:r w:rsidRPr="00233559">
        <w:t xml:space="preserve"> en collectieve uitgavenplafonds. </w:t>
      </w:r>
    </w:p>
  </w:footnote>
  <w:footnote w:id="54">
    <w:p w14:paraId="2213329C" w14:textId="77777777" w:rsidR="00040FAF" w:rsidRDefault="00040FAF" w:rsidP="00040FAF">
      <w:pPr>
        <w:pStyle w:val="Voetnoottekst"/>
      </w:pPr>
      <w:r>
        <w:rPr>
          <w:rStyle w:val="Voetnootmarkering"/>
        </w:rPr>
        <w:footnoteRef/>
      </w:r>
      <w:r>
        <w:t xml:space="preserve"> Hoofdstukken 5 en 6 van de </w:t>
      </w:r>
      <w:hyperlink r:id="rId47" w:history="1">
        <w:r w:rsidRPr="00342F30">
          <w:rPr>
            <w:rStyle w:val="Hyperlink"/>
          </w:rPr>
          <w:t>Voorjaarsnota 2026</w:t>
        </w:r>
      </w:hyperlink>
      <w:r>
        <w:t xml:space="preserve"> uitgaven- en inkomstenkaders als onderdeel van de Startnota. Bijlage 1 van de Voorjaarsnota 2026 toont de begrotingsregels. </w:t>
      </w:r>
    </w:p>
  </w:footnote>
  <w:footnote w:id="55">
    <w:p w14:paraId="55894A0F" w14:textId="77777777" w:rsidR="00040FAF" w:rsidRPr="00001362" w:rsidRDefault="00040FAF" w:rsidP="00040FAF">
      <w:pPr>
        <w:pStyle w:val="Voetnoottekst"/>
      </w:pPr>
      <w:r>
        <w:rPr>
          <w:rStyle w:val="Voetnootmarkering"/>
        </w:rPr>
        <w:footnoteRef/>
      </w:r>
      <w:r w:rsidRPr="00001362">
        <w:t xml:space="preserve"> </w:t>
      </w:r>
      <w:hyperlink r:id="rId48" w:history="1">
        <w:r w:rsidRPr="00A419C1">
          <w:rPr>
            <w:rStyle w:val="Hyperlink"/>
          </w:rPr>
          <w:t>Verordening 2024/1263, art. 18, juncto art. 16, lid 2</w:t>
        </w:r>
      </w:hyperlink>
      <w:r w:rsidRPr="00001362">
        <w:t xml:space="preserve"> </w:t>
      </w:r>
    </w:p>
  </w:footnote>
  <w:footnote w:id="56">
    <w:p w14:paraId="0EEB14EB" w14:textId="77777777" w:rsidR="00040FAF" w:rsidRDefault="00040FAF" w:rsidP="00040FAF">
      <w:pPr>
        <w:pStyle w:val="Voetnoottekst"/>
      </w:pPr>
      <w:r>
        <w:rPr>
          <w:rStyle w:val="Voetnootmarkering"/>
        </w:rPr>
        <w:footnoteRef/>
      </w:r>
      <w:r>
        <w:t xml:space="preserve"> </w:t>
      </w:r>
      <w:hyperlink r:id="rId49" w:history="1">
        <w:r w:rsidRPr="00713F6B">
          <w:rPr>
            <w:rStyle w:val="Hyperlink"/>
          </w:rPr>
          <w:t>Wet Houdbare Overheidsfinanciën, art. 2, lid 3, a, i.</w:t>
        </w:r>
      </w:hyperlink>
    </w:p>
  </w:footnote>
  <w:footnote w:id="57">
    <w:p w14:paraId="6B8E2B53" w14:textId="77777777" w:rsidR="00040FAF" w:rsidRDefault="00040FAF" w:rsidP="00040FAF">
      <w:pPr>
        <w:pStyle w:val="Voetnoottekst"/>
      </w:pPr>
      <w:r>
        <w:rPr>
          <w:rStyle w:val="Voetnootmarkering"/>
        </w:rPr>
        <w:footnoteRef/>
      </w:r>
      <w:r>
        <w:t xml:space="preserve"> </w:t>
      </w:r>
      <w:hyperlink r:id="rId50" w:anchor="Verdrag_Verdragtekst_1_TiteldeelI_Artikel4" w:history="1">
        <w:r w:rsidRPr="00860A77">
          <w:rPr>
            <w:rStyle w:val="Hyperlink"/>
          </w:rPr>
          <w:t xml:space="preserve">Verdrag </w:t>
        </w:r>
        <w:proofErr w:type="gramStart"/>
        <w:r w:rsidRPr="00860A77">
          <w:rPr>
            <w:rStyle w:val="Hyperlink"/>
          </w:rPr>
          <w:t>betreffende</w:t>
        </w:r>
        <w:proofErr w:type="gramEnd"/>
        <w:r w:rsidRPr="00860A77">
          <w:rPr>
            <w:rStyle w:val="Hyperlink"/>
          </w:rPr>
          <w:t xml:space="preserve"> de Europese Unie, art. 4, lid 3.</w:t>
        </w:r>
      </w:hyperlink>
    </w:p>
  </w:footnote>
  <w:footnote w:id="58">
    <w:p w14:paraId="4820F295" w14:textId="77777777" w:rsidR="00040FAF" w:rsidRDefault="00040FAF" w:rsidP="00040FAF">
      <w:pPr>
        <w:pStyle w:val="Voetnoottekst"/>
      </w:pPr>
      <w:r>
        <w:rPr>
          <w:rStyle w:val="Voetnootmarkering"/>
        </w:rPr>
        <w:footnoteRef/>
      </w:r>
      <w:r>
        <w:t xml:space="preserve"> In de bijlage van het coalitieakkoord staat vermeld dat het begrotingstekort aan het einde van de kabinetsperiode uitkomt (ex-ante) op -2,1% op basis van de cijfers stand Miljoenennota 2026. </w:t>
      </w:r>
    </w:p>
  </w:footnote>
  <w:footnote w:id="59">
    <w:p w14:paraId="33071978" w14:textId="77777777" w:rsidR="00040FAF" w:rsidRDefault="00040FAF" w:rsidP="00040FAF">
      <w:pPr>
        <w:pStyle w:val="Voetnoottekst"/>
      </w:pPr>
      <w:r>
        <w:rPr>
          <w:rStyle w:val="Voetnootmarkering"/>
        </w:rPr>
        <w:footnoteRef/>
      </w:r>
      <w:r w:rsidRPr="005258B7">
        <w:t xml:space="preserve"> </w:t>
      </w:r>
      <w:r>
        <w:t xml:space="preserve">Raad van State (2022). </w:t>
      </w:r>
      <w:hyperlink r:id="rId51" w:history="1">
        <w:r w:rsidRPr="00FB5BF5">
          <w:rPr>
            <w:rStyle w:val="Hyperlink"/>
          </w:rPr>
          <w:t xml:space="preserve">Junirapportage begrotingstoezicht 2022, </w:t>
        </w:r>
        <w:proofErr w:type="gramStart"/>
        <w:r w:rsidRPr="00FB5BF5">
          <w:rPr>
            <w:rStyle w:val="Hyperlink"/>
          </w:rPr>
          <w:t>No.W</w:t>
        </w:r>
        <w:proofErr w:type="gramEnd"/>
        <w:r w:rsidRPr="00FB5BF5">
          <w:rPr>
            <w:rStyle w:val="Hyperlink"/>
          </w:rPr>
          <w:t>06.22.0084/III/B.</w:t>
        </w:r>
      </w:hyperlink>
    </w:p>
    <w:p w14:paraId="3268D42E" w14:textId="77777777" w:rsidR="00040FAF" w:rsidRDefault="00040FAF" w:rsidP="00040FAF">
      <w:pPr>
        <w:pStyle w:val="Voetnoottekst"/>
      </w:pPr>
      <w:r>
        <w:t xml:space="preserve">Raad van State (2022). </w:t>
      </w:r>
      <w:hyperlink r:id="rId52" w:history="1">
        <w:r w:rsidRPr="00A3557D">
          <w:rPr>
            <w:rStyle w:val="Hyperlink"/>
          </w:rPr>
          <w:t>Brief over het begrotingsbeleid van het nieuwe kabinet</w:t>
        </w:r>
      </w:hyperlink>
      <w:r>
        <w:t>.</w:t>
      </w:r>
    </w:p>
    <w:p w14:paraId="7AA0BC67" w14:textId="77777777" w:rsidR="00040FAF" w:rsidRPr="005258B7" w:rsidRDefault="00040FAF" w:rsidP="00040FAF">
      <w:pPr>
        <w:pStyle w:val="Voetnoottekst"/>
      </w:pPr>
      <w:r>
        <w:t xml:space="preserve">Raad van State (2022). </w:t>
      </w:r>
      <w:hyperlink r:id="rId53" w:history="1">
        <w:r w:rsidRPr="00963758">
          <w:rPr>
            <w:rStyle w:val="Hyperlink"/>
          </w:rPr>
          <w:t xml:space="preserve">Advies Miljoenennota en septemberrapportage begrotingstoezicht 2022, </w:t>
        </w:r>
        <w:proofErr w:type="gramStart"/>
        <w:r w:rsidRPr="00963758">
          <w:rPr>
            <w:rStyle w:val="Hyperlink"/>
          </w:rPr>
          <w:t>No.W</w:t>
        </w:r>
        <w:proofErr w:type="gramEnd"/>
        <w:r w:rsidRPr="00963758">
          <w:rPr>
            <w:rStyle w:val="Hyperlink"/>
          </w:rPr>
          <w:t>06.22.0143/III/B.</w:t>
        </w:r>
      </w:hyperlink>
      <w:r>
        <w:t xml:space="preserve"> </w:t>
      </w:r>
    </w:p>
  </w:footnote>
  <w:footnote w:id="60">
    <w:p w14:paraId="0368B781" w14:textId="77777777" w:rsidR="00040FAF" w:rsidRDefault="00040FAF" w:rsidP="00040FAF">
      <w:pPr>
        <w:pStyle w:val="Voetnoottekst"/>
      </w:pPr>
      <w:r>
        <w:rPr>
          <w:rStyle w:val="Voetnootmarkering"/>
          <w:rFonts w:eastAsiaTheme="majorEastAsia"/>
        </w:rPr>
        <w:footnoteRef/>
      </w:r>
      <w:r>
        <w:t xml:space="preserve"> Algemene Rekenkamer, Nationale ombudsman, Raad van State (2026). </w:t>
      </w:r>
      <w:hyperlink r:id="rId54" w:history="1">
        <w:r w:rsidRPr="00871678">
          <w:rPr>
            <w:rStyle w:val="Hyperlink"/>
          </w:rPr>
          <w:t>Naar een realistische overheid</w:t>
        </w:r>
      </w:hyperlink>
      <w:r>
        <w:t xml:space="preserve">. </w:t>
      </w:r>
    </w:p>
  </w:footnote>
  <w:footnote w:id="61">
    <w:p w14:paraId="63547B8B" w14:textId="77777777" w:rsidR="00040FAF" w:rsidRDefault="00040FAF" w:rsidP="00040FAF">
      <w:pPr>
        <w:pStyle w:val="Voetnoottekst"/>
      </w:pPr>
      <w:r>
        <w:rPr>
          <w:rStyle w:val="Voetnootmarkering"/>
          <w:rFonts w:eastAsiaTheme="majorEastAsia"/>
        </w:rPr>
        <w:footnoteRef/>
      </w:r>
      <w:r>
        <w:t xml:space="preserve"> SCP (2026). </w:t>
      </w:r>
      <w:hyperlink r:id="rId55" w:history="1">
        <w:r w:rsidRPr="00CE4B56">
          <w:rPr>
            <w:rStyle w:val="Hyperlink"/>
          </w:rPr>
          <w:t>Een sociaal-maatschappelijke reflectie op het coalitieakkoord</w:t>
        </w:r>
      </w:hyperlink>
      <w:r>
        <w:t>.</w:t>
      </w:r>
    </w:p>
  </w:footnote>
  <w:footnote w:id="62">
    <w:p w14:paraId="3B147FBA" w14:textId="77777777" w:rsidR="00040FAF" w:rsidRDefault="00040FAF" w:rsidP="00040FAF">
      <w:pPr>
        <w:pStyle w:val="Voetnoottekst"/>
      </w:pPr>
      <w:r>
        <w:rPr>
          <w:rStyle w:val="Voetnootmarkering"/>
        </w:rPr>
        <w:footnoteRef/>
      </w:r>
      <w:r>
        <w:t xml:space="preserve"> Zie ook Algemene Rekenkamer, </w:t>
      </w:r>
      <w:hyperlink r:id="rId56" w:history="1">
        <w:r w:rsidRPr="009B7EEE">
          <w:rPr>
            <w:rStyle w:val="Hyperlink"/>
          </w:rPr>
          <w:t>Blik op Nederland: Dashboard Doelen en Resultaten</w:t>
        </w:r>
      </w:hyperlink>
      <w:r>
        <w:t>.</w:t>
      </w:r>
    </w:p>
  </w:footnote>
  <w:footnote w:id="63">
    <w:p w14:paraId="1C74E28E" w14:textId="77777777" w:rsidR="00040FAF" w:rsidRDefault="00040FAF" w:rsidP="00040FAF">
      <w:pPr>
        <w:pStyle w:val="Voetnoottekst"/>
      </w:pPr>
      <w:r>
        <w:rPr>
          <w:rStyle w:val="Voetnootmarkering"/>
          <w:rFonts w:eastAsiaTheme="majorEastAsia"/>
        </w:rPr>
        <w:footnoteRef/>
      </w:r>
      <w:r>
        <w:t xml:space="preserve"> </w:t>
      </w:r>
      <w:hyperlink r:id="rId57" w:history="1">
        <w:r w:rsidRPr="00952523">
          <w:rPr>
            <w:rStyle w:val="Hyperlink"/>
          </w:rPr>
          <w:t>Comptabiliteitswet, Artikel 3.1.</w:t>
        </w:r>
      </w:hyperlink>
      <w:r>
        <w:t xml:space="preserve"> </w:t>
      </w:r>
    </w:p>
  </w:footnote>
  <w:footnote w:id="64">
    <w:p w14:paraId="4B242F36" w14:textId="77777777" w:rsidR="00040FAF" w:rsidRDefault="00040FAF" w:rsidP="00040FAF">
      <w:pPr>
        <w:pStyle w:val="Voetnoottekst"/>
      </w:pPr>
      <w:r>
        <w:rPr>
          <w:rStyle w:val="Voetnootmarkering"/>
          <w:rFonts w:eastAsiaTheme="majorEastAsia"/>
        </w:rPr>
        <w:footnoteRef/>
      </w:r>
      <w:r>
        <w:t xml:space="preserve"> Raad van State (2025). </w:t>
      </w:r>
      <w:hyperlink r:id="rId58" w:history="1">
        <w:r w:rsidRPr="00B861FA">
          <w:rPr>
            <w:rStyle w:val="Hyperlink"/>
          </w:rPr>
          <w:t>Advies Miljoenennota 2026 en septemberrapportage begrotingstoezicht 2025. No. W06.25.00214/III</w:t>
        </w:r>
      </w:hyperlink>
    </w:p>
  </w:footnote>
  <w:footnote w:id="65">
    <w:p w14:paraId="46340B59" w14:textId="77777777" w:rsidR="00040FAF" w:rsidRDefault="00040FAF" w:rsidP="00040FAF">
      <w:pPr>
        <w:pStyle w:val="Voetnoottekst"/>
      </w:pPr>
      <w:r>
        <w:rPr>
          <w:rStyle w:val="Voetnootmarkering"/>
          <w:rFonts w:eastAsiaTheme="majorEastAsia"/>
        </w:rPr>
        <w:footnoteRef/>
      </w:r>
      <w:r>
        <w:t xml:space="preserve"> Ministerie van Financiën (2024). </w:t>
      </w:r>
      <w:hyperlink r:id="rId59" w:history="1">
        <w:r w:rsidRPr="001B76AA">
          <w:rPr>
            <w:rStyle w:val="Hyperlink"/>
          </w:rPr>
          <w:t>Miljoenennota 2025</w:t>
        </w:r>
      </w:hyperlink>
      <w:r>
        <w:t xml:space="preserve">. </w:t>
      </w:r>
    </w:p>
  </w:footnote>
  <w:footnote w:id="66">
    <w:p w14:paraId="55A44247" w14:textId="77777777" w:rsidR="00040FAF" w:rsidRDefault="00040FAF" w:rsidP="00040FAF">
      <w:pPr>
        <w:pStyle w:val="Voetnoottekst"/>
      </w:pPr>
      <w:r>
        <w:rPr>
          <w:rStyle w:val="Voetnootmarkering"/>
        </w:rPr>
        <w:footnoteRef/>
      </w:r>
      <w:r>
        <w:t xml:space="preserve"> De cijfers uit de figuur zijn gebaseerd op informatie uit P-</w:t>
      </w:r>
      <w:proofErr w:type="spellStart"/>
      <w:r>
        <w:t>direkt</w:t>
      </w:r>
      <w:proofErr w:type="spellEnd"/>
      <w:r>
        <w:t xml:space="preserve">, het administratieve informatiesysteem voor de overheid. Cijfers over de personeelsomvang – en daarmee ook de figuren – zijn gevoelig voor de gekozen definitie en operationalisering. Echter, ook cijfers op basis van andere bronnen – bijvoorbeeld loonuitgaven naar functie van de Nationale rekeningen – wijzen op een substantiële toename van het arbeidsvolume. Bovendien laten veel begrotingen een stijging van de apparaatskosten zien, wat erop wijst dat de toename niet is geconcentreerd in een bepaald onderdeel van de overheid. </w:t>
      </w:r>
    </w:p>
  </w:footnote>
  <w:footnote w:id="67">
    <w:p w14:paraId="198F7BAE" w14:textId="77777777" w:rsidR="00040FAF" w:rsidRDefault="00040FAF" w:rsidP="00040FAF">
      <w:pPr>
        <w:pStyle w:val="Voetnoottekst"/>
      </w:pPr>
      <w:r>
        <w:rPr>
          <w:rStyle w:val="Voetnootmarkering"/>
        </w:rPr>
        <w:footnoteRef/>
      </w:r>
      <w:r>
        <w:t xml:space="preserve"> De kabinetsbijdrage van het arbeidsvoorwaardenbudget voor de overheid wordt bepaald via de referentiesystematiek. Het budget neemt normaal gesproken toe met de contractloonstijging van de marksector, de sociale lasten van bedrijven en het budget voor de incidentele loonontwikkeling (zie Ministerie van Binnenlandse Zaken en Koninkrijksrelaties (2017). </w:t>
      </w:r>
      <w:hyperlink r:id="rId60" w:history="1">
        <w:r w:rsidRPr="00BB7FB0">
          <w:rPr>
            <w:rStyle w:val="Hyperlink"/>
          </w:rPr>
          <w:t>Evaluatie referentiemodel: Ervaringen na 20 jaar gebruik en toepassing van het model</w:t>
        </w:r>
      </w:hyperlink>
      <w:r>
        <w:t>.)</w:t>
      </w:r>
    </w:p>
  </w:footnote>
  <w:footnote w:id="68">
    <w:p w14:paraId="30888C8B" w14:textId="77777777" w:rsidR="00040FAF" w:rsidRDefault="00040FAF" w:rsidP="00040FAF">
      <w:pPr>
        <w:pStyle w:val="Voetnoottekst"/>
      </w:pPr>
      <w:r>
        <w:rPr>
          <w:rStyle w:val="Voetnootmarkering"/>
        </w:rPr>
        <w:footnoteRef/>
      </w:r>
      <w:r>
        <w:t xml:space="preserve"> Als de daling van het arbeidsvolume groter is dan de productiviteitsontwikkeling, dan leidt dat normaal gesproken tot minder dienstverlening van de overheid. Om die reden hanteert het CPB een maximaal mogelijke generieke ombuigingen op de apparaatskosten. Centraal Planbureau (2025). </w:t>
      </w:r>
      <w:hyperlink r:id="rId61" w:history="1">
        <w:r w:rsidRPr="00E31EDD">
          <w:rPr>
            <w:rStyle w:val="Hyperlink"/>
          </w:rPr>
          <w:t>Startnotitie Keuzes in Kaart 2027-2030</w:t>
        </w:r>
      </w:hyperlink>
      <w:r>
        <w:t>.</w:t>
      </w:r>
    </w:p>
  </w:footnote>
  <w:footnote w:id="69">
    <w:p w14:paraId="01846B2B" w14:textId="77777777" w:rsidR="00040FAF" w:rsidRDefault="00040FAF" w:rsidP="00040FAF">
      <w:pPr>
        <w:pStyle w:val="Voetnoottekst"/>
      </w:pPr>
      <w:r>
        <w:rPr>
          <w:rStyle w:val="Voetnootmarkering"/>
          <w:rFonts w:eastAsiaTheme="majorEastAsia"/>
        </w:rPr>
        <w:footnoteRef/>
      </w:r>
      <w:r>
        <w:t xml:space="preserve"> Zie bijvoorbeeld Expertgroep Realistisch Ramen (2025) </w:t>
      </w:r>
      <w:hyperlink r:id="rId62" w:history="1">
        <w:r w:rsidRPr="0000055B">
          <w:rPr>
            <w:rStyle w:val="Hyperlink"/>
          </w:rPr>
          <w:t>Op drift of op koers?</w:t>
        </w:r>
      </w:hyperlink>
    </w:p>
  </w:footnote>
  <w:footnote w:id="70">
    <w:p w14:paraId="50100CB7" w14:textId="77777777" w:rsidR="00040FAF" w:rsidRDefault="00040FAF" w:rsidP="00040FAF">
      <w:pPr>
        <w:pStyle w:val="Voetnoottekst"/>
      </w:pPr>
      <w:r>
        <w:rPr>
          <w:rStyle w:val="Voetnootmarkering"/>
        </w:rPr>
        <w:footnoteRef/>
      </w:r>
      <w:r>
        <w:t xml:space="preserve"> Ministerie van Financiën (2026). </w:t>
      </w:r>
      <w:hyperlink r:id="rId63" w:history="1">
        <w:r w:rsidRPr="008D465E">
          <w:rPr>
            <w:rStyle w:val="Hyperlink"/>
          </w:rPr>
          <w:t>Voorjaarsnota 2026.</w:t>
        </w:r>
      </w:hyperlink>
      <w:r>
        <w:t xml:space="preserve"> </w:t>
      </w:r>
    </w:p>
  </w:footnote>
  <w:footnote w:id="71">
    <w:p w14:paraId="12C495E3" w14:textId="77777777" w:rsidR="00040FAF" w:rsidRDefault="00040FAF" w:rsidP="00040FAF">
      <w:pPr>
        <w:pStyle w:val="Voetnoottekst"/>
      </w:pPr>
      <w:r>
        <w:rPr>
          <w:rStyle w:val="Voetnootmarkering"/>
        </w:rPr>
        <w:footnoteRef/>
      </w:r>
      <w:r>
        <w:t xml:space="preserve"> Raad van State (2025</w:t>
      </w:r>
      <w:r w:rsidRPr="00B6519A">
        <w:t xml:space="preserve">). </w:t>
      </w:r>
      <w:hyperlink r:id="rId64" w:history="1">
        <w:r w:rsidRPr="00B6519A">
          <w:rPr>
            <w:rStyle w:val="Hyperlink"/>
          </w:rPr>
          <w:t>Voorjaarsrapportage 2025. W06.25.00069/III.</w:t>
        </w:r>
      </w:hyperlink>
      <w:r>
        <w:t xml:space="preserve"> </w:t>
      </w:r>
    </w:p>
  </w:footnote>
  <w:footnote w:id="72">
    <w:p w14:paraId="1AB6D665" w14:textId="77777777" w:rsidR="00040FAF" w:rsidRDefault="00040FAF" w:rsidP="00040FAF">
      <w:pPr>
        <w:pStyle w:val="Voetnoottekst"/>
      </w:pPr>
      <w:r>
        <w:rPr>
          <w:rStyle w:val="Voetnootmarkering"/>
          <w:rFonts w:eastAsiaTheme="majorEastAsia"/>
        </w:rPr>
        <w:footnoteRef/>
      </w:r>
      <w:r>
        <w:t xml:space="preserve"> 18</w:t>
      </w:r>
      <w:r w:rsidRPr="003D2633">
        <w:rPr>
          <w:vertAlign w:val="superscript"/>
        </w:rPr>
        <w:t>e</w:t>
      </w:r>
      <w:r>
        <w:t xml:space="preserve"> Studiegroep Begrotingsruimte (2025). </w:t>
      </w:r>
      <w:hyperlink r:id="rId65" w:history="1">
        <w:r w:rsidRPr="0010523C">
          <w:rPr>
            <w:rStyle w:val="Hyperlink"/>
          </w:rPr>
          <w:t>De toekomst begint nu. Rapport 18</w:t>
        </w:r>
        <w:r w:rsidRPr="0010523C">
          <w:rPr>
            <w:rStyle w:val="Hyperlink"/>
            <w:vertAlign w:val="superscript"/>
          </w:rPr>
          <w:t>e</w:t>
        </w:r>
        <w:r w:rsidRPr="0010523C">
          <w:rPr>
            <w:rStyle w:val="Hyperlink"/>
          </w:rPr>
          <w:t xml:space="preserve"> Studiegroep Begrotingsruimte</w:t>
        </w:r>
      </w:hyperlink>
      <w:r>
        <w:t xml:space="preserve">. </w:t>
      </w:r>
    </w:p>
  </w:footnote>
  <w:footnote w:id="73">
    <w:p w14:paraId="734BAB9E" w14:textId="77777777" w:rsidR="00040FAF" w:rsidRDefault="00040FAF" w:rsidP="00040FAF">
      <w:pPr>
        <w:pStyle w:val="Voetnoottekst"/>
      </w:pPr>
      <w:r>
        <w:rPr>
          <w:rStyle w:val="Voetnootmarkering"/>
        </w:rPr>
        <w:footnoteRef/>
      </w:r>
      <w:r>
        <w:t xml:space="preserve"> 18</w:t>
      </w:r>
      <w:r w:rsidRPr="007C1B7F">
        <w:rPr>
          <w:vertAlign w:val="superscript"/>
        </w:rPr>
        <w:t>e</w:t>
      </w:r>
      <w:r>
        <w:t xml:space="preserve"> Studiegroep Begrotingsruimte (2025). </w:t>
      </w:r>
      <w:hyperlink r:id="rId66" w:history="1">
        <w:r w:rsidRPr="00A30F34">
          <w:rPr>
            <w:rStyle w:val="Hyperlink"/>
          </w:rPr>
          <w:t>De toekomst begint nu.</w:t>
        </w:r>
      </w:hyperlink>
      <w:r w:rsidRPr="007C1B7F">
        <w:t xml:space="preserve"> </w:t>
      </w:r>
    </w:p>
  </w:footnote>
  <w:footnote w:id="74">
    <w:p w14:paraId="3903BED1" w14:textId="77777777" w:rsidR="00040FAF" w:rsidRDefault="00040FAF" w:rsidP="00040FAF">
      <w:pPr>
        <w:pStyle w:val="Voetnoottekst"/>
      </w:pPr>
      <w:r>
        <w:rPr>
          <w:rStyle w:val="Voetnootmarkering"/>
          <w:rFonts w:eastAsiaTheme="majorEastAsia"/>
        </w:rPr>
        <w:footnoteRef/>
      </w:r>
      <w:r>
        <w:t xml:space="preserve"> Ministerie van Financiën (2020). </w:t>
      </w:r>
      <w:hyperlink r:id="rId67" w:history="1">
        <w:r w:rsidRPr="00C73EF9">
          <w:rPr>
            <w:rStyle w:val="Hyperlink"/>
          </w:rPr>
          <w:t>Bouwstenen voor een beter belasting</w:t>
        </w:r>
        <w:r>
          <w:rPr>
            <w:rStyle w:val="Hyperlink"/>
          </w:rPr>
          <w:t>stelsel</w:t>
        </w:r>
        <w:r w:rsidRPr="00C73EF9">
          <w:rPr>
            <w:rStyle w:val="Hyperlink"/>
          </w:rPr>
          <w:t xml:space="preserve">. </w:t>
        </w:r>
      </w:hyperlink>
    </w:p>
  </w:footnote>
  <w:footnote w:id="75">
    <w:p w14:paraId="5FBC197D" w14:textId="77777777" w:rsidR="00040FAF" w:rsidRDefault="00040FAF" w:rsidP="00040FAF">
      <w:pPr>
        <w:pStyle w:val="Voetnoottekst"/>
      </w:pPr>
      <w:r>
        <w:rPr>
          <w:rStyle w:val="Voetnootmarkering"/>
        </w:rPr>
        <w:footnoteRef/>
      </w:r>
      <w:r>
        <w:t xml:space="preserve"> Zie ook Europese Commissie (2025). </w:t>
      </w:r>
      <w:hyperlink r:id="rId68" w:history="1">
        <w:r w:rsidRPr="00301CDC">
          <w:rPr>
            <w:rStyle w:val="Hyperlink"/>
          </w:rPr>
          <w:t>Aanbeveling van de Raad inzake het economisch, sociaal, werkgelegenheids-, structuur-, en begrotingsbeleid van Nederland</w:t>
        </w:r>
      </w:hyperlink>
      <w:r>
        <w:t xml:space="preserve"> (</w:t>
      </w:r>
      <w:proofErr w:type="gramStart"/>
      <w:r>
        <w:t>COM(</w:t>
      </w:r>
      <w:proofErr w:type="gramEnd"/>
      <w:r>
        <w:t>2025)219).</w:t>
      </w:r>
    </w:p>
  </w:footnote>
  <w:footnote w:id="76">
    <w:p w14:paraId="4E2AA7C7" w14:textId="77777777" w:rsidR="00040FAF" w:rsidRDefault="00040FAF" w:rsidP="00040FAF">
      <w:pPr>
        <w:pStyle w:val="Voetnoottekst"/>
      </w:pPr>
      <w:r>
        <w:rPr>
          <w:rStyle w:val="Voetnootmarkering"/>
        </w:rPr>
        <w:footnoteRef/>
      </w:r>
      <w:r>
        <w:t xml:space="preserve"> Ministerie van Financiën (2026). </w:t>
      </w:r>
      <w:hyperlink r:id="rId69" w:history="1">
        <w:r w:rsidRPr="008D465E">
          <w:rPr>
            <w:rStyle w:val="Hyperlink"/>
          </w:rPr>
          <w:t>Voorjaarsnota 2026.</w:t>
        </w:r>
      </w:hyperlink>
      <w:r>
        <w:t xml:space="preserve"> Bijlage 1. </w:t>
      </w:r>
    </w:p>
  </w:footnote>
  <w:footnote w:id="77">
    <w:p w14:paraId="55734F30" w14:textId="77777777" w:rsidR="00040FAF" w:rsidRDefault="00040FAF" w:rsidP="00040FAF">
      <w:pPr>
        <w:pStyle w:val="Voetnoottekst"/>
      </w:pPr>
      <w:r>
        <w:rPr>
          <w:rStyle w:val="Voetnootmarkering"/>
        </w:rPr>
        <w:footnoteRef/>
      </w:r>
      <w:r>
        <w:t xml:space="preserve"> Ministerie van Financiën (2026). </w:t>
      </w:r>
      <w:hyperlink r:id="rId70" w:history="1">
        <w:r w:rsidRPr="008D465E">
          <w:rPr>
            <w:rStyle w:val="Hyperlink"/>
          </w:rPr>
          <w:t>Voorjaarsnota 2026.</w:t>
        </w:r>
      </w:hyperlink>
      <w:r>
        <w:t xml:space="preserve"> Bijlage 1.4.</w:t>
      </w:r>
    </w:p>
  </w:footnote>
  <w:footnote w:id="78">
    <w:p w14:paraId="176FF661" w14:textId="77777777" w:rsidR="004A7477" w:rsidRDefault="004A7477" w:rsidP="004A7477">
      <w:pPr>
        <w:pStyle w:val="Voetnoottekst"/>
      </w:pPr>
      <w:r w:rsidRPr="00EF6F39">
        <w:rPr>
          <w:rFonts w:ascii="Verdana" w:eastAsiaTheme="minorEastAsia" w:hAnsi="Verdana" w:cstheme="minorBidi"/>
          <w:sz w:val="13"/>
          <w:szCs w:val="13"/>
          <w:lang w:eastAsia="en-US"/>
        </w:rPr>
        <w:footnoteRef/>
      </w:r>
      <w:r w:rsidRPr="00EF6F39">
        <w:rPr>
          <w:rFonts w:ascii="Verdana" w:eastAsiaTheme="minorEastAsia" w:hAnsi="Verdana" w:cstheme="minorBidi"/>
          <w:sz w:val="13"/>
          <w:szCs w:val="13"/>
          <w:lang w:eastAsia="en-US"/>
        </w:rPr>
        <w:t xml:space="preserve"> Het </w:t>
      </w:r>
      <w:proofErr w:type="spellStart"/>
      <w:r w:rsidRPr="00EF6F39">
        <w:rPr>
          <w:rFonts w:ascii="Verdana" w:eastAsiaTheme="minorEastAsia" w:hAnsi="Verdana" w:cstheme="minorBidi"/>
          <w:sz w:val="13"/>
          <w:szCs w:val="13"/>
          <w:lang w:eastAsia="en-US"/>
        </w:rPr>
        <w:t>uitgavenpad</w:t>
      </w:r>
      <w:proofErr w:type="spellEnd"/>
      <w:r w:rsidRPr="00EF6F39">
        <w:rPr>
          <w:rFonts w:ascii="Verdana" w:eastAsiaTheme="minorEastAsia" w:hAnsi="Verdana" w:cstheme="minorBidi"/>
          <w:sz w:val="13"/>
          <w:szCs w:val="13"/>
          <w:lang w:eastAsia="en-US"/>
        </w:rPr>
        <w:t xml:space="preserve"> is gedefinieerd als de maximale groei van de netto primaire uitgaven. Dit zijn de overheidsuitgaven exclusief rentelasten, cyclische werkloosheidsuitgaven, uitgaven die worden gedekt met middelen uit de EU-begroting, cofinanciering van Europese subsidies en tijdelijke en eenmalige uitgaven (‘</w:t>
      </w:r>
      <w:proofErr w:type="spellStart"/>
      <w:r w:rsidRPr="00EF6F39">
        <w:rPr>
          <w:rFonts w:ascii="Verdana" w:eastAsiaTheme="minorEastAsia" w:hAnsi="Verdana" w:cstheme="minorBidi"/>
          <w:sz w:val="13"/>
          <w:szCs w:val="13"/>
          <w:lang w:eastAsia="en-US"/>
        </w:rPr>
        <w:t>one-offs</w:t>
      </w:r>
      <w:proofErr w:type="spellEnd"/>
      <w:r w:rsidRPr="00EF6F39">
        <w:rPr>
          <w:rFonts w:ascii="Verdana" w:eastAsiaTheme="minorEastAsia" w:hAnsi="Verdana" w:cstheme="minorBidi"/>
          <w:sz w:val="13"/>
          <w:szCs w:val="13"/>
          <w:lang w:eastAsia="en-US"/>
        </w:rPr>
        <w:t>’). Bij het vaststellen van de netto primaire uitgaven wordt daarnaast rekening gehouden met discretionaire inkomstenmaatregelen. Dat wil zeggen dat een verhoging van de belastingen mag leiden tot hogere uitgaven.</w:t>
      </w:r>
    </w:p>
  </w:footnote>
  <w:footnote w:id="79">
    <w:p w14:paraId="3D4B9385" w14:textId="77777777" w:rsidR="004A7477" w:rsidRPr="00203468" w:rsidRDefault="004A7477" w:rsidP="004A7477">
      <w:pPr>
        <w:spacing w:line="276" w:lineRule="auto"/>
        <w:rPr>
          <w:rFonts w:ascii="Verdana" w:hAnsi="Verdana"/>
          <w:sz w:val="13"/>
          <w:szCs w:val="13"/>
          <w:highlight w:val="yellow"/>
        </w:rPr>
      </w:pPr>
      <w:r w:rsidRPr="00A2661B">
        <w:rPr>
          <w:rStyle w:val="Voetnootmarkering"/>
          <w:rFonts w:ascii="Verdana" w:hAnsi="Verdana"/>
          <w:sz w:val="13"/>
          <w:szCs w:val="13"/>
        </w:rPr>
        <w:footnoteRef/>
      </w:r>
      <w:r w:rsidRPr="00A2661B">
        <w:rPr>
          <w:rFonts w:ascii="Verdana" w:hAnsi="Verdana"/>
          <w:sz w:val="13"/>
          <w:szCs w:val="13"/>
        </w:rPr>
        <w:t xml:space="preserve"> </w:t>
      </w:r>
      <w:r w:rsidRPr="00203468">
        <w:rPr>
          <w:rFonts w:ascii="Verdana" w:hAnsi="Verdana"/>
          <w:sz w:val="13"/>
          <w:szCs w:val="13"/>
        </w:rPr>
        <w:t xml:space="preserve">Op basis van Verordening 2024/1263 biedt het raamwerk lidstaten de ruimte om </w:t>
      </w:r>
      <w:r>
        <w:rPr>
          <w:rFonts w:ascii="Verdana" w:hAnsi="Verdana"/>
          <w:sz w:val="13"/>
          <w:szCs w:val="13"/>
        </w:rPr>
        <w:t>van de technische informatie</w:t>
      </w:r>
      <w:r w:rsidRPr="00203468">
        <w:rPr>
          <w:rFonts w:ascii="Verdana" w:hAnsi="Verdana"/>
          <w:sz w:val="13"/>
          <w:szCs w:val="13"/>
        </w:rPr>
        <w:t xml:space="preserve"> af te wijken met eigen, transparant onderbouwde aannames. Eventuele verschillen moeten daarbij op basis van deugdelijke economische argumenten worden gemotiveerd. De formele instemming met deze aanpassingen vindt plaats bij de beoordeling van het </w:t>
      </w:r>
      <w:r>
        <w:rPr>
          <w:rFonts w:ascii="Verdana" w:hAnsi="Verdana"/>
          <w:sz w:val="13"/>
          <w:szCs w:val="13"/>
        </w:rPr>
        <w:t>FSP</w:t>
      </w:r>
      <w:r w:rsidRPr="00203468">
        <w:rPr>
          <w:rFonts w:ascii="Verdana" w:hAnsi="Verdana"/>
          <w:sz w:val="13"/>
          <w:szCs w:val="13"/>
        </w:rPr>
        <w:t>.</w:t>
      </w:r>
      <w:r w:rsidRPr="00203468" w:rsidDel="00466AF8">
        <w:rPr>
          <w:rFonts w:ascii="Verdana" w:hAnsi="Verdana"/>
          <w:sz w:val="13"/>
          <w:szCs w:val="13"/>
        </w:rPr>
        <w:t xml:space="preserve"> </w:t>
      </w:r>
      <w:r w:rsidRPr="00203468">
        <w:rPr>
          <w:rFonts w:ascii="Verdana" w:hAnsi="Verdana"/>
          <w:sz w:val="13"/>
          <w:szCs w:val="13"/>
        </w:rPr>
        <w:t xml:space="preserve">De oorspronkelijke technische informatie is op basis van recentere inzichten aangepast. Zie voor een nadere toelichting Annex 1 van het </w:t>
      </w:r>
      <w:r>
        <w:rPr>
          <w:rFonts w:ascii="Verdana" w:hAnsi="Verdana"/>
          <w:sz w:val="13"/>
          <w:szCs w:val="13"/>
        </w:rPr>
        <w:t>F</w:t>
      </w:r>
      <w:r w:rsidRPr="00203468">
        <w:rPr>
          <w:rFonts w:ascii="Verdana" w:hAnsi="Verdana"/>
          <w:sz w:val="13"/>
          <w:szCs w:val="13"/>
        </w:rPr>
        <w:t>SP.</w:t>
      </w:r>
    </w:p>
    <w:p w14:paraId="17673C92" w14:textId="77777777" w:rsidR="004A7477" w:rsidRDefault="004A7477" w:rsidP="004A74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475B" w14:textId="77777777" w:rsidR="00FA7BCD" w:rsidRDefault="00AC522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4761" w14:textId="77777777" w:rsidR="00DA0CDA" w:rsidRDefault="00AC522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C264762" w14:textId="77777777" w:rsidR="00993C75" w:rsidRDefault="00AC5227">
    <w:pPr>
      <w:pStyle w:val="Koptekst"/>
    </w:pPr>
    <w:r>
      <w:rPr>
        <w:noProof/>
      </w:rPr>
      <w:drawing>
        <wp:anchor distT="0" distB="0" distL="114300" distR="114300" simplePos="0" relativeHeight="251658240" behindDoc="1" locked="0" layoutInCell="1" allowOverlap="1" wp14:anchorId="6C26476D" wp14:editId="6C26476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158"/>
    <w:multiLevelType w:val="hybridMultilevel"/>
    <w:tmpl w:val="63A2C75A"/>
    <w:lvl w:ilvl="0" w:tplc="04130001">
      <w:start w:val="1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D3698"/>
    <w:multiLevelType w:val="hybridMultilevel"/>
    <w:tmpl w:val="CF6E6464"/>
    <w:lvl w:ilvl="0" w:tplc="04130015">
      <w:start w:val="3"/>
      <w:numFmt w:val="upp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967401A"/>
    <w:multiLevelType w:val="hybridMultilevel"/>
    <w:tmpl w:val="E96A2A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7556D1"/>
    <w:multiLevelType w:val="hybridMultilevel"/>
    <w:tmpl w:val="B05689D8"/>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4D52A8"/>
    <w:multiLevelType w:val="hybridMultilevel"/>
    <w:tmpl w:val="3580F8A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2E7BD6"/>
    <w:multiLevelType w:val="multilevel"/>
    <w:tmpl w:val="C1B6F24A"/>
    <w:lvl w:ilvl="0">
      <w:start w:val="1"/>
      <w:numFmt w:val="decimal"/>
      <w:lvlText w:val="%1."/>
      <w:lvlJc w:val="left"/>
      <w:pPr>
        <w:ind w:left="720" w:hanging="360"/>
      </w:pPr>
      <w:rPr>
        <w:rFonts w:hint="default"/>
        <w:u w:val="none"/>
      </w:rPr>
    </w:lvl>
    <w:lvl w:ilvl="1">
      <w:start w:val="1"/>
      <w:numFmt w:val="decimal"/>
      <w:isLgl/>
      <w:lvlText w:val="%1.%2"/>
      <w:lvlJc w:val="left"/>
      <w:pPr>
        <w:ind w:left="1410" w:hanging="1050"/>
      </w:pPr>
      <w:rPr>
        <w:rFonts w:hint="default"/>
        <w:i w:val="0"/>
      </w:rPr>
    </w:lvl>
    <w:lvl w:ilvl="2">
      <w:start w:val="1"/>
      <w:numFmt w:val="decimal"/>
      <w:isLgl/>
      <w:lvlText w:val="%1.%2.%3"/>
      <w:lvlJc w:val="left"/>
      <w:pPr>
        <w:ind w:left="1410" w:hanging="105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6" w15:restartNumberingAfterBreak="0">
    <w:nsid w:val="30EF7C8F"/>
    <w:multiLevelType w:val="hybridMultilevel"/>
    <w:tmpl w:val="CABAD41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554192F"/>
    <w:multiLevelType w:val="hybridMultilevel"/>
    <w:tmpl w:val="35D0F71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C13327"/>
    <w:multiLevelType w:val="multilevel"/>
    <w:tmpl w:val="C1B6F24A"/>
    <w:lvl w:ilvl="0">
      <w:start w:val="1"/>
      <w:numFmt w:val="decimal"/>
      <w:lvlText w:val="%1."/>
      <w:lvlJc w:val="left"/>
      <w:pPr>
        <w:ind w:left="720" w:hanging="360"/>
      </w:pPr>
      <w:rPr>
        <w:rFonts w:hint="default"/>
        <w:u w:val="none"/>
      </w:rPr>
    </w:lvl>
    <w:lvl w:ilvl="1">
      <w:start w:val="1"/>
      <w:numFmt w:val="decimal"/>
      <w:isLgl/>
      <w:lvlText w:val="%1.%2"/>
      <w:lvlJc w:val="left"/>
      <w:pPr>
        <w:ind w:left="1410" w:hanging="1050"/>
      </w:pPr>
      <w:rPr>
        <w:rFonts w:hint="default"/>
        <w:i w:val="0"/>
      </w:rPr>
    </w:lvl>
    <w:lvl w:ilvl="2">
      <w:start w:val="1"/>
      <w:numFmt w:val="decimal"/>
      <w:isLgl/>
      <w:lvlText w:val="%1.%2.%3"/>
      <w:lvlJc w:val="left"/>
      <w:pPr>
        <w:ind w:left="1410" w:hanging="105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9" w15:restartNumberingAfterBreak="0">
    <w:nsid w:val="3B4041F3"/>
    <w:multiLevelType w:val="hybridMultilevel"/>
    <w:tmpl w:val="ED800AAA"/>
    <w:lvl w:ilvl="0" w:tplc="62EC4E1C">
      <w:start w:val="1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F64BC3"/>
    <w:multiLevelType w:val="hybridMultilevel"/>
    <w:tmpl w:val="7BD4E4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4769E5"/>
    <w:multiLevelType w:val="hybridMultilevel"/>
    <w:tmpl w:val="7472971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5D3B73"/>
    <w:multiLevelType w:val="hybridMultilevel"/>
    <w:tmpl w:val="011E2D74"/>
    <w:lvl w:ilvl="0" w:tplc="1F7896AE">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246FB6"/>
    <w:multiLevelType w:val="hybridMultilevel"/>
    <w:tmpl w:val="E778AB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356FC3"/>
    <w:multiLevelType w:val="hybridMultilevel"/>
    <w:tmpl w:val="AEA0A1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6B7841"/>
    <w:multiLevelType w:val="hybridMultilevel"/>
    <w:tmpl w:val="CF8021C2"/>
    <w:lvl w:ilvl="0" w:tplc="9B0A75F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C42568"/>
    <w:multiLevelType w:val="multilevel"/>
    <w:tmpl w:val="C1B6F24A"/>
    <w:lvl w:ilvl="0">
      <w:start w:val="1"/>
      <w:numFmt w:val="decimal"/>
      <w:lvlText w:val="%1."/>
      <w:lvlJc w:val="left"/>
      <w:pPr>
        <w:ind w:left="720" w:hanging="360"/>
      </w:pPr>
      <w:rPr>
        <w:rFonts w:hint="default"/>
        <w:u w:val="none"/>
      </w:rPr>
    </w:lvl>
    <w:lvl w:ilvl="1">
      <w:start w:val="1"/>
      <w:numFmt w:val="decimal"/>
      <w:isLgl/>
      <w:lvlText w:val="%1.%2"/>
      <w:lvlJc w:val="left"/>
      <w:pPr>
        <w:ind w:left="1410" w:hanging="1050"/>
      </w:pPr>
      <w:rPr>
        <w:rFonts w:hint="default"/>
        <w:i w:val="0"/>
      </w:rPr>
    </w:lvl>
    <w:lvl w:ilvl="2">
      <w:start w:val="1"/>
      <w:numFmt w:val="decimal"/>
      <w:isLgl/>
      <w:lvlText w:val="%1.%2.%3"/>
      <w:lvlJc w:val="left"/>
      <w:pPr>
        <w:ind w:left="1410" w:hanging="105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7" w15:restartNumberingAfterBreak="0">
    <w:nsid w:val="494C1C93"/>
    <w:multiLevelType w:val="hybridMultilevel"/>
    <w:tmpl w:val="7A8E2E1C"/>
    <w:lvl w:ilvl="0" w:tplc="DDF49EB2">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A5F5FD9"/>
    <w:multiLevelType w:val="hybridMultilevel"/>
    <w:tmpl w:val="870EA9E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F84318"/>
    <w:multiLevelType w:val="hybridMultilevel"/>
    <w:tmpl w:val="8512A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081D3A"/>
    <w:multiLevelType w:val="hybridMultilevel"/>
    <w:tmpl w:val="7FDED7B8"/>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1B061F"/>
    <w:multiLevelType w:val="hybridMultilevel"/>
    <w:tmpl w:val="C1E8983A"/>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BF41FE"/>
    <w:multiLevelType w:val="multilevel"/>
    <w:tmpl w:val="B05689D8"/>
    <w:styleLink w:val="Huidigelijst1"/>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B33679"/>
    <w:multiLevelType w:val="hybridMultilevel"/>
    <w:tmpl w:val="45A404A6"/>
    <w:lvl w:ilvl="0" w:tplc="5284E38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C05EA9"/>
    <w:multiLevelType w:val="hybridMultilevel"/>
    <w:tmpl w:val="7F9E680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62714D"/>
    <w:multiLevelType w:val="hybridMultilevel"/>
    <w:tmpl w:val="3364E2EE"/>
    <w:lvl w:ilvl="0" w:tplc="22EAF10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8871604">
    <w:abstractNumId w:val="21"/>
  </w:num>
  <w:num w:numId="2" w16cid:durableId="1371421213">
    <w:abstractNumId w:val="5"/>
  </w:num>
  <w:num w:numId="3" w16cid:durableId="450520429">
    <w:abstractNumId w:val="6"/>
  </w:num>
  <w:num w:numId="4" w16cid:durableId="158035129">
    <w:abstractNumId w:val="1"/>
  </w:num>
  <w:num w:numId="5" w16cid:durableId="2129661717">
    <w:abstractNumId w:val="15"/>
  </w:num>
  <w:num w:numId="6" w16cid:durableId="1739092440">
    <w:abstractNumId w:val="23"/>
  </w:num>
  <w:num w:numId="7" w16cid:durableId="1948926813">
    <w:abstractNumId w:val="2"/>
  </w:num>
  <w:num w:numId="8" w16cid:durableId="681055942">
    <w:abstractNumId w:val="14"/>
  </w:num>
  <w:num w:numId="9" w16cid:durableId="991131690">
    <w:abstractNumId w:val="20"/>
  </w:num>
  <w:num w:numId="10" w16cid:durableId="79181873">
    <w:abstractNumId w:val="24"/>
  </w:num>
  <w:num w:numId="11" w16cid:durableId="1362365002">
    <w:abstractNumId w:val="16"/>
  </w:num>
  <w:num w:numId="12" w16cid:durableId="287779614">
    <w:abstractNumId w:val="8"/>
  </w:num>
  <w:num w:numId="13" w16cid:durableId="1817185973">
    <w:abstractNumId w:val="13"/>
  </w:num>
  <w:num w:numId="14" w16cid:durableId="1637953485">
    <w:abstractNumId w:val="7"/>
  </w:num>
  <w:num w:numId="15" w16cid:durableId="1919826999">
    <w:abstractNumId w:val="18"/>
  </w:num>
  <w:num w:numId="16" w16cid:durableId="130753278">
    <w:abstractNumId w:val="9"/>
  </w:num>
  <w:num w:numId="17" w16cid:durableId="25103752">
    <w:abstractNumId w:val="11"/>
  </w:num>
  <w:num w:numId="18" w16cid:durableId="1081950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2757639">
    <w:abstractNumId w:val="3"/>
  </w:num>
  <w:num w:numId="20" w16cid:durableId="1310936919">
    <w:abstractNumId w:val="25"/>
  </w:num>
  <w:num w:numId="21" w16cid:durableId="1965042809">
    <w:abstractNumId w:val="22"/>
  </w:num>
  <w:num w:numId="22" w16cid:durableId="86200379">
    <w:abstractNumId w:val="0"/>
  </w:num>
  <w:num w:numId="23" w16cid:durableId="1059405052">
    <w:abstractNumId w:val="17"/>
  </w:num>
  <w:num w:numId="24" w16cid:durableId="843937953">
    <w:abstractNumId w:val="4"/>
  </w:num>
  <w:num w:numId="25" w16cid:durableId="1721585597">
    <w:abstractNumId w:val="19"/>
  </w:num>
  <w:num w:numId="26" w16cid:durableId="2002925299">
    <w:abstractNumId w:val="10"/>
  </w:num>
  <w:num w:numId="27" w16cid:durableId="564336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83"/>
    <w:rsid w:val="00000D74"/>
    <w:rsid w:val="00001334"/>
    <w:rsid w:val="00001362"/>
    <w:rsid w:val="000015A6"/>
    <w:rsid w:val="0000165F"/>
    <w:rsid w:val="00001886"/>
    <w:rsid w:val="0000196F"/>
    <w:rsid w:val="00001B03"/>
    <w:rsid w:val="000022FA"/>
    <w:rsid w:val="0000265A"/>
    <w:rsid w:val="0000272D"/>
    <w:rsid w:val="00002870"/>
    <w:rsid w:val="00002A48"/>
    <w:rsid w:val="000034AA"/>
    <w:rsid w:val="000039FF"/>
    <w:rsid w:val="00003FE9"/>
    <w:rsid w:val="0000401D"/>
    <w:rsid w:val="0000425D"/>
    <w:rsid w:val="000042C2"/>
    <w:rsid w:val="00004A69"/>
    <w:rsid w:val="00004E2D"/>
    <w:rsid w:val="00004E3F"/>
    <w:rsid w:val="00004EAC"/>
    <w:rsid w:val="00005161"/>
    <w:rsid w:val="000053EE"/>
    <w:rsid w:val="0000569A"/>
    <w:rsid w:val="00005AF5"/>
    <w:rsid w:val="00005E54"/>
    <w:rsid w:val="0000600F"/>
    <w:rsid w:val="000060E6"/>
    <w:rsid w:val="00006245"/>
    <w:rsid w:val="00006E00"/>
    <w:rsid w:val="00007031"/>
    <w:rsid w:val="000070F4"/>
    <w:rsid w:val="000077E7"/>
    <w:rsid w:val="00007939"/>
    <w:rsid w:val="00007CCB"/>
    <w:rsid w:val="00007E81"/>
    <w:rsid w:val="00010517"/>
    <w:rsid w:val="00010AC4"/>
    <w:rsid w:val="0001170E"/>
    <w:rsid w:val="00011AFD"/>
    <w:rsid w:val="00011B3E"/>
    <w:rsid w:val="00011DD5"/>
    <w:rsid w:val="00012205"/>
    <w:rsid w:val="000123C6"/>
    <w:rsid w:val="00012471"/>
    <w:rsid w:val="000126E9"/>
    <w:rsid w:val="00012B80"/>
    <w:rsid w:val="00012CA8"/>
    <w:rsid w:val="00012D4F"/>
    <w:rsid w:val="0001331A"/>
    <w:rsid w:val="00013424"/>
    <w:rsid w:val="0001352A"/>
    <w:rsid w:val="00013557"/>
    <w:rsid w:val="00013E43"/>
    <w:rsid w:val="00013FF7"/>
    <w:rsid w:val="00014154"/>
    <w:rsid w:val="00014380"/>
    <w:rsid w:val="000145B5"/>
    <w:rsid w:val="00014620"/>
    <w:rsid w:val="00014673"/>
    <w:rsid w:val="00014DBA"/>
    <w:rsid w:val="000150BF"/>
    <w:rsid w:val="000152F0"/>
    <w:rsid w:val="000153AD"/>
    <w:rsid w:val="00015920"/>
    <w:rsid w:val="000159C4"/>
    <w:rsid w:val="00015C02"/>
    <w:rsid w:val="00015E85"/>
    <w:rsid w:val="0001619D"/>
    <w:rsid w:val="000168A4"/>
    <w:rsid w:val="00016A97"/>
    <w:rsid w:val="00016F76"/>
    <w:rsid w:val="00017537"/>
    <w:rsid w:val="00017584"/>
    <w:rsid w:val="00017805"/>
    <w:rsid w:val="00017A1D"/>
    <w:rsid w:val="00017ABD"/>
    <w:rsid w:val="00017B9C"/>
    <w:rsid w:val="00017C54"/>
    <w:rsid w:val="00017C67"/>
    <w:rsid w:val="00017D9D"/>
    <w:rsid w:val="00017EDD"/>
    <w:rsid w:val="000206FD"/>
    <w:rsid w:val="00021232"/>
    <w:rsid w:val="00021371"/>
    <w:rsid w:val="000213C0"/>
    <w:rsid w:val="000218C4"/>
    <w:rsid w:val="00021C4F"/>
    <w:rsid w:val="00021C65"/>
    <w:rsid w:val="00021D90"/>
    <w:rsid w:val="00021DBD"/>
    <w:rsid w:val="0002214B"/>
    <w:rsid w:val="00022413"/>
    <w:rsid w:val="000227AB"/>
    <w:rsid w:val="00022CB9"/>
    <w:rsid w:val="00022DD1"/>
    <w:rsid w:val="00022FFC"/>
    <w:rsid w:val="00023032"/>
    <w:rsid w:val="0002339D"/>
    <w:rsid w:val="0002362E"/>
    <w:rsid w:val="0002365A"/>
    <w:rsid w:val="00023714"/>
    <w:rsid w:val="00023806"/>
    <w:rsid w:val="00023855"/>
    <w:rsid w:val="000239E0"/>
    <w:rsid w:val="00023B1D"/>
    <w:rsid w:val="00023E37"/>
    <w:rsid w:val="00023F3C"/>
    <w:rsid w:val="000240C7"/>
    <w:rsid w:val="000243B4"/>
    <w:rsid w:val="00024C48"/>
    <w:rsid w:val="00024E83"/>
    <w:rsid w:val="00025061"/>
    <w:rsid w:val="000253D9"/>
    <w:rsid w:val="00025BA2"/>
    <w:rsid w:val="00025C18"/>
    <w:rsid w:val="00025ED2"/>
    <w:rsid w:val="000261FA"/>
    <w:rsid w:val="00026288"/>
    <w:rsid w:val="0002668C"/>
    <w:rsid w:val="000266A7"/>
    <w:rsid w:val="000266F7"/>
    <w:rsid w:val="000266FD"/>
    <w:rsid w:val="0002679B"/>
    <w:rsid w:val="00026E86"/>
    <w:rsid w:val="0002702F"/>
    <w:rsid w:val="00027207"/>
    <w:rsid w:val="00027E7E"/>
    <w:rsid w:val="000301EC"/>
    <w:rsid w:val="00030B1D"/>
    <w:rsid w:val="00030C5D"/>
    <w:rsid w:val="00030D24"/>
    <w:rsid w:val="00030E26"/>
    <w:rsid w:val="0003106E"/>
    <w:rsid w:val="00031209"/>
    <w:rsid w:val="00031232"/>
    <w:rsid w:val="00031371"/>
    <w:rsid w:val="00031755"/>
    <w:rsid w:val="00031900"/>
    <w:rsid w:val="000319FA"/>
    <w:rsid w:val="00031A49"/>
    <w:rsid w:val="00031EA7"/>
    <w:rsid w:val="00032056"/>
    <w:rsid w:val="000321AA"/>
    <w:rsid w:val="000324DC"/>
    <w:rsid w:val="00032912"/>
    <w:rsid w:val="00032A33"/>
    <w:rsid w:val="00033368"/>
    <w:rsid w:val="00033842"/>
    <w:rsid w:val="00033C1A"/>
    <w:rsid w:val="000340E6"/>
    <w:rsid w:val="0003417B"/>
    <w:rsid w:val="0003439D"/>
    <w:rsid w:val="0003444F"/>
    <w:rsid w:val="00034892"/>
    <w:rsid w:val="000349D5"/>
    <w:rsid w:val="00035244"/>
    <w:rsid w:val="00035BBD"/>
    <w:rsid w:val="00035D26"/>
    <w:rsid w:val="00035D5E"/>
    <w:rsid w:val="00036383"/>
    <w:rsid w:val="000363A0"/>
    <w:rsid w:val="000364DD"/>
    <w:rsid w:val="00036831"/>
    <w:rsid w:val="00036BF7"/>
    <w:rsid w:val="00037421"/>
    <w:rsid w:val="000375BD"/>
    <w:rsid w:val="0003770B"/>
    <w:rsid w:val="00037ADC"/>
    <w:rsid w:val="000402C0"/>
    <w:rsid w:val="000402EF"/>
    <w:rsid w:val="000403DD"/>
    <w:rsid w:val="00040C0D"/>
    <w:rsid w:val="00040C8C"/>
    <w:rsid w:val="00040DD2"/>
    <w:rsid w:val="00040DD5"/>
    <w:rsid w:val="00040FAF"/>
    <w:rsid w:val="00041408"/>
    <w:rsid w:val="0004148E"/>
    <w:rsid w:val="000416B4"/>
    <w:rsid w:val="000418B3"/>
    <w:rsid w:val="00041997"/>
    <w:rsid w:val="00041B8B"/>
    <w:rsid w:val="00041BF5"/>
    <w:rsid w:val="000420C8"/>
    <w:rsid w:val="000426CC"/>
    <w:rsid w:val="00042CEB"/>
    <w:rsid w:val="00042E1A"/>
    <w:rsid w:val="000434D3"/>
    <w:rsid w:val="0004361B"/>
    <w:rsid w:val="00043928"/>
    <w:rsid w:val="0004394B"/>
    <w:rsid w:val="00043A69"/>
    <w:rsid w:val="00043BA3"/>
    <w:rsid w:val="00043BB3"/>
    <w:rsid w:val="00043C20"/>
    <w:rsid w:val="00043C99"/>
    <w:rsid w:val="00043EF2"/>
    <w:rsid w:val="000440B2"/>
    <w:rsid w:val="00044394"/>
    <w:rsid w:val="00044436"/>
    <w:rsid w:val="00044CED"/>
    <w:rsid w:val="0004529B"/>
    <w:rsid w:val="00045350"/>
    <w:rsid w:val="0004559D"/>
    <w:rsid w:val="000458D1"/>
    <w:rsid w:val="00046158"/>
    <w:rsid w:val="00046290"/>
    <w:rsid w:val="000464BE"/>
    <w:rsid w:val="00046608"/>
    <w:rsid w:val="00046685"/>
    <w:rsid w:val="000466A0"/>
    <w:rsid w:val="0004673E"/>
    <w:rsid w:val="00046980"/>
    <w:rsid w:val="00046BE1"/>
    <w:rsid w:val="00046C4F"/>
    <w:rsid w:val="00047160"/>
    <w:rsid w:val="00047241"/>
    <w:rsid w:val="00047625"/>
    <w:rsid w:val="0004774E"/>
    <w:rsid w:val="00047857"/>
    <w:rsid w:val="00047904"/>
    <w:rsid w:val="00047AD7"/>
    <w:rsid w:val="000500FE"/>
    <w:rsid w:val="0005020D"/>
    <w:rsid w:val="000505E2"/>
    <w:rsid w:val="000509E4"/>
    <w:rsid w:val="00050A72"/>
    <w:rsid w:val="00050E42"/>
    <w:rsid w:val="00050E56"/>
    <w:rsid w:val="00050FB6"/>
    <w:rsid w:val="00051554"/>
    <w:rsid w:val="000516AB"/>
    <w:rsid w:val="00051787"/>
    <w:rsid w:val="00051926"/>
    <w:rsid w:val="00051FA4"/>
    <w:rsid w:val="000525CE"/>
    <w:rsid w:val="000525D0"/>
    <w:rsid w:val="00052F58"/>
    <w:rsid w:val="00053280"/>
    <w:rsid w:val="00053428"/>
    <w:rsid w:val="00053459"/>
    <w:rsid w:val="00053627"/>
    <w:rsid w:val="000539AB"/>
    <w:rsid w:val="00053AEF"/>
    <w:rsid w:val="00053CC6"/>
    <w:rsid w:val="00053F5A"/>
    <w:rsid w:val="0005423E"/>
    <w:rsid w:val="00054410"/>
    <w:rsid w:val="00054429"/>
    <w:rsid w:val="000545B7"/>
    <w:rsid w:val="000547F6"/>
    <w:rsid w:val="0005490B"/>
    <w:rsid w:val="00054B5C"/>
    <w:rsid w:val="00054C43"/>
    <w:rsid w:val="00054E89"/>
    <w:rsid w:val="0005533B"/>
    <w:rsid w:val="0005579E"/>
    <w:rsid w:val="00055948"/>
    <w:rsid w:val="000559C1"/>
    <w:rsid w:val="00055A10"/>
    <w:rsid w:val="00055BAC"/>
    <w:rsid w:val="000560D9"/>
    <w:rsid w:val="00056D70"/>
    <w:rsid w:val="00056E19"/>
    <w:rsid w:val="00056FD4"/>
    <w:rsid w:val="00057054"/>
    <w:rsid w:val="000571A1"/>
    <w:rsid w:val="0005736B"/>
    <w:rsid w:val="000578FB"/>
    <w:rsid w:val="00057FF1"/>
    <w:rsid w:val="00060036"/>
    <w:rsid w:val="0006033D"/>
    <w:rsid w:val="0006036B"/>
    <w:rsid w:val="00060E07"/>
    <w:rsid w:val="00060EC7"/>
    <w:rsid w:val="00060F06"/>
    <w:rsid w:val="00061877"/>
    <w:rsid w:val="00062061"/>
    <w:rsid w:val="00062195"/>
    <w:rsid w:val="000626D4"/>
    <w:rsid w:val="0006292E"/>
    <w:rsid w:val="00062A21"/>
    <w:rsid w:val="00062B6A"/>
    <w:rsid w:val="00062B9B"/>
    <w:rsid w:val="00062CA9"/>
    <w:rsid w:val="0006338D"/>
    <w:rsid w:val="00064A0C"/>
    <w:rsid w:val="00064D71"/>
    <w:rsid w:val="00064E22"/>
    <w:rsid w:val="00064FE9"/>
    <w:rsid w:val="00065301"/>
    <w:rsid w:val="000653E9"/>
    <w:rsid w:val="00065424"/>
    <w:rsid w:val="000654E3"/>
    <w:rsid w:val="00065BAC"/>
    <w:rsid w:val="00065CCA"/>
    <w:rsid w:val="00065E73"/>
    <w:rsid w:val="00065E92"/>
    <w:rsid w:val="000662E5"/>
    <w:rsid w:val="0006664F"/>
    <w:rsid w:val="0006693C"/>
    <w:rsid w:val="00066A1F"/>
    <w:rsid w:val="00066DE7"/>
    <w:rsid w:val="00066EAC"/>
    <w:rsid w:val="0006708D"/>
    <w:rsid w:val="00067611"/>
    <w:rsid w:val="00067FB9"/>
    <w:rsid w:val="000702C3"/>
    <w:rsid w:val="000703A2"/>
    <w:rsid w:val="000704B2"/>
    <w:rsid w:val="00070617"/>
    <w:rsid w:val="00070A57"/>
    <w:rsid w:val="00070BB3"/>
    <w:rsid w:val="00070E61"/>
    <w:rsid w:val="00071702"/>
    <w:rsid w:val="00071812"/>
    <w:rsid w:val="00071B8C"/>
    <w:rsid w:val="00071BF1"/>
    <w:rsid w:val="00072524"/>
    <w:rsid w:val="0007287E"/>
    <w:rsid w:val="000728C3"/>
    <w:rsid w:val="00072D90"/>
    <w:rsid w:val="00073111"/>
    <w:rsid w:val="000734C4"/>
    <w:rsid w:val="000734CC"/>
    <w:rsid w:val="0007358B"/>
    <w:rsid w:val="00073AE8"/>
    <w:rsid w:val="00073AFE"/>
    <w:rsid w:val="00073DC4"/>
    <w:rsid w:val="00073F07"/>
    <w:rsid w:val="00074008"/>
    <w:rsid w:val="00074071"/>
    <w:rsid w:val="00074097"/>
    <w:rsid w:val="0007421F"/>
    <w:rsid w:val="00074306"/>
    <w:rsid w:val="000746E6"/>
    <w:rsid w:val="0007477B"/>
    <w:rsid w:val="00074954"/>
    <w:rsid w:val="00074999"/>
    <w:rsid w:val="00074C52"/>
    <w:rsid w:val="00074D21"/>
    <w:rsid w:val="000752B0"/>
    <w:rsid w:val="000752BC"/>
    <w:rsid w:val="00075308"/>
    <w:rsid w:val="000754F4"/>
    <w:rsid w:val="00075566"/>
    <w:rsid w:val="000756DC"/>
    <w:rsid w:val="00075738"/>
    <w:rsid w:val="00075AD8"/>
    <w:rsid w:val="000766F2"/>
    <w:rsid w:val="0007677D"/>
    <w:rsid w:val="00077108"/>
    <w:rsid w:val="0007767D"/>
    <w:rsid w:val="000778B7"/>
    <w:rsid w:val="00080828"/>
    <w:rsid w:val="000808D8"/>
    <w:rsid w:val="00080C80"/>
    <w:rsid w:val="000812C2"/>
    <w:rsid w:val="000812F7"/>
    <w:rsid w:val="00081511"/>
    <w:rsid w:val="00081656"/>
    <w:rsid w:val="00081751"/>
    <w:rsid w:val="000818FC"/>
    <w:rsid w:val="00081A0F"/>
    <w:rsid w:val="00082192"/>
    <w:rsid w:val="000828F7"/>
    <w:rsid w:val="0008297D"/>
    <w:rsid w:val="00082AF8"/>
    <w:rsid w:val="00082B7A"/>
    <w:rsid w:val="00082BE5"/>
    <w:rsid w:val="0008323F"/>
    <w:rsid w:val="000832C6"/>
    <w:rsid w:val="00083369"/>
    <w:rsid w:val="00083559"/>
    <w:rsid w:val="0008380D"/>
    <w:rsid w:val="00084191"/>
    <w:rsid w:val="0008425E"/>
    <w:rsid w:val="0008436A"/>
    <w:rsid w:val="000846F6"/>
    <w:rsid w:val="00084759"/>
    <w:rsid w:val="00084985"/>
    <w:rsid w:val="00084B81"/>
    <w:rsid w:val="00084C1A"/>
    <w:rsid w:val="00084D4F"/>
    <w:rsid w:val="00084F41"/>
    <w:rsid w:val="00085173"/>
    <w:rsid w:val="00085477"/>
    <w:rsid w:val="000855A5"/>
    <w:rsid w:val="00085735"/>
    <w:rsid w:val="00085BE4"/>
    <w:rsid w:val="00086172"/>
    <w:rsid w:val="00086382"/>
    <w:rsid w:val="000864A9"/>
    <w:rsid w:val="00086591"/>
    <w:rsid w:val="0008675B"/>
    <w:rsid w:val="00086A1C"/>
    <w:rsid w:val="00087708"/>
    <w:rsid w:val="0008784C"/>
    <w:rsid w:val="00087B77"/>
    <w:rsid w:val="00087CDF"/>
    <w:rsid w:val="00087E32"/>
    <w:rsid w:val="00087E7D"/>
    <w:rsid w:val="0009002A"/>
    <w:rsid w:val="000907AA"/>
    <w:rsid w:val="000909E6"/>
    <w:rsid w:val="00090B59"/>
    <w:rsid w:val="00090D01"/>
    <w:rsid w:val="000914CB"/>
    <w:rsid w:val="00091835"/>
    <w:rsid w:val="00091AB6"/>
    <w:rsid w:val="00091D4F"/>
    <w:rsid w:val="000922BB"/>
    <w:rsid w:val="00092D61"/>
    <w:rsid w:val="00092F0C"/>
    <w:rsid w:val="00092F51"/>
    <w:rsid w:val="00092FDA"/>
    <w:rsid w:val="000930C8"/>
    <w:rsid w:val="000933C0"/>
    <w:rsid w:val="0009348E"/>
    <w:rsid w:val="00093535"/>
    <w:rsid w:val="00093548"/>
    <w:rsid w:val="00093702"/>
    <w:rsid w:val="00093725"/>
    <w:rsid w:val="00093A23"/>
    <w:rsid w:val="0009421A"/>
    <w:rsid w:val="0009467F"/>
    <w:rsid w:val="000947B6"/>
    <w:rsid w:val="00094BD9"/>
    <w:rsid w:val="00094D18"/>
    <w:rsid w:val="000952CD"/>
    <w:rsid w:val="0009548A"/>
    <w:rsid w:val="00095997"/>
    <w:rsid w:val="00096160"/>
    <w:rsid w:val="000965B8"/>
    <w:rsid w:val="00096673"/>
    <w:rsid w:val="00096C20"/>
    <w:rsid w:val="00096C67"/>
    <w:rsid w:val="00096D64"/>
    <w:rsid w:val="00097135"/>
    <w:rsid w:val="00097478"/>
    <w:rsid w:val="000975C1"/>
    <w:rsid w:val="000977E9"/>
    <w:rsid w:val="00097949"/>
    <w:rsid w:val="000979C0"/>
    <w:rsid w:val="00097A9C"/>
    <w:rsid w:val="00097CFF"/>
    <w:rsid w:val="000A04AD"/>
    <w:rsid w:val="000A04FC"/>
    <w:rsid w:val="000A0955"/>
    <w:rsid w:val="000A0FED"/>
    <w:rsid w:val="000A10B2"/>
    <w:rsid w:val="000A1A1F"/>
    <w:rsid w:val="000A1CFA"/>
    <w:rsid w:val="000A2111"/>
    <w:rsid w:val="000A2366"/>
    <w:rsid w:val="000A2760"/>
    <w:rsid w:val="000A27B3"/>
    <w:rsid w:val="000A27B7"/>
    <w:rsid w:val="000A2B18"/>
    <w:rsid w:val="000A32BD"/>
    <w:rsid w:val="000A343E"/>
    <w:rsid w:val="000A34A1"/>
    <w:rsid w:val="000A36BA"/>
    <w:rsid w:val="000A3756"/>
    <w:rsid w:val="000A3A1D"/>
    <w:rsid w:val="000A3C8D"/>
    <w:rsid w:val="000A3DD3"/>
    <w:rsid w:val="000A3F49"/>
    <w:rsid w:val="000A40EF"/>
    <w:rsid w:val="000A4EE9"/>
    <w:rsid w:val="000A50B7"/>
    <w:rsid w:val="000A5210"/>
    <w:rsid w:val="000A52A0"/>
    <w:rsid w:val="000A54A3"/>
    <w:rsid w:val="000A5A4A"/>
    <w:rsid w:val="000A6414"/>
    <w:rsid w:val="000A6560"/>
    <w:rsid w:val="000A660E"/>
    <w:rsid w:val="000A6D8E"/>
    <w:rsid w:val="000A6FC1"/>
    <w:rsid w:val="000A7171"/>
    <w:rsid w:val="000A7EC0"/>
    <w:rsid w:val="000A7F71"/>
    <w:rsid w:val="000A7FFA"/>
    <w:rsid w:val="000B020C"/>
    <w:rsid w:val="000B0505"/>
    <w:rsid w:val="000B0F08"/>
    <w:rsid w:val="000B1202"/>
    <w:rsid w:val="000B14B9"/>
    <w:rsid w:val="000B19B2"/>
    <w:rsid w:val="000B1C2E"/>
    <w:rsid w:val="000B1C62"/>
    <w:rsid w:val="000B1ECD"/>
    <w:rsid w:val="000B21EF"/>
    <w:rsid w:val="000B237E"/>
    <w:rsid w:val="000B23AC"/>
    <w:rsid w:val="000B24FF"/>
    <w:rsid w:val="000B25B8"/>
    <w:rsid w:val="000B28A4"/>
    <w:rsid w:val="000B29D9"/>
    <w:rsid w:val="000B2B04"/>
    <w:rsid w:val="000B35B4"/>
    <w:rsid w:val="000B3A43"/>
    <w:rsid w:val="000B3A4B"/>
    <w:rsid w:val="000B3ABC"/>
    <w:rsid w:val="000B40DB"/>
    <w:rsid w:val="000B4101"/>
    <w:rsid w:val="000B4563"/>
    <w:rsid w:val="000B46B0"/>
    <w:rsid w:val="000B4AD7"/>
    <w:rsid w:val="000B4CD3"/>
    <w:rsid w:val="000B4DA0"/>
    <w:rsid w:val="000B4E55"/>
    <w:rsid w:val="000B4FC3"/>
    <w:rsid w:val="000B5825"/>
    <w:rsid w:val="000B5A83"/>
    <w:rsid w:val="000B5A84"/>
    <w:rsid w:val="000B5AA1"/>
    <w:rsid w:val="000B5EC7"/>
    <w:rsid w:val="000B5ED1"/>
    <w:rsid w:val="000B5EF7"/>
    <w:rsid w:val="000B6020"/>
    <w:rsid w:val="000B6066"/>
    <w:rsid w:val="000B60EB"/>
    <w:rsid w:val="000B60ED"/>
    <w:rsid w:val="000B625C"/>
    <w:rsid w:val="000B6868"/>
    <w:rsid w:val="000B6A6E"/>
    <w:rsid w:val="000B73AD"/>
    <w:rsid w:val="000B74E7"/>
    <w:rsid w:val="000B74F1"/>
    <w:rsid w:val="000B75A4"/>
    <w:rsid w:val="000B7675"/>
    <w:rsid w:val="000B7693"/>
    <w:rsid w:val="000B76A4"/>
    <w:rsid w:val="000B7C2F"/>
    <w:rsid w:val="000B7C7C"/>
    <w:rsid w:val="000B7C86"/>
    <w:rsid w:val="000B7C97"/>
    <w:rsid w:val="000B7E3B"/>
    <w:rsid w:val="000C026F"/>
    <w:rsid w:val="000C0641"/>
    <w:rsid w:val="000C068C"/>
    <w:rsid w:val="000C0760"/>
    <w:rsid w:val="000C08E5"/>
    <w:rsid w:val="000C0A58"/>
    <w:rsid w:val="000C0C5A"/>
    <w:rsid w:val="000C0F04"/>
    <w:rsid w:val="000C120D"/>
    <w:rsid w:val="000C1BE5"/>
    <w:rsid w:val="000C1C09"/>
    <w:rsid w:val="000C1DCB"/>
    <w:rsid w:val="000C22BC"/>
    <w:rsid w:val="000C2A09"/>
    <w:rsid w:val="000C2B50"/>
    <w:rsid w:val="000C307B"/>
    <w:rsid w:val="000C338E"/>
    <w:rsid w:val="000C33EB"/>
    <w:rsid w:val="000C3725"/>
    <w:rsid w:val="000C3DF6"/>
    <w:rsid w:val="000C3FE3"/>
    <w:rsid w:val="000C42A0"/>
    <w:rsid w:val="000C4BA8"/>
    <w:rsid w:val="000C4DF7"/>
    <w:rsid w:val="000C4F6C"/>
    <w:rsid w:val="000C5196"/>
    <w:rsid w:val="000C5561"/>
    <w:rsid w:val="000C6063"/>
    <w:rsid w:val="000C62CA"/>
    <w:rsid w:val="000C6303"/>
    <w:rsid w:val="000C646D"/>
    <w:rsid w:val="000C653D"/>
    <w:rsid w:val="000C6685"/>
    <w:rsid w:val="000C6BDA"/>
    <w:rsid w:val="000C70E6"/>
    <w:rsid w:val="000C7242"/>
    <w:rsid w:val="000C79E3"/>
    <w:rsid w:val="000C7ABB"/>
    <w:rsid w:val="000D0091"/>
    <w:rsid w:val="000D0146"/>
    <w:rsid w:val="000D0211"/>
    <w:rsid w:val="000D057C"/>
    <w:rsid w:val="000D05F5"/>
    <w:rsid w:val="000D07BF"/>
    <w:rsid w:val="000D0A62"/>
    <w:rsid w:val="000D0D1B"/>
    <w:rsid w:val="000D0DF7"/>
    <w:rsid w:val="000D1085"/>
    <w:rsid w:val="000D13CD"/>
    <w:rsid w:val="000D15C3"/>
    <w:rsid w:val="000D185E"/>
    <w:rsid w:val="000D187D"/>
    <w:rsid w:val="000D25E4"/>
    <w:rsid w:val="000D282B"/>
    <w:rsid w:val="000D2D57"/>
    <w:rsid w:val="000D2F95"/>
    <w:rsid w:val="000D3048"/>
    <w:rsid w:val="000D3482"/>
    <w:rsid w:val="000D35A4"/>
    <w:rsid w:val="000D39A2"/>
    <w:rsid w:val="000D3BDC"/>
    <w:rsid w:val="000D3D08"/>
    <w:rsid w:val="000D3FF8"/>
    <w:rsid w:val="000D4263"/>
    <w:rsid w:val="000D443B"/>
    <w:rsid w:val="000D46E8"/>
    <w:rsid w:val="000D4A7D"/>
    <w:rsid w:val="000D4D24"/>
    <w:rsid w:val="000D4E6A"/>
    <w:rsid w:val="000D4F5C"/>
    <w:rsid w:val="000D4FC8"/>
    <w:rsid w:val="000D509E"/>
    <w:rsid w:val="000D5A88"/>
    <w:rsid w:val="000D5AA0"/>
    <w:rsid w:val="000D5FFF"/>
    <w:rsid w:val="000D6095"/>
    <w:rsid w:val="000D61EE"/>
    <w:rsid w:val="000D62D9"/>
    <w:rsid w:val="000D68F7"/>
    <w:rsid w:val="000D7282"/>
    <w:rsid w:val="000D737B"/>
    <w:rsid w:val="000D7811"/>
    <w:rsid w:val="000D7B64"/>
    <w:rsid w:val="000D7C49"/>
    <w:rsid w:val="000E01F5"/>
    <w:rsid w:val="000E0208"/>
    <w:rsid w:val="000E02F5"/>
    <w:rsid w:val="000E03AA"/>
    <w:rsid w:val="000E070C"/>
    <w:rsid w:val="000E074B"/>
    <w:rsid w:val="000E0AD5"/>
    <w:rsid w:val="000E0C43"/>
    <w:rsid w:val="000E0DF3"/>
    <w:rsid w:val="000E0E0B"/>
    <w:rsid w:val="000E10C3"/>
    <w:rsid w:val="000E128B"/>
    <w:rsid w:val="000E143F"/>
    <w:rsid w:val="000E1754"/>
    <w:rsid w:val="000E1C29"/>
    <w:rsid w:val="000E1DB1"/>
    <w:rsid w:val="000E214D"/>
    <w:rsid w:val="000E2713"/>
    <w:rsid w:val="000E279E"/>
    <w:rsid w:val="000E27C7"/>
    <w:rsid w:val="000E2C3B"/>
    <w:rsid w:val="000E2C53"/>
    <w:rsid w:val="000E2D84"/>
    <w:rsid w:val="000E2F06"/>
    <w:rsid w:val="000E30E7"/>
    <w:rsid w:val="000E3439"/>
    <w:rsid w:val="000E377C"/>
    <w:rsid w:val="000E3915"/>
    <w:rsid w:val="000E39B3"/>
    <w:rsid w:val="000E3A60"/>
    <w:rsid w:val="000E3CE6"/>
    <w:rsid w:val="000E3D32"/>
    <w:rsid w:val="000E3E7B"/>
    <w:rsid w:val="000E46F7"/>
    <w:rsid w:val="000E4845"/>
    <w:rsid w:val="000E4947"/>
    <w:rsid w:val="000E4C06"/>
    <w:rsid w:val="000E4E77"/>
    <w:rsid w:val="000E512C"/>
    <w:rsid w:val="000E5139"/>
    <w:rsid w:val="000E51C9"/>
    <w:rsid w:val="000E561F"/>
    <w:rsid w:val="000E5AE1"/>
    <w:rsid w:val="000E5B4D"/>
    <w:rsid w:val="000E5FBA"/>
    <w:rsid w:val="000E6060"/>
    <w:rsid w:val="000E61A5"/>
    <w:rsid w:val="000E6911"/>
    <w:rsid w:val="000E6D05"/>
    <w:rsid w:val="000E70A0"/>
    <w:rsid w:val="000E71A6"/>
    <w:rsid w:val="000E7338"/>
    <w:rsid w:val="000E73E5"/>
    <w:rsid w:val="000E7542"/>
    <w:rsid w:val="000E777E"/>
    <w:rsid w:val="000E7896"/>
    <w:rsid w:val="000E78C6"/>
    <w:rsid w:val="000E78CF"/>
    <w:rsid w:val="000E7C1A"/>
    <w:rsid w:val="000E7FBB"/>
    <w:rsid w:val="000F0277"/>
    <w:rsid w:val="000F029F"/>
    <w:rsid w:val="000F05E3"/>
    <w:rsid w:val="000F082C"/>
    <w:rsid w:val="000F090F"/>
    <w:rsid w:val="000F0A9E"/>
    <w:rsid w:val="000F0DCF"/>
    <w:rsid w:val="000F10D5"/>
    <w:rsid w:val="000F1235"/>
    <w:rsid w:val="000F1669"/>
    <w:rsid w:val="000F16EA"/>
    <w:rsid w:val="000F16FA"/>
    <w:rsid w:val="000F1DE6"/>
    <w:rsid w:val="000F25E6"/>
    <w:rsid w:val="000F2616"/>
    <w:rsid w:val="000F282A"/>
    <w:rsid w:val="000F308A"/>
    <w:rsid w:val="000F39B5"/>
    <w:rsid w:val="000F3C6F"/>
    <w:rsid w:val="000F3DF8"/>
    <w:rsid w:val="000F4274"/>
    <w:rsid w:val="000F43CE"/>
    <w:rsid w:val="000F46B1"/>
    <w:rsid w:val="000F4772"/>
    <w:rsid w:val="000F4934"/>
    <w:rsid w:val="000F4B18"/>
    <w:rsid w:val="000F4CD8"/>
    <w:rsid w:val="000F4EEA"/>
    <w:rsid w:val="000F57DC"/>
    <w:rsid w:val="000F5831"/>
    <w:rsid w:val="000F589B"/>
    <w:rsid w:val="000F5A0D"/>
    <w:rsid w:val="000F5C8A"/>
    <w:rsid w:val="000F5CA3"/>
    <w:rsid w:val="000F5CE1"/>
    <w:rsid w:val="000F6216"/>
    <w:rsid w:val="000F6412"/>
    <w:rsid w:val="000F649A"/>
    <w:rsid w:val="000F66D9"/>
    <w:rsid w:val="000F6980"/>
    <w:rsid w:val="000F7028"/>
    <w:rsid w:val="000F7032"/>
    <w:rsid w:val="000F70B8"/>
    <w:rsid w:val="000F71DD"/>
    <w:rsid w:val="000F75C2"/>
    <w:rsid w:val="000F7904"/>
    <w:rsid w:val="000F7C0A"/>
    <w:rsid w:val="000F7D73"/>
    <w:rsid w:val="000F7F2C"/>
    <w:rsid w:val="00100389"/>
    <w:rsid w:val="001005D2"/>
    <w:rsid w:val="0010084A"/>
    <w:rsid w:val="00100AE0"/>
    <w:rsid w:val="00100D7B"/>
    <w:rsid w:val="0010116E"/>
    <w:rsid w:val="00101518"/>
    <w:rsid w:val="00101D3A"/>
    <w:rsid w:val="00101DD7"/>
    <w:rsid w:val="00101FA5"/>
    <w:rsid w:val="0010223F"/>
    <w:rsid w:val="00102864"/>
    <w:rsid w:val="00102B13"/>
    <w:rsid w:val="00102D45"/>
    <w:rsid w:val="00102EDF"/>
    <w:rsid w:val="00103196"/>
    <w:rsid w:val="00103256"/>
    <w:rsid w:val="00103B82"/>
    <w:rsid w:val="00103BFC"/>
    <w:rsid w:val="001040FC"/>
    <w:rsid w:val="00104267"/>
    <w:rsid w:val="001045FA"/>
    <w:rsid w:val="00104623"/>
    <w:rsid w:val="001046B0"/>
    <w:rsid w:val="001048AF"/>
    <w:rsid w:val="00104BCC"/>
    <w:rsid w:val="00104DCF"/>
    <w:rsid w:val="0010501C"/>
    <w:rsid w:val="0010523C"/>
    <w:rsid w:val="00105374"/>
    <w:rsid w:val="00105968"/>
    <w:rsid w:val="00105C51"/>
    <w:rsid w:val="0010678D"/>
    <w:rsid w:val="00106D3E"/>
    <w:rsid w:val="00106FB9"/>
    <w:rsid w:val="00107169"/>
    <w:rsid w:val="001072CF"/>
    <w:rsid w:val="001075DB"/>
    <w:rsid w:val="00107779"/>
    <w:rsid w:val="001077A5"/>
    <w:rsid w:val="00107E38"/>
    <w:rsid w:val="00107E46"/>
    <w:rsid w:val="00110020"/>
    <w:rsid w:val="00110394"/>
    <w:rsid w:val="001107CF"/>
    <w:rsid w:val="001109B4"/>
    <w:rsid w:val="00110B1F"/>
    <w:rsid w:val="00110CBE"/>
    <w:rsid w:val="00110D48"/>
    <w:rsid w:val="00111FC9"/>
    <w:rsid w:val="00112090"/>
    <w:rsid w:val="001120B6"/>
    <w:rsid w:val="00112125"/>
    <w:rsid w:val="00112555"/>
    <w:rsid w:val="00112653"/>
    <w:rsid w:val="0011284C"/>
    <w:rsid w:val="001129DA"/>
    <w:rsid w:val="00112C65"/>
    <w:rsid w:val="00112F2D"/>
    <w:rsid w:val="0011329A"/>
    <w:rsid w:val="001132F4"/>
    <w:rsid w:val="00114130"/>
    <w:rsid w:val="00114174"/>
    <w:rsid w:val="001145D0"/>
    <w:rsid w:val="001145FB"/>
    <w:rsid w:val="0011480E"/>
    <w:rsid w:val="00114844"/>
    <w:rsid w:val="0011515B"/>
    <w:rsid w:val="00115189"/>
    <w:rsid w:val="0011548F"/>
    <w:rsid w:val="00115A50"/>
    <w:rsid w:val="00115B4C"/>
    <w:rsid w:val="00115BD0"/>
    <w:rsid w:val="00115D77"/>
    <w:rsid w:val="00115D8F"/>
    <w:rsid w:val="00116063"/>
    <w:rsid w:val="0011624D"/>
    <w:rsid w:val="0011666E"/>
    <w:rsid w:val="0011699C"/>
    <w:rsid w:val="00116B72"/>
    <w:rsid w:val="00117157"/>
    <w:rsid w:val="0011757A"/>
    <w:rsid w:val="00117AB1"/>
    <w:rsid w:val="00120453"/>
    <w:rsid w:val="001207A8"/>
    <w:rsid w:val="00120A2D"/>
    <w:rsid w:val="00120C43"/>
    <w:rsid w:val="001210EC"/>
    <w:rsid w:val="001212AE"/>
    <w:rsid w:val="00121B34"/>
    <w:rsid w:val="00121CC4"/>
    <w:rsid w:val="00121CFC"/>
    <w:rsid w:val="001222D2"/>
    <w:rsid w:val="0012230F"/>
    <w:rsid w:val="00122332"/>
    <w:rsid w:val="001224F5"/>
    <w:rsid w:val="0012275B"/>
    <w:rsid w:val="00122789"/>
    <w:rsid w:val="001227D2"/>
    <w:rsid w:val="00122804"/>
    <w:rsid w:val="00122B83"/>
    <w:rsid w:val="00122CDE"/>
    <w:rsid w:val="00122D5F"/>
    <w:rsid w:val="001235A3"/>
    <w:rsid w:val="00123648"/>
    <w:rsid w:val="00123709"/>
    <w:rsid w:val="0012371F"/>
    <w:rsid w:val="00123A46"/>
    <w:rsid w:val="00123D26"/>
    <w:rsid w:val="00123E6C"/>
    <w:rsid w:val="00123F83"/>
    <w:rsid w:val="00123FA3"/>
    <w:rsid w:val="00124059"/>
    <w:rsid w:val="0012419A"/>
    <w:rsid w:val="00124723"/>
    <w:rsid w:val="0012479D"/>
    <w:rsid w:val="00124A84"/>
    <w:rsid w:val="00124AA0"/>
    <w:rsid w:val="00124ECB"/>
    <w:rsid w:val="00125785"/>
    <w:rsid w:val="00125B71"/>
    <w:rsid w:val="00125BB2"/>
    <w:rsid w:val="0012603C"/>
    <w:rsid w:val="00126066"/>
    <w:rsid w:val="001261BA"/>
    <w:rsid w:val="00126EED"/>
    <w:rsid w:val="00127113"/>
    <w:rsid w:val="00127589"/>
    <w:rsid w:val="00127AB7"/>
    <w:rsid w:val="00127AF7"/>
    <w:rsid w:val="00127D0A"/>
    <w:rsid w:val="00127DD1"/>
    <w:rsid w:val="00130068"/>
    <w:rsid w:val="00130109"/>
    <w:rsid w:val="0013049C"/>
    <w:rsid w:val="001308FE"/>
    <w:rsid w:val="001309AF"/>
    <w:rsid w:val="00130B24"/>
    <w:rsid w:val="00130DDC"/>
    <w:rsid w:val="001310AF"/>
    <w:rsid w:val="001311E1"/>
    <w:rsid w:val="00131422"/>
    <w:rsid w:val="00131555"/>
    <w:rsid w:val="00131612"/>
    <w:rsid w:val="0013179F"/>
    <w:rsid w:val="00131C59"/>
    <w:rsid w:val="001321DA"/>
    <w:rsid w:val="00132429"/>
    <w:rsid w:val="00132867"/>
    <w:rsid w:val="00132869"/>
    <w:rsid w:val="00132887"/>
    <w:rsid w:val="001329FC"/>
    <w:rsid w:val="00132CB9"/>
    <w:rsid w:val="00132D4A"/>
    <w:rsid w:val="00133116"/>
    <w:rsid w:val="00133216"/>
    <w:rsid w:val="001333F0"/>
    <w:rsid w:val="001335D6"/>
    <w:rsid w:val="001336A1"/>
    <w:rsid w:val="0013370D"/>
    <w:rsid w:val="0013378B"/>
    <w:rsid w:val="00133AC3"/>
    <w:rsid w:val="00133B5C"/>
    <w:rsid w:val="00133BAF"/>
    <w:rsid w:val="00133CB3"/>
    <w:rsid w:val="00133CEF"/>
    <w:rsid w:val="00133FEB"/>
    <w:rsid w:val="001346AA"/>
    <w:rsid w:val="001347DD"/>
    <w:rsid w:val="001349B9"/>
    <w:rsid w:val="00135035"/>
    <w:rsid w:val="001358F3"/>
    <w:rsid w:val="00135C87"/>
    <w:rsid w:val="00135E96"/>
    <w:rsid w:val="00135F1C"/>
    <w:rsid w:val="001362F9"/>
    <w:rsid w:val="00136737"/>
    <w:rsid w:val="00136820"/>
    <w:rsid w:val="00136C43"/>
    <w:rsid w:val="00136EC5"/>
    <w:rsid w:val="001370F0"/>
    <w:rsid w:val="0013732E"/>
    <w:rsid w:val="00137880"/>
    <w:rsid w:val="00137DC9"/>
    <w:rsid w:val="00137E24"/>
    <w:rsid w:val="001406F1"/>
    <w:rsid w:val="00140A51"/>
    <w:rsid w:val="00140E7D"/>
    <w:rsid w:val="001410FA"/>
    <w:rsid w:val="0014118E"/>
    <w:rsid w:val="0014122A"/>
    <w:rsid w:val="00141242"/>
    <w:rsid w:val="001415CB"/>
    <w:rsid w:val="00141CF7"/>
    <w:rsid w:val="001423EB"/>
    <w:rsid w:val="00142CE1"/>
    <w:rsid w:val="00142DF0"/>
    <w:rsid w:val="00142E76"/>
    <w:rsid w:val="0014303D"/>
    <w:rsid w:val="0014316F"/>
    <w:rsid w:val="001433E3"/>
    <w:rsid w:val="00143498"/>
    <w:rsid w:val="0014369D"/>
    <w:rsid w:val="001436DE"/>
    <w:rsid w:val="001436ED"/>
    <w:rsid w:val="0014377A"/>
    <w:rsid w:val="00143879"/>
    <w:rsid w:val="00143A7E"/>
    <w:rsid w:val="00143D38"/>
    <w:rsid w:val="00143DC8"/>
    <w:rsid w:val="0014418D"/>
    <w:rsid w:val="001442B9"/>
    <w:rsid w:val="0014453E"/>
    <w:rsid w:val="001445D2"/>
    <w:rsid w:val="00144895"/>
    <w:rsid w:val="00144C14"/>
    <w:rsid w:val="00144E6C"/>
    <w:rsid w:val="00144E8B"/>
    <w:rsid w:val="00145CEF"/>
    <w:rsid w:val="00145F3E"/>
    <w:rsid w:val="00145FDB"/>
    <w:rsid w:val="00146016"/>
    <w:rsid w:val="0014614D"/>
    <w:rsid w:val="0014622A"/>
    <w:rsid w:val="00146737"/>
    <w:rsid w:val="0014692B"/>
    <w:rsid w:val="00146CA1"/>
    <w:rsid w:val="00147631"/>
    <w:rsid w:val="00147986"/>
    <w:rsid w:val="001479A4"/>
    <w:rsid w:val="00147C36"/>
    <w:rsid w:val="00147D9C"/>
    <w:rsid w:val="001500BC"/>
    <w:rsid w:val="00150156"/>
    <w:rsid w:val="0015032A"/>
    <w:rsid w:val="001507C4"/>
    <w:rsid w:val="00150A8B"/>
    <w:rsid w:val="00150D9A"/>
    <w:rsid w:val="00150F15"/>
    <w:rsid w:val="001513E8"/>
    <w:rsid w:val="00151516"/>
    <w:rsid w:val="001515B2"/>
    <w:rsid w:val="001519A0"/>
    <w:rsid w:val="00151B7F"/>
    <w:rsid w:val="00151E77"/>
    <w:rsid w:val="00151EB0"/>
    <w:rsid w:val="001522A1"/>
    <w:rsid w:val="00152502"/>
    <w:rsid w:val="001527D3"/>
    <w:rsid w:val="001527D7"/>
    <w:rsid w:val="00153319"/>
    <w:rsid w:val="0015339B"/>
    <w:rsid w:val="00153C72"/>
    <w:rsid w:val="00153F7C"/>
    <w:rsid w:val="0015423F"/>
    <w:rsid w:val="0015425C"/>
    <w:rsid w:val="001542C1"/>
    <w:rsid w:val="00154DAE"/>
    <w:rsid w:val="0015500A"/>
    <w:rsid w:val="0015506D"/>
    <w:rsid w:val="001552AF"/>
    <w:rsid w:val="001557B1"/>
    <w:rsid w:val="001558A6"/>
    <w:rsid w:val="001558FB"/>
    <w:rsid w:val="00155923"/>
    <w:rsid w:val="00155A62"/>
    <w:rsid w:val="00155AA2"/>
    <w:rsid w:val="00155C61"/>
    <w:rsid w:val="00155CF1"/>
    <w:rsid w:val="00155FB8"/>
    <w:rsid w:val="00156011"/>
    <w:rsid w:val="001565FC"/>
    <w:rsid w:val="00156906"/>
    <w:rsid w:val="00156A9B"/>
    <w:rsid w:val="00156BC0"/>
    <w:rsid w:val="00156DCB"/>
    <w:rsid w:val="0015712C"/>
    <w:rsid w:val="00157191"/>
    <w:rsid w:val="00157335"/>
    <w:rsid w:val="00157514"/>
    <w:rsid w:val="0015797C"/>
    <w:rsid w:val="00157B07"/>
    <w:rsid w:val="00157FA7"/>
    <w:rsid w:val="0016016F"/>
    <w:rsid w:val="00160706"/>
    <w:rsid w:val="001607C5"/>
    <w:rsid w:val="00160901"/>
    <w:rsid w:val="00160B00"/>
    <w:rsid w:val="00161103"/>
    <w:rsid w:val="00161164"/>
    <w:rsid w:val="001614FB"/>
    <w:rsid w:val="00161701"/>
    <w:rsid w:val="001617B5"/>
    <w:rsid w:val="001618BB"/>
    <w:rsid w:val="00161A4D"/>
    <w:rsid w:val="00161B6A"/>
    <w:rsid w:val="00161BCA"/>
    <w:rsid w:val="00161E61"/>
    <w:rsid w:val="00162307"/>
    <w:rsid w:val="00162C2C"/>
    <w:rsid w:val="00163055"/>
    <w:rsid w:val="00163136"/>
    <w:rsid w:val="001632B9"/>
    <w:rsid w:val="00163510"/>
    <w:rsid w:val="00163C67"/>
    <w:rsid w:val="00163DAF"/>
    <w:rsid w:val="00163E00"/>
    <w:rsid w:val="00163E7A"/>
    <w:rsid w:val="001641D1"/>
    <w:rsid w:val="001643F8"/>
    <w:rsid w:val="001646AB"/>
    <w:rsid w:val="00164970"/>
    <w:rsid w:val="00164CEF"/>
    <w:rsid w:val="0016538F"/>
    <w:rsid w:val="0016545F"/>
    <w:rsid w:val="001655D0"/>
    <w:rsid w:val="0016586A"/>
    <w:rsid w:val="00165970"/>
    <w:rsid w:val="00165F25"/>
    <w:rsid w:val="00165F9A"/>
    <w:rsid w:val="0016619F"/>
    <w:rsid w:val="00166307"/>
    <w:rsid w:val="0016640A"/>
    <w:rsid w:val="00166532"/>
    <w:rsid w:val="00166AC9"/>
    <w:rsid w:val="00166AD1"/>
    <w:rsid w:val="00166C25"/>
    <w:rsid w:val="00166D1F"/>
    <w:rsid w:val="00167088"/>
    <w:rsid w:val="001671A6"/>
    <w:rsid w:val="00167532"/>
    <w:rsid w:val="001676CA"/>
    <w:rsid w:val="001677E6"/>
    <w:rsid w:val="00167928"/>
    <w:rsid w:val="00167980"/>
    <w:rsid w:val="00167C25"/>
    <w:rsid w:val="00167D21"/>
    <w:rsid w:val="00170433"/>
    <w:rsid w:val="00170573"/>
    <w:rsid w:val="00170926"/>
    <w:rsid w:val="00170A61"/>
    <w:rsid w:val="00170DA3"/>
    <w:rsid w:val="00170E3C"/>
    <w:rsid w:val="00170E94"/>
    <w:rsid w:val="001711C4"/>
    <w:rsid w:val="00171345"/>
    <w:rsid w:val="00171533"/>
    <w:rsid w:val="0017179D"/>
    <w:rsid w:val="00171B44"/>
    <w:rsid w:val="0017215E"/>
    <w:rsid w:val="0017218C"/>
    <w:rsid w:val="0017226D"/>
    <w:rsid w:val="001722DA"/>
    <w:rsid w:val="00172610"/>
    <w:rsid w:val="0017277C"/>
    <w:rsid w:val="001728D1"/>
    <w:rsid w:val="001729B8"/>
    <w:rsid w:val="00172C26"/>
    <w:rsid w:val="00172D68"/>
    <w:rsid w:val="00172E50"/>
    <w:rsid w:val="00172EA1"/>
    <w:rsid w:val="001730AF"/>
    <w:rsid w:val="0017313C"/>
    <w:rsid w:val="00173243"/>
    <w:rsid w:val="0017327E"/>
    <w:rsid w:val="00173594"/>
    <w:rsid w:val="00173A0F"/>
    <w:rsid w:val="00174009"/>
    <w:rsid w:val="0017417A"/>
    <w:rsid w:val="001742F6"/>
    <w:rsid w:val="001743A1"/>
    <w:rsid w:val="001743D6"/>
    <w:rsid w:val="00174A8E"/>
    <w:rsid w:val="00174D6E"/>
    <w:rsid w:val="001753CC"/>
    <w:rsid w:val="0017540F"/>
    <w:rsid w:val="00175430"/>
    <w:rsid w:val="00175640"/>
    <w:rsid w:val="00175933"/>
    <w:rsid w:val="00176304"/>
    <w:rsid w:val="00176520"/>
    <w:rsid w:val="00176B8E"/>
    <w:rsid w:val="00176DB4"/>
    <w:rsid w:val="00177044"/>
    <w:rsid w:val="001774CF"/>
    <w:rsid w:val="00177904"/>
    <w:rsid w:val="0017794A"/>
    <w:rsid w:val="00177A7E"/>
    <w:rsid w:val="00177C30"/>
    <w:rsid w:val="00177ECE"/>
    <w:rsid w:val="00180023"/>
    <w:rsid w:val="00180441"/>
    <w:rsid w:val="00180593"/>
    <w:rsid w:val="0018063A"/>
    <w:rsid w:val="001807A8"/>
    <w:rsid w:val="00180859"/>
    <w:rsid w:val="00180971"/>
    <w:rsid w:val="001809D1"/>
    <w:rsid w:val="00180BE4"/>
    <w:rsid w:val="00180F48"/>
    <w:rsid w:val="00181BE6"/>
    <w:rsid w:val="00181EF7"/>
    <w:rsid w:val="00181F0E"/>
    <w:rsid w:val="001821C5"/>
    <w:rsid w:val="0018222C"/>
    <w:rsid w:val="00182558"/>
    <w:rsid w:val="001825A7"/>
    <w:rsid w:val="001826A0"/>
    <w:rsid w:val="0018284F"/>
    <w:rsid w:val="00182876"/>
    <w:rsid w:val="0018293B"/>
    <w:rsid w:val="001829B6"/>
    <w:rsid w:val="00182BE6"/>
    <w:rsid w:val="00182E9E"/>
    <w:rsid w:val="00183393"/>
    <w:rsid w:val="001835CB"/>
    <w:rsid w:val="001838F5"/>
    <w:rsid w:val="00183A30"/>
    <w:rsid w:val="00183B1B"/>
    <w:rsid w:val="00183C2A"/>
    <w:rsid w:val="001842B4"/>
    <w:rsid w:val="00184392"/>
    <w:rsid w:val="0018474D"/>
    <w:rsid w:val="00184D9D"/>
    <w:rsid w:val="00184F3A"/>
    <w:rsid w:val="00184FCB"/>
    <w:rsid w:val="0018549E"/>
    <w:rsid w:val="0018569B"/>
    <w:rsid w:val="00185FE3"/>
    <w:rsid w:val="0018612F"/>
    <w:rsid w:val="001863B9"/>
    <w:rsid w:val="00186BB6"/>
    <w:rsid w:val="00187AA6"/>
    <w:rsid w:val="00187B66"/>
    <w:rsid w:val="00187CE4"/>
    <w:rsid w:val="00187E31"/>
    <w:rsid w:val="00187E38"/>
    <w:rsid w:val="00187E6C"/>
    <w:rsid w:val="0019001D"/>
    <w:rsid w:val="00190115"/>
    <w:rsid w:val="001902AD"/>
    <w:rsid w:val="001906D2"/>
    <w:rsid w:val="0019097B"/>
    <w:rsid w:val="00190B83"/>
    <w:rsid w:val="0019116F"/>
    <w:rsid w:val="0019136C"/>
    <w:rsid w:val="00191438"/>
    <w:rsid w:val="001919DA"/>
    <w:rsid w:val="00191EAB"/>
    <w:rsid w:val="00191F4F"/>
    <w:rsid w:val="0019243E"/>
    <w:rsid w:val="00192BAD"/>
    <w:rsid w:val="00192BC3"/>
    <w:rsid w:val="00192BF3"/>
    <w:rsid w:val="00193E47"/>
    <w:rsid w:val="00193E97"/>
    <w:rsid w:val="00194645"/>
    <w:rsid w:val="00194CE0"/>
    <w:rsid w:val="00194D67"/>
    <w:rsid w:val="0019502E"/>
    <w:rsid w:val="0019525F"/>
    <w:rsid w:val="0019547A"/>
    <w:rsid w:val="001954EC"/>
    <w:rsid w:val="0019558E"/>
    <w:rsid w:val="00195EE3"/>
    <w:rsid w:val="0019615C"/>
    <w:rsid w:val="001963ED"/>
    <w:rsid w:val="001964F2"/>
    <w:rsid w:val="001967C1"/>
    <w:rsid w:val="00196D19"/>
    <w:rsid w:val="00196DAA"/>
    <w:rsid w:val="00196DD6"/>
    <w:rsid w:val="00196DDA"/>
    <w:rsid w:val="00196E69"/>
    <w:rsid w:val="00196FBF"/>
    <w:rsid w:val="0019712E"/>
    <w:rsid w:val="00197174"/>
    <w:rsid w:val="001971EB"/>
    <w:rsid w:val="001971F5"/>
    <w:rsid w:val="001972A2"/>
    <w:rsid w:val="001978DD"/>
    <w:rsid w:val="0019797E"/>
    <w:rsid w:val="001979CC"/>
    <w:rsid w:val="00197D06"/>
    <w:rsid w:val="00197D25"/>
    <w:rsid w:val="001A05DD"/>
    <w:rsid w:val="001A06D8"/>
    <w:rsid w:val="001A0898"/>
    <w:rsid w:val="001A096C"/>
    <w:rsid w:val="001A0E37"/>
    <w:rsid w:val="001A1030"/>
    <w:rsid w:val="001A1071"/>
    <w:rsid w:val="001A1174"/>
    <w:rsid w:val="001A1435"/>
    <w:rsid w:val="001A15F3"/>
    <w:rsid w:val="001A161C"/>
    <w:rsid w:val="001A17BD"/>
    <w:rsid w:val="001A191E"/>
    <w:rsid w:val="001A1B7A"/>
    <w:rsid w:val="001A1FC2"/>
    <w:rsid w:val="001A2225"/>
    <w:rsid w:val="001A2548"/>
    <w:rsid w:val="001A2603"/>
    <w:rsid w:val="001A27C1"/>
    <w:rsid w:val="001A297B"/>
    <w:rsid w:val="001A2A5A"/>
    <w:rsid w:val="001A2ACB"/>
    <w:rsid w:val="001A2C9E"/>
    <w:rsid w:val="001A2DDC"/>
    <w:rsid w:val="001A2EEC"/>
    <w:rsid w:val="001A380A"/>
    <w:rsid w:val="001A3A2D"/>
    <w:rsid w:val="001A3D7A"/>
    <w:rsid w:val="001A4049"/>
    <w:rsid w:val="001A4245"/>
    <w:rsid w:val="001A43FB"/>
    <w:rsid w:val="001A450D"/>
    <w:rsid w:val="001A4712"/>
    <w:rsid w:val="001A4EF6"/>
    <w:rsid w:val="001A4F11"/>
    <w:rsid w:val="001A53DD"/>
    <w:rsid w:val="001A54B6"/>
    <w:rsid w:val="001A5567"/>
    <w:rsid w:val="001A55FF"/>
    <w:rsid w:val="001A575C"/>
    <w:rsid w:val="001A5CC9"/>
    <w:rsid w:val="001A5E76"/>
    <w:rsid w:val="001A5EC7"/>
    <w:rsid w:val="001A662F"/>
    <w:rsid w:val="001A663D"/>
    <w:rsid w:val="001A6A11"/>
    <w:rsid w:val="001A6B95"/>
    <w:rsid w:val="001A6C9B"/>
    <w:rsid w:val="001A6ED2"/>
    <w:rsid w:val="001A70F8"/>
    <w:rsid w:val="001A72E9"/>
    <w:rsid w:val="001A73E9"/>
    <w:rsid w:val="001A750A"/>
    <w:rsid w:val="001A7571"/>
    <w:rsid w:val="001B056B"/>
    <w:rsid w:val="001B0BDB"/>
    <w:rsid w:val="001B0FA7"/>
    <w:rsid w:val="001B11B5"/>
    <w:rsid w:val="001B1346"/>
    <w:rsid w:val="001B13E1"/>
    <w:rsid w:val="001B1515"/>
    <w:rsid w:val="001B154E"/>
    <w:rsid w:val="001B15E0"/>
    <w:rsid w:val="001B1773"/>
    <w:rsid w:val="001B17A5"/>
    <w:rsid w:val="001B17E2"/>
    <w:rsid w:val="001B188C"/>
    <w:rsid w:val="001B18D4"/>
    <w:rsid w:val="001B1AEB"/>
    <w:rsid w:val="001B1ECD"/>
    <w:rsid w:val="001B2158"/>
    <w:rsid w:val="001B24D4"/>
    <w:rsid w:val="001B25D3"/>
    <w:rsid w:val="001B28F8"/>
    <w:rsid w:val="001B299E"/>
    <w:rsid w:val="001B2D90"/>
    <w:rsid w:val="001B2E46"/>
    <w:rsid w:val="001B2F30"/>
    <w:rsid w:val="001B2F44"/>
    <w:rsid w:val="001B3058"/>
    <w:rsid w:val="001B30FC"/>
    <w:rsid w:val="001B372D"/>
    <w:rsid w:val="001B3A1F"/>
    <w:rsid w:val="001B3B19"/>
    <w:rsid w:val="001B3B88"/>
    <w:rsid w:val="001B3BCA"/>
    <w:rsid w:val="001B3C6B"/>
    <w:rsid w:val="001B3D11"/>
    <w:rsid w:val="001B4198"/>
    <w:rsid w:val="001B43C6"/>
    <w:rsid w:val="001B443F"/>
    <w:rsid w:val="001B4A3A"/>
    <w:rsid w:val="001B4D15"/>
    <w:rsid w:val="001B4FB8"/>
    <w:rsid w:val="001B50ED"/>
    <w:rsid w:val="001B521B"/>
    <w:rsid w:val="001B522C"/>
    <w:rsid w:val="001B5552"/>
    <w:rsid w:val="001B57F3"/>
    <w:rsid w:val="001B5919"/>
    <w:rsid w:val="001B5AEA"/>
    <w:rsid w:val="001B5BE3"/>
    <w:rsid w:val="001B5D92"/>
    <w:rsid w:val="001B6028"/>
    <w:rsid w:val="001B6132"/>
    <w:rsid w:val="001B65EA"/>
    <w:rsid w:val="001B6A1C"/>
    <w:rsid w:val="001B6DCA"/>
    <w:rsid w:val="001B6ED0"/>
    <w:rsid w:val="001B7513"/>
    <w:rsid w:val="001B7631"/>
    <w:rsid w:val="001B76AA"/>
    <w:rsid w:val="001B770D"/>
    <w:rsid w:val="001B7A7E"/>
    <w:rsid w:val="001B7D74"/>
    <w:rsid w:val="001B7E9A"/>
    <w:rsid w:val="001C0187"/>
    <w:rsid w:val="001C054E"/>
    <w:rsid w:val="001C0B24"/>
    <w:rsid w:val="001C0D8C"/>
    <w:rsid w:val="001C1247"/>
    <w:rsid w:val="001C125B"/>
    <w:rsid w:val="001C1B5B"/>
    <w:rsid w:val="001C23DB"/>
    <w:rsid w:val="001C23E7"/>
    <w:rsid w:val="001C25C3"/>
    <w:rsid w:val="001C29EF"/>
    <w:rsid w:val="001C2AF6"/>
    <w:rsid w:val="001C321C"/>
    <w:rsid w:val="001C32BC"/>
    <w:rsid w:val="001C3834"/>
    <w:rsid w:val="001C3B4E"/>
    <w:rsid w:val="001C3C03"/>
    <w:rsid w:val="001C3D59"/>
    <w:rsid w:val="001C3FA7"/>
    <w:rsid w:val="001C4660"/>
    <w:rsid w:val="001C47B2"/>
    <w:rsid w:val="001C4A22"/>
    <w:rsid w:val="001C4C07"/>
    <w:rsid w:val="001C52B8"/>
    <w:rsid w:val="001C53DF"/>
    <w:rsid w:val="001C54C5"/>
    <w:rsid w:val="001C5C70"/>
    <w:rsid w:val="001C5CB2"/>
    <w:rsid w:val="001C5D71"/>
    <w:rsid w:val="001C5DE9"/>
    <w:rsid w:val="001C5E95"/>
    <w:rsid w:val="001C5F6C"/>
    <w:rsid w:val="001C602E"/>
    <w:rsid w:val="001C63D4"/>
    <w:rsid w:val="001C6427"/>
    <w:rsid w:val="001C6F3F"/>
    <w:rsid w:val="001C7496"/>
    <w:rsid w:val="001C7580"/>
    <w:rsid w:val="001C76AE"/>
    <w:rsid w:val="001C7716"/>
    <w:rsid w:val="001C77D7"/>
    <w:rsid w:val="001C79FB"/>
    <w:rsid w:val="001C7A14"/>
    <w:rsid w:val="001C7B0C"/>
    <w:rsid w:val="001D0233"/>
    <w:rsid w:val="001D0587"/>
    <w:rsid w:val="001D077D"/>
    <w:rsid w:val="001D0ADE"/>
    <w:rsid w:val="001D0AF2"/>
    <w:rsid w:val="001D0C32"/>
    <w:rsid w:val="001D12E0"/>
    <w:rsid w:val="001D14C6"/>
    <w:rsid w:val="001D15E0"/>
    <w:rsid w:val="001D16C9"/>
    <w:rsid w:val="001D17F2"/>
    <w:rsid w:val="001D19DD"/>
    <w:rsid w:val="001D1CC1"/>
    <w:rsid w:val="001D1DC4"/>
    <w:rsid w:val="001D1FAD"/>
    <w:rsid w:val="001D2006"/>
    <w:rsid w:val="001D2033"/>
    <w:rsid w:val="001D21A2"/>
    <w:rsid w:val="001D2420"/>
    <w:rsid w:val="001D24DF"/>
    <w:rsid w:val="001D28DE"/>
    <w:rsid w:val="001D292F"/>
    <w:rsid w:val="001D2FAC"/>
    <w:rsid w:val="001D30DB"/>
    <w:rsid w:val="001D30F3"/>
    <w:rsid w:val="001D3311"/>
    <w:rsid w:val="001D33B4"/>
    <w:rsid w:val="001D33D6"/>
    <w:rsid w:val="001D34E8"/>
    <w:rsid w:val="001D36B7"/>
    <w:rsid w:val="001D3BE0"/>
    <w:rsid w:val="001D3DA4"/>
    <w:rsid w:val="001D3E7E"/>
    <w:rsid w:val="001D4021"/>
    <w:rsid w:val="001D4377"/>
    <w:rsid w:val="001D438C"/>
    <w:rsid w:val="001D476A"/>
    <w:rsid w:val="001D4E97"/>
    <w:rsid w:val="001D5072"/>
    <w:rsid w:val="001D51BE"/>
    <w:rsid w:val="001D521D"/>
    <w:rsid w:val="001D548D"/>
    <w:rsid w:val="001D56C8"/>
    <w:rsid w:val="001D5786"/>
    <w:rsid w:val="001D5A36"/>
    <w:rsid w:val="001D5A6A"/>
    <w:rsid w:val="001D5BF9"/>
    <w:rsid w:val="001D640C"/>
    <w:rsid w:val="001D6514"/>
    <w:rsid w:val="001D6862"/>
    <w:rsid w:val="001D6BAA"/>
    <w:rsid w:val="001D6C0C"/>
    <w:rsid w:val="001D6C5C"/>
    <w:rsid w:val="001D6DD8"/>
    <w:rsid w:val="001D7185"/>
    <w:rsid w:val="001D7356"/>
    <w:rsid w:val="001D771E"/>
    <w:rsid w:val="001D77A6"/>
    <w:rsid w:val="001D793B"/>
    <w:rsid w:val="001D7C55"/>
    <w:rsid w:val="001E096C"/>
    <w:rsid w:val="001E0A8F"/>
    <w:rsid w:val="001E0C55"/>
    <w:rsid w:val="001E0DE1"/>
    <w:rsid w:val="001E1320"/>
    <w:rsid w:val="001E13DB"/>
    <w:rsid w:val="001E1431"/>
    <w:rsid w:val="001E1694"/>
    <w:rsid w:val="001E1867"/>
    <w:rsid w:val="001E190C"/>
    <w:rsid w:val="001E1EA4"/>
    <w:rsid w:val="001E21D4"/>
    <w:rsid w:val="001E2586"/>
    <w:rsid w:val="001E285C"/>
    <w:rsid w:val="001E2896"/>
    <w:rsid w:val="001E2C76"/>
    <w:rsid w:val="001E2C97"/>
    <w:rsid w:val="001E2D55"/>
    <w:rsid w:val="001E3048"/>
    <w:rsid w:val="001E3288"/>
    <w:rsid w:val="001E34FB"/>
    <w:rsid w:val="001E35CD"/>
    <w:rsid w:val="001E3A35"/>
    <w:rsid w:val="001E3A45"/>
    <w:rsid w:val="001E3C22"/>
    <w:rsid w:val="001E3D2E"/>
    <w:rsid w:val="001E3E7C"/>
    <w:rsid w:val="001E4237"/>
    <w:rsid w:val="001E4793"/>
    <w:rsid w:val="001E48A8"/>
    <w:rsid w:val="001E4B28"/>
    <w:rsid w:val="001E4B61"/>
    <w:rsid w:val="001E4B8D"/>
    <w:rsid w:val="001E4DFA"/>
    <w:rsid w:val="001E53F8"/>
    <w:rsid w:val="001E58C4"/>
    <w:rsid w:val="001E5DE7"/>
    <w:rsid w:val="001E5E87"/>
    <w:rsid w:val="001E617F"/>
    <w:rsid w:val="001E639B"/>
    <w:rsid w:val="001E6854"/>
    <w:rsid w:val="001E6929"/>
    <w:rsid w:val="001E6E42"/>
    <w:rsid w:val="001E6F6C"/>
    <w:rsid w:val="001E7010"/>
    <w:rsid w:val="001E721B"/>
    <w:rsid w:val="001E7509"/>
    <w:rsid w:val="001E7582"/>
    <w:rsid w:val="001E773C"/>
    <w:rsid w:val="001E786C"/>
    <w:rsid w:val="001E78AD"/>
    <w:rsid w:val="001E79DF"/>
    <w:rsid w:val="001E7E48"/>
    <w:rsid w:val="001E7F7E"/>
    <w:rsid w:val="001F019D"/>
    <w:rsid w:val="001F0499"/>
    <w:rsid w:val="001F06BB"/>
    <w:rsid w:val="001F0B07"/>
    <w:rsid w:val="001F0B2D"/>
    <w:rsid w:val="001F0C5A"/>
    <w:rsid w:val="001F0FE3"/>
    <w:rsid w:val="001F12BC"/>
    <w:rsid w:val="001F158A"/>
    <w:rsid w:val="001F1AF4"/>
    <w:rsid w:val="001F1C90"/>
    <w:rsid w:val="001F213E"/>
    <w:rsid w:val="001F21B3"/>
    <w:rsid w:val="001F2222"/>
    <w:rsid w:val="001F2417"/>
    <w:rsid w:val="001F260A"/>
    <w:rsid w:val="001F296D"/>
    <w:rsid w:val="001F2C37"/>
    <w:rsid w:val="001F2E7D"/>
    <w:rsid w:val="001F3009"/>
    <w:rsid w:val="001F3070"/>
    <w:rsid w:val="001F31C5"/>
    <w:rsid w:val="001F3513"/>
    <w:rsid w:val="001F3B57"/>
    <w:rsid w:val="001F4E27"/>
    <w:rsid w:val="001F5548"/>
    <w:rsid w:val="001F5675"/>
    <w:rsid w:val="001F587B"/>
    <w:rsid w:val="001F5B84"/>
    <w:rsid w:val="001F5BC9"/>
    <w:rsid w:val="001F5CCE"/>
    <w:rsid w:val="001F5CD5"/>
    <w:rsid w:val="001F5E4B"/>
    <w:rsid w:val="001F6133"/>
    <w:rsid w:val="001F62A5"/>
    <w:rsid w:val="001F65D2"/>
    <w:rsid w:val="001F6920"/>
    <w:rsid w:val="001F6B66"/>
    <w:rsid w:val="001F6BBD"/>
    <w:rsid w:val="001F7475"/>
    <w:rsid w:val="001F75FB"/>
    <w:rsid w:val="001F7C0A"/>
    <w:rsid w:val="001F7C6C"/>
    <w:rsid w:val="001F7EE5"/>
    <w:rsid w:val="0020072E"/>
    <w:rsid w:val="00200964"/>
    <w:rsid w:val="002014D0"/>
    <w:rsid w:val="00201504"/>
    <w:rsid w:val="00201555"/>
    <w:rsid w:val="00201AFD"/>
    <w:rsid w:val="00201B69"/>
    <w:rsid w:val="00201CF1"/>
    <w:rsid w:val="00202057"/>
    <w:rsid w:val="0020254F"/>
    <w:rsid w:val="00202A04"/>
    <w:rsid w:val="00202D7C"/>
    <w:rsid w:val="00202D97"/>
    <w:rsid w:val="00202F88"/>
    <w:rsid w:val="002033DB"/>
    <w:rsid w:val="002037CA"/>
    <w:rsid w:val="00203A77"/>
    <w:rsid w:val="002040AA"/>
    <w:rsid w:val="002040FA"/>
    <w:rsid w:val="002042C9"/>
    <w:rsid w:val="00204327"/>
    <w:rsid w:val="00204597"/>
    <w:rsid w:val="00204913"/>
    <w:rsid w:val="0020507D"/>
    <w:rsid w:val="002053BA"/>
    <w:rsid w:val="002054FA"/>
    <w:rsid w:val="00205926"/>
    <w:rsid w:val="00205ED2"/>
    <w:rsid w:val="00206108"/>
    <w:rsid w:val="00206448"/>
    <w:rsid w:val="002064BD"/>
    <w:rsid w:val="00206777"/>
    <w:rsid w:val="00206832"/>
    <w:rsid w:val="00206862"/>
    <w:rsid w:val="00206E23"/>
    <w:rsid w:val="0020714F"/>
    <w:rsid w:val="0020728C"/>
    <w:rsid w:val="00207438"/>
    <w:rsid w:val="00207649"/>
    <w:rsid w:val="00207A9C"/>
    <w:rsid w:val="00207BE3"/>
    <w:rsid w:val="00207E53"/>
    <w:rsid w:val="00207EC6"/>
    <w:rsid w:val="00207FFB"/>
    <w:rsid w:val="00210112"/>
    <w:rsid w:val="002102DE"/>
    <w:rsid w:val="00210479"/>
    <w:rsid w:val="002105E3"/>
    <w:rsid w:val="002105FE"/>
    <w:rsid w:val="00210C25"/>
    <w:rsid w:val="00211111"/>
    <w:rsid w:val="0021131D"/>
    <w:rsid w:val="00211565"/>
    <w:rsid w:val="00211B43"/>
    <w:rsid w:val="00211D21"/>
    <w:rsid w:val="00211EC9"/>
    <w:rsid w:val="00211FE1"/>
    <w:rsid w:val="0021223D"/>
    <w:rsid w:val="00212625"/>
    <w:rsid w:val="0021263B"/>
    <w:rsid w:val="00212980"/>
    <w:rsid w:val="00212BAE"/>
    <w:rsid w:val="002130CE"/>
    <w:rsid w:val="002130CF"/>
    <w:rsid w:val="00213EED"/>
    <w:rsid w:val="00214224"/>
    <w:rsid w:val="00214339"/>
    <w:rsid w:val="002144E4"/>
    <w:rsid w:val="002147BE"/>
    <w:rsid w:val="00214B45"/>
    <w:rsid w:val="00214DF1"/>
    <w:rsid w:val="00214E98"/>
    <w:rsid w:val="002150A0"/>
    <w:rsid w:val="0021546A"/>
    <w:rsid w:val="00215B37"/>
    <w:rsid w:val="00215C1B"/>
    <w:rsid w:val="00215D08"/>
    <w:rsid w:val="00216042"/>
    <w:rsid w:val="002161F9"/>
    <w:rsid w:val="002164C8"/>
    <w:rsid w:val="00216550"/>
    <w:rsid w:val="002167BB"/>
    <w:rsid w:val="00216802"/>
    <w:rsid w:val="00216F29"/>
    <w:rsid w:val="00217162"/>
    <w:rsid w:val="002172EE"/>
    <w:rsid w:val="00217490"/>
    <w:rsid w:val="002174C2"/>
    <w:rsid w:val="0021798D"/>
    <w:rsid w:val="00217A26"/>
    <w:rsid w:val="00217C74"/>
    <w:rsid w:val="00217C82"/>
    <w:rsid w:val="00217D41"/>
    <w:rsid w:val="002200B0"/>
    <w:rsid w:val="00220395"/>
    <w:rsid w:val="002203AA"/>
    <w:rsid w:val="002204E8"/>
    <w:rsid w:val="002205B7"/>
    <w:rsid w:val="00220961"/>
    <w:rsid w:val="0022098D"/>
    <w:rsid w:val="00220A73"/>
    <w:rsid w:val="00220C00"/>
    <w:rsid w:val="00220E5C"/>
    <w:rsid w:val="00220EC3"/>
    <w:rsid w:val="00221970"/>
    <w:rsid w:val="00221C79"/>
    <w:rsid w:val="00222068"/>
    <w:rsid w:val="0022236B"/>
    <w:rsid w:val="0022268A"/>
    <w:rsid w:val="00222850"/>
    <w:rsid w:val="00222A9E"/>
    <w:rsid w:val="00222E89"/>
    <w:rsid w:val="00222EC2"/>
    <w:rsid w:val="002230ED"/>
    <w:rsid w:val="0022363D"/>
    <w:rsid w:val="00223C87"/>
    <w:rsid w:val="00223F44"/>
    <w:rsid w:val="0022479B"/>
    <w:rsid w:val="00224C14"/>
    <w:rsid w:val="00225140"/>
    <w:rsid w:val="00225247"/>
    <w:rsid w:val="002253CD"/>
    <w:rsid w:val="002254D0"/>
    <w:rsid w:val="002255CC"/>
    <w:rsid w:val="002259D5"/>
    <w:rsid w:val="002260C2"/>
    <w:rsid w:val="0022621B"/>
    <w:rsid w:val="00226629"/>
    <w:rsid w:val="00226BA3"/>
    <w:rsid w:val="00226D0A"/>
    <w:rsid w:val="00226D50"/>
    <w:rsid w:val="0022704E"/>
    <w:rsid w:val="002271B1"/>
    <w:rsid w:val="002271BE"/>
    <w:rsid w:val="00227627"/>
    <w:rsid w:val="00227B78"/>
    <w:rsid w:val="00227E64"/>
    <w:rsid w:val="00227F86"/>
    <w:rsid w:val="00227FCB"/>
    <w:rsid w:val="002300B4"/>
    <w:rsid w:val="0023031E"/>
    <w:rsid w:val="00230AEA"/>
    <w:rsid w:val="00230E3E"/>
    <w:rsid w:val="00231263"/>
    <w:rsid w:val="00231377"/>
    <w:rsid w:val="002314F0"/>
    <w:rsid w:val="0023189A"/>
    <w:rsid w:val="00231A10"/>
    <w:rsid w:val="00231B21"/>
    <w:rsid w:val="00231B55"/>
    <w:rsid w:val="00231FA4"/>
    <w:rsid w:val="0023211B"/>
    <w:rsid w:val="002325D9"/>
    <w:rsid w:val="002327BB"/>
    <w:rsid w:val="002328F7"/>
    <w:rsid w:val="002329B6"/>
    <w:rsid w:val="00232AF3"/>
    <w:rsid w:val="00232E4F"/>
    <w:rsid w:val="00232F53"/>
    <w:rsid w:val="0023307C"/>
    <w:rsid w:val="0023324D"/>
    <w:rsid w:val="00233429"/>
    <w:rsid w:val="00233641"/>
    <w:rsid w:val="002336BB"/>
    <w:rsid w:val="00233998"/>
    <w:rsid w:val="002346F8"/>
    <w:rsid w:val="002348C1"/>
    <w:rsid w:val="002349EE"/>
    <w:rsid w:val="0023595E"/>
    <w:rsid w:val="00235981"/>
    <w:rsid w:val="00235D7B"/>
    <w:rsid w:val="00235E6D"/>
    <w:rsid w:val="00235F7C"/>
    <w:rsid w:val="00236091"/>
    <w:rsid w:val="002361EF"/>
    <w:rsid w:val="00236256"/>
    <w:rsid w:val="002362F5"/>
    <w:rsid w:val="0023641D"/>
    <w:rsid w:val="0023644F"/>
    <w:rsid w:val="00236530"/>
    <w:rsid w:val="00236544"/>
    <w:rsid w:val="00236598"/>
    <w:rsid w:val="002365A3"/>
    <w:rsid w:val="00236737"/>
    <w:rsid w:val="00236945"/>
    <w:rsid w:val="00236FF4"/>
    <w:rsid w:val="002375C9"/>
    <w:rsid w:val="00237CF1"/>
    <w:rsid w:val="00237CF3"/>
    <w:rsid w:val="00237FAB"/>
    <w:rsid w:val="00240245"/>
    <w:rsid w:val="0024033F"/>
    <w:rsid w:val="00240399"/>
    <w:rsid w:val="002407F4"/>
    <w:rsid w:val="00240E81"/>
    <w:rsid w:val="00240F4D"/>
    <w:rsid w:val="00241891"/>
    <w:rsid w:val="002419CC"/>
    <w:rsid w:val="00241B36"/>
    <w:rsid w:val="00241F82"/>
    <w:rsid w:val="00241FA2"/>
    <w:rsid w:val="00242092"/>
    <w:rsid w:val="0024224C"/>
    <w:rsid w:val="002426F8"/>
    <w:rsid w:val="00242C2B"/>
    <w:rsid w:val="00243092"/>
    <w:rsid w:val="00243330"/>
    <w:rsid w:val="0024391D"/>
    <w:rsid w:val="002439A4"/>
    <w:rsid w:val="0024427A"/>
    <w:rsid w:val="002445CF"/>
    <w:rsid w:val="0024465F"/>
    <w:rsid w:val="002447BB"/>
    <w:rsid w:val="00244809"/>
    <w:rsid w:val="00244A74"/>
    <w:rsid w:val="00244BCF"/>
    <w:rsid w:val="00244C57"/>
    <w:rsid w:val="00245066"/>
    <w:rsid w:val="0024529A"/>
    <w:rsid w:val="00245576"/>
    <w:rsid w:val="002457D9"/>
    <w:rsid w:val="00245A60"/>
    <w:rsid w:val="00245B2E"/>
    <w:rsid w:val="00245EB6"/>
    <w:rsid w:val="0024627C"/>
    <w:rsid w:val="002462A2"/>
    <w:rsid w:val="002468DF"/>
    <w:rsid w:val="0024691E"/>
    <w:rsid w:val="00246F4B"/>
    <w:rsid w:val="0024725C"/>
    <w:rsid w:val="00247300"/>
    <w:rsid w:val="00247690"/>
    <w:rsid w:val="00247CC8"/>
    <w:rsid w:val="0025036E"/>
    <w:rsid w:val="002503B2"/>
    <w:rsid w:val="00250B46"/>
    <w:rsid w:val="00250F05"/>
    <w:rsid w:val="00251086"/>
    <w:rsid w:val="00251D52"/>
    <w:rsid w:val="00251F24"/>
    <w:rsid w:val="00252524"/>
    <w:rsid w:val="00252A5D"/>
    <w:rsid w:val="00252AE1"/>
    <w:rsid w:val="00252CE1"/>
    <w:rsid w:val="00252E4D"/>
    <w:rsid w:val="00252FC4"/>
    <w:rsid w:val="0025312A"/>
    <w:rsid w:val="00253137"/>
    <w:rsid w:val="0025333C"/>
    <w:rsid w:val="00253C44"/>
    <w:rsid w:val="00253E13"/>
    <w:rsid w:val="002541B5"/>
    <w:rsid w:val="0025462A"/>
    <w:rsid w:val="00254839"/>
    <w:rsid w:val="002548CE"/>
    <w:rsid w:val="00254985"/>
    <w:rsid w:val="00254BAF"/>
    <w:rsid w:val="00254E44"/>
    <w:rsid w:val="00254EDB"/>
    <w:rsid w:val="002554D2"/>
    <w:rsid w:val="002555CD"/>
    <w:rsid w:val="002555E1"/>
    <w:rsid w:val="002557DC"/>
    <w:rsid w:val="00255CAE"/>
    <w:rsid w:val="00255CF7"/>
    <w:rsid w:val="0025617A"/>
    <w:rsid w:val="00256186"/>
    <w:rsid w:val="0025619F"/>
    <w:rsid w:val="00256E16"/>
    <w:rsid w:val="00257A67"/>
    <w:rsid w:val="00257B13"/>
    <w:rsid w:val="00257CD4"/>
    <w:rsid w:val="00257D2D"/>
    <w:rsid w:val="002600F1"/>
    <w:rsid w:val="0026012B"/>
    <w:rsid w:val="002604A9"/>
    <w:rsid w:val="002608F0"/>
    <w:rsid w:val="00261249"/>
    <w:rsid w:val="002613FC"/>
    <w:rsid w:val="002615CC"/>
    <w:rsid w:val="002615ED"/>
    <w:rsid w:val="00261711"/>
    <w:rsid w:val="00261821"/>
    <w:rsid w:val="00262012"/>
    <w:rsid w:val="00262224"/>
    <w:rsid w:val="0026227F"/>
    <w:rsid w:val="002622BE"/>
    <w:rsid w:val="00262390"/>
    <w:rsid w:val="002625FC"/>
    <w:rsid w:val="002627E6"/>
    <w:rsid w:val="00262BF0"/>
    <w:rsid w:val="00263520"/>
    <w:rsid w:val="002637E0"/>
    <w:rsid w:val="00263A60"/>
    <w:rsid w:val="00264442"/>
    <w:rsid w:val="002648EA"/>
    <w:rsid w:val="002648F4"/>
    <w:rsid w:val="00264F02"/>
    <w:rsid w:val="0026500F"/>
    <w:rsid w:val="0026511D"/>
    <w:rsid w:val="00265132"/>
    <w:rsid w:val="002652D6"/>
    <w:rsid w:val="002655E9"/>
    <w:rsid w:val="0026578C"/>
    <w:rsid w:val="00265B96"/>
    <w:rsid w:val="002660C7"/>
    <w:rsid w:val="002662BE"/>
    <w:rsid w:val="002662E0"/>
    <w:rsid w:val="00266550"/>
    <w:rsid w:val="002667D1"/>
    <w:rsid w:val="0026704E"/>
    <w:rsid w:val="00267114"/>
    <w:rsid w:val="00267462"/>
    <w:rsid w:val="002676AE"/>
    <w:rsid w:val="00270015"/>
    <w:rsid w:val="0027021C"/>
    <w:rsid w:val="00270455"/>
    <w:rsid w:val="00270475"/>
    <w:rsid w:val="002707D9"/>
    <w:rsid w:val="00270ACC"/>
    <w:rsid w:val="00270D1A"/>
    <w:rsid w:val="00270D74"/>
    <w:rsid w:val="00270E70"/>
    <w:rsid w:val="00271273"/>
    <w:rsid w:val="002716D3"/>
    <w:rsid w:val="002717C0"/>
    <w:rsid w:val="00271E99"/>
    <w:rsid w:val="0027224E"/>
    <w:rsid w:val="002722A6"/>
    <w:rsid w:val="0027280B"/>
    <w:rsid w:val="00272A6B"/>
    <w:rsid w:val="00272CD6"/>
    <w:rsid w:val="002732CF"/>
    <w:rsid w:val="00273490"/>
    <w:rsid w:val="002738EE"/>
    <w:rsid w:val="0027399C"/>
    <w:rsid w:val="002739B3"/>
    <w:rsid w:val="00273A6E"/>
    <w:rsid w:val="00273D77"/>
    <w:rsid w:val="00274156"/>
    <w:rsid w:val="00274304"/>
    <w:rsid w:val="00274468"/>
    <w:rsid w:val="00274492"/>
    <w:rsid w:val="00274786"/>
    <w:rsid w:val="002748B5"/>
    <w:rsid w:val="002749A1"/>
    <w:rsid w:val="00274F60"/>
    <w:rsid w:val="00274F83"/>
    <w:rsid w:val="00275039"/>
    <w:rsid w:val="002754C4"/>
    <w:rsid w:val="002755ED"/>
    <w:rsid w:val="002756B7"/>
    <w:rsid w:val="00275810"/>
    <w:rsid w:val="00275934"/>
    <w:rsid w:val="00275A5C"/>
    <w:rsid w:val="00275B34"/>
    <w:rsid w:val="00275D1D"/>
    <w:rsid w:val="00275D1E"/>
    <w:rsid w:val="00275D93"/>
    <w:rsid w:val="00276033"/>
    <w:rsid w:val="0027625A"/>
    <w:rsid w:val="00276B99"/>
    <w:rsid w:val="00276C7B"/>
    <w:rsid w:val="00277175"/>
    <w:rsid w:val="00277A7C"/>
    <w:rsid w:val="002800E4"/>
    <w:rsid w:val="002808D3"/>
    <w:rsid w:val="00280936"/>
    <w:rsid w:val="00280C2E"/>
    <w:rsid w:val="00280D14"/>
    <w:rsid w:val="00281036"/>
    <w:rsid w:val="00281178"/>
    <w:rsid w:val="00281229"/>
    <w:rsid w:val="002817B1"/>
    <w:rsid w:val="00281818"/>
    <w:rsid w:val="00281874"/>
    <w:rsid w:val="002818D6"/>
    <w:rsid w:val="00281B57"/>
    <w:rsid w:val="0028204A"/>
    <w:rsid w:val="002820D4"/>
    <w:rsid w:val="00282490"/>
    <w:rsid w:val="002824F4"/>
    <w:rsid w:val="00282B54"/>
    <w:rsid w:val="00282B9A"/>
    <w:rsid w:val="00283030"/>
    <w:rsid w:val="0028313F"/>
    <w:rsid w:val="0028370B"/>
    <w:rsid w:val="00283713"/>
    <w:rsid w:val="00283B60"/>
    <w:rsid w:val="00283D56"/>
    <w:rsid w:val="00283E98"/>
    <w:rsid w:val="00284130"/>
    <w:rsid w:val="002841EA"/>
    <w:rsid w:val="002843D5"/>
    <w:rsid w:val="002844F7"/>
    <w:rsid w:val="002848B1"/>
    <w:rsid w:val="002858E7"/>
    <w:rsid w:val="002859A3"/>
    <w:rsid w:val="00285C2E"/>
    <w:rsid w:val="00285D5F"/>
    <w:rsid w:val="00286298"/>
    <w:rsid w:val="00286345"/>
    <w:rsid w:val="0028649F"/>
    <w:rsid w:val="00286634"/>
    <w:rsid w:val="00286781"/>
    <w:rsid w:val="0028684F"/>
    <w:rsid w:val="0028691D"/>
    <w:rsid w:val="00286C18"/>
    <w:rsid w:val="00286D20"/>
    <w:rsid w:val="00286D8A"/>
    <w:rsid w:val="00286FFB"/>
    <w:rsid w:val="002870BF"/>
    <w:rsid w:val="002872DE"/>
    <w:rsid w:val="0028746B"/>
    <w:rsid w:val="002876AE"/>
    <w:rsid w:val="0028796C"/>
    <w:rsid w:val="00287981"/>
    <w:rsid w:val="00287B51"/>
    <w:rsid w:val="00287B62"/>
    <w:rsid w:val="00287EC0"/>
    <w:rsid w:val="0029076B"/>
    <w:rsid w:val="002907B6"/>
    <w:rsid w:val="0029104A"/>
    <w:rsid w:val="002910EF"/>
    <w:rsid w:val="00291142"/>
    <w:rsid w:val="002911F1"/>
    <w:rsid w:val="002915E9"/>
    <w:rsid w:val="00291F4F"/>
    <w:rsid w:val="00291FD4"/>
    <w:rsid w:val="0029213D"/>
    <w:rsid w:val="0029240E"/>
    <w:rsid w:val="00292780"/>
    <w:rsid w:val="002929BA"/>
    <w:rsid w:val="00292C1E"/>
    <w:rsid w:val="00292D15"/>
    <w:rsid w:val="00293091"/>
    <w:rsid w:val="002936D8"/>
    <w:rsid w:val="002937FD"/>
    <w:rsid w:val="00293AD8"/>
    <w:rsid w:val="00293E1A"/>
    <w:rsid w:val="0029407B"/>
    <w:rsid w:val="0029417F"/>
    <w:rsid w:val="002948FF"/>
    <w:rsid w:val="00294A97"/>
    <w:rsid w:val="00294D72"/>
    <w:rsid w:val="00294DE2"/>
    <w:rsid w:val="00294FB9"/>
    <w:rsid w:val="00295016"/>
    <w:rsid w:val="002952AF"/>
    <w:rsid w:val="002954E5"/>
    <w:rsid w:val="002954FE"/>
    <w:rsid w:val="002959DC"/>
    <w:rsid w:val="00296489"/>
    <w:rsid w:val="00296B96"/>
    <w:rsid w:val="00296D2E"/>
    <w:rsid w:val="00296E5C"/>
    <w:rsid w:val="00296F4F"/>
    <w:rsid w:val="00296F51"/>
    <w:rsid w:val="00297A49"/>
    <w:rsid w:val="00297B3B"/>
    <w:rsid w:val="00297E9C"/>
    <w:rsid w:val="002A01C4"/>
    <w:rsid w:val="002A01CC"/>
    <w:rsid w:val="002A02E8"/>
    <w:rsid w:val="002A0498"/>
    <w:rsid w:val="002A0890"/>
    <w:rsid w:val="002A0904"/>
    <w:rsid w:val="002A0E2F"/>
    <w:rsid w:val="002A17FD"/>
    <w:rsid w:val="002A19FB"/>
    <w:rsid w:val="002A1F04"/>
    <w:rsid w:val="002A1FB7"/>
    <w:rsid w:val="002A2011"/>
    <w:rsid w:val="002A2027"/>
    <w:rsid w:val="002A24AC"/>
    <w:rsid w:val="002A25C2"/>
    <w:rsid w:val="002A266C"/>
    <w:rsid w:val="002A279C"/>
    <w:rsid w:val="002A2F6D"/>
    <w:rsid w:val="002A3286"/>
    <w:rsid w:val="002A353B"/>
    <w:rsid w:val="002A3C33"/>
    <w:rsid w:val="002A4057"/>
    <w:rsid w:val="002A435B"/>
    <w:rsid w:val="002A482D"/>
    <w:rsid w:val="002A4928"/>
    <w:rsid w:val="002A4B6E"/>
    <w:rsid w:val="002A4BE7"/>
    <w:rsid w:val="002A4CED"/>
    <w:rsid w:val="002A4EE0"/>
    <w:rsid w:val="002A4F48"/>
    <w:rsid w:val="002A52A6"/>
    <w:rsid w:val="002A52F0"/>
    <w:rsid w:val="002A5357"/>
    <w:rsid w:val="002A5B87"/>
    <w:rsid w:val="002A5BF6"/>
    <w:rsid w:val="002A5F2E"/>
    <w:rsid w:val="002A63C8"/>
    <w:rsid w:val="002A68FA"/>
    <w:rsid w:val="002A6978"/>
    <w:rsid w:val="002A7084"/>
    <w:rsid w:val="002A72FA"/>
    <w:rsid w:val="002A74F3"/>
    <w:rsid w:val="002A7615"/>
    <w:rsid w:val="002A77C6"/>
    <w:rsid w:val="002A79F5"/>
    <w:rsid w:val="002A7DEE"/>
    <w:rsid w:val="002A7E5E"/>
    <w:rsid w:val="002A7EC1"/>
    <w:rsid w:val="002B04A6"/>
    <w:rsid w:val="002B052B"/>
    <w:rsid w:val="002B06BB"/>
    <w:rsid w:val="002B091B"/>
    <w:rsid w:val="002B094D"/>
    <w:rsid w:val="002B0969"/>
    <w:rsid w:val="002B0D6E"/>
    <w:rsid w:val="002B1025"/>
    <w:rsid w:val="002B1F48"/>
    <w:rsid w:val="002B20D6"/>
    <w:rsid w:val="002B22D1"/>
    <w:rsid w:val="002B29AE"/>
    <w:rsid w:val="002B338D"/>
    <w:rsid w:val="002B371E"/>
    <w:rsid w:val="002B3AC3"/>
    <w:rsid w:val="002B41D1"/>
    <w:rsid w:val="002B41ED"/>
    <w:rsid w:val="002B4393"/>
    <w:rsid w:val="002B4970"/>
    <w:rsid w:val="002B4A00"/>
    <w:rsid w:val="002B4BEF"/>
    <w:rsid w:val="002B4D48"/>
    <w:rsid w:val="002B4E98"/>
    <w:rsid w:val="002B506E"/>
    <w:rsid w:val="002B5124"/>
    <w:rsid w:val="002B522C"/>
    <w:rsid w:val="002B5A1B"/>
    <w:rsid w:val="002B5DDC"/>
    <w:rsid w:val="002B646B"/>
    <w:rsid w:val="002B676C"/>
    <w:rsid w:val="002B696C"/>
    <w:rsid w:val="002B7102"/>
    <w:rsid w:val="002B71AD"/>
    <w:rsid w:val="002B773E"/>
    <w:rsid w:val="002B775B"/>
    <w:rsid w:val="002B7A3C"/>
    <w:rsid w:val="002B7D25"/>
    <w:rsid w:val="002C0003"/>
    <w:rsid w:val="002C02FA"/>
    <w:rsid w:val="002C0380"/>
    <w:rsid w:val="002C04CB"/>
    <w:rsid w:val="002C0537"/>
    <w:rsid w:val="002C05A6"/>
    <w:rsid w:val="002C0970"/>
    <w:rsid w:val="002C0EB5"/>
    <w:rsid w:val="002C1516"/>
    <w:rsid w:val="002C1E9C"/>
    <w:rsid w:val="002C2083"/>
    <w:rsid w:val="002C247E"/>
    <w:rsid w:val="002C256C"/>
    <w:rsid w:val="002C26B9"/>
    <w:rsid w:val="002C2870"/>
    <w:rsid w:val="002C28E8"/>
    <w:rsid w:val="002C2A97"/>
    <w:rsid w:val="002C2C8E"/>
    <w:rsid w:val="002C2D55"/>
    <w:rsid w:val="002C2D6B"/>
    <w:rsid w:val="002C2D8A"/>
    <w:rsid w:val="002C2EAA"/>
    <w:rsid w:val="002C31EE"/>
    <w:rsid w:val="002C32EE"/>
    <w:rsid w:val="002C33E9"/>
    <w:rsid w:val="002C3496"/>
    <w:rsid w:val="002C3678"/>
    <w:rsid w:val="002C3C10"/>
    <w:rsid w:val="002C3F0A"/>
    <w:rsid w:val="002C423D"/>
    <w:rsid w:val="002C462C"/>
    <w:rsid w:val="002C4776"/>
    <w:rsid w:val="002C4A31"/>
    <w:rsid w:val="002C54E8"/>
    <w:rsid w:val="002C571A"/>
    <w:rsid w:val="002C583F"/>
    <w:rsid w:val="002C59F4"/>
    <w:rsid w:val="002C5AF9"/>
    <w:rsid w:val="002C63E9"/>
    <w:rsid w:val="002C648B"/>
    <w:rsid w:val="002C65F9"/>
    <w:rsid w:val="002C6779"/>
    <w:rsid w:val="002C6794"/>
    <w:rsid w:val="002C67EF"/>
    <w:rsid w:val="002C691D"/>
    <w:rsid w:val="002C7ADA"/>
    <w:rsid w:val="002C7C00"/>
    <w:rsid w:val="002D0212"/>
    <w:rsid w:val="002D026F"/>
    <w:rsid w:val="002D02CC"/>
    <w:rsid w:val="002D03FD"/>
    <w:rsid w:val="002D0429"/>
    <w:rsid w:val="002D043C"/>
    <w:rsid w:val="002D07BA"/>
    <w:rsid w:val="002D0CF0"/>
    <w:rsid w:val="002D110E"/>
    <w:rsid w:val="002D1235"/>
    <w:rsid w:val="002D1314"/>
    <w:rsid w:val="002D18E3"/>
    <w:rsid w:val="002D1AC2"/>
    <w:rsid w:val="002D1B7E"/>
    <w:rsid w:val="002D2394"/>
    <w:rsid w:val="002D2DC7"/>
    <w:rsid w:val="002D2E5B"/>
    <w:rsid w:val="002D3661"/>
    <w:rsid w:val="002D369C"/>
    <w:rsid w:val="002D3724"/>
    <w:rsid w:val="002D37FC"/>
    <w:rsid w:val="002D3B2F"/>
    <w:rsid w:val="002D3D4F"/>
    <w:rsid w:val="002D4016"/>
    <w:rsid w:val="002D402D"/>
    <w:rsid w:val="002D4CA4"/>
    <w:rsid w:val="002D4FAE"/>
    <w:rsid w:val="002D51DE"/>
    <w:rsid w:val="002D5237"/>
    <w:rsid w:val="002D5443"/>
    <w:rsid w:val="002D573E"/>
    <w:rsid w:val="002D5796"/>
    <w:rsid w:val="002D5DD3"/>
    <w:rsid w:val="002D6053"/>
    <w:rsid w:val="002D641F"/>
    <w:rsid w:val="002D64EB"/>
    <w:rsid w:val="002D666C"/>
    <w:rsid w:val="002D6679"/>
    <w:rsid w:val="002D690E"/>
    <w:rsid w:val="002D6A5B"/>
    <w:rsid w:val="002D6BEB"/>
    <w:rsid w:val="002D74C4"/>
    <w:rsid w:val="002D74E8"/>
    <w:rsid w:val="002D7589"/>
    <w:rsid w:val="002D7595"/>
    <w:rsid w:val="002E005A"/>
    <w:rsid w:val="002E0532"/>
    <w:rsid w:val="002E07B7"/>
    <w:rsid w:val="002E085D"/>
    <w:rsid w:val="002E0C81"/>
    <w:rsid w:val="002E0CD9"/>
    <w:rsid w:val="002E0EDD"/>
    <w:rsid w:val="002E1069"/>
    <w:rsid w:val="002E1173"/>
    <w:rsid w:val="002E16ED"/>
    <w:rsid w:val="002E1733"/>
    <w:rsid w:val="002E1912"/>
    <w:rsid w:val="002E1C4A"/>
    <w:rsid w:val="002E1FF7"/>
    <w:rsid w:val="002E223A"/>
    <w:rsid w:val="002E2297"/>
    <w:rsid w:val="002E22A6"/>
    <w:rsid w:val="002E23CC"/>
    <w:rsid w:val="002E24D1"/>
    <w:rsid w:val="002E2AB6"/>
    <w:rsid w:val="002E31FA"/>
    <w:rsid w:val="002E3465"/>
    <w:rsid w:val="002E3889"/>
    <w:rsid w:val="002E4167"/>
    <w:rsid w:val="002E447F"/>
    <w:rsid w:val="002E46F6"/>
    <w:rsid w:val="002E4FA5"/>
    <w:rsid w:val="002E4FF1"/>
    <w:rsid w:val="002E518B"/>
    <w:rsid w:val="002E51A8"/>
    <w:rsid w:val="002E5276"/>
    <w:rsid w:val="002E5BED"/>
    <w:rsid w:val="002E5C66"/>
    <w:rsid w:val="002E5E26"/>
    <w:rsid w:val="002E65BF"/>
    <w:rsid w:val="002E675E"/>
    <w:rsid w:val="002E67C6"/>
    <w:rsid w:val="002E69B6"/>
    <w:rsid w:val="002E6A45"/>
    <w:rsid w:val="002E7106"/>
    <w:rsid w:val="002E7190"/>
    <w:rsid w:val="002E7272"/>
    <w:rsid w:val="002E7341"/>
    <w:rsid w:val="002E7479"/>
    <w:rsid w:val="002E75B9"/>
    <w:rsid w:val="002E76CF"/>
    <w:rsid w:val="002E7C5B"/>
    <w:rsid w:val="002F000D"/>
    <w:rsid w:val="002F0352"/>
    <w:rsid w:val="002F07E0"/>
    <w:rsid w:val="002F0ECD"/>
    <w:rsid w:val="002F0F1B"/>
    <w:rsid w:val="002F0F96"/>
    <w:rsid w:val="002F11B8"/>
    <w:rsid w:val="002F1545"/>
    <w:rsid w:val="002F179C"/>
    <w:rsid w:val="002F1B45"/>
    <w:rsid w:val="002F1CA2"/>
    <w:rsid w:val="002F1D62"/>
    <w:rsid w:val="002F2665"/>
    <w:rsid w:val="002F273B"/>
    <w:rsid w:val="002F2C6A"/>
    <w:rsid w:val="002F2D4F"/>
    <w:rsid w:val="002F2D97"/>
    <w:rsid w:val="002F3160"/>
    <w:rsid w:val="002F33D7"/>
    <w:rsid w:val="002F342B"/>
    <w:rsid w:val="002F34C4"/>
    <w:rsid w:val="002F3911"/>
    <w:rsid w:val="002F3943"/>
    <w:rsid w:val="002F3DD5"/>
    <w:rsid w:val="002F3F01"/>
    <w:rsid w:val="002F42C6"/>
    <w:rsid w:val="002F45B1"/>
    <w:rsid w:val="002F4813"/>
    <w:rsid w:val="002F4CDC"/>
    <w:rsid w:val="002F51AB"/>
    <w:rsid w:val="002F54CE"/>
    <w:rsid w:val="002F55B3"/>
    <w:rsid w:val="002F5A30"/>
    <w:rsid w:val="002F61CA"/>
    <w:rsid w:val="002F6AD3"/>
    <w:rsid w:val="002F72F3"/>
    <w:rsid w:val="002F738F"/>
    <w:rsid w:val="002F7440"/>
    <w:rsid w:val="002F7872"/>
    <w:rsid w:val="002F7A48"/>
    <w:rsid w:val="002F7AD1"/>
    <w:rsid w:val="002F7C39"/>
    <w:rsid w:val="002F7DBA"/>
    <w:rsid w:val="003004AC"/>
    <w:rsid w:val="00300651"/>
    <w:rsid w:val="0030081B"/>
    <w:rsid w:val="003009C8"/>
    <w:rsid w:val="00300BD4"/>
    <w:rsid w:val="00300D96"/>
    <w:rsid w:val="003011C0"/>
    <w:rsid w:val="00301211"/>
    <w:rsid w:val="00301229"/>
    <w:rsid w:val="003016E5"/>
    <w:rsid w:val="003017B6"/>
    <w:rsid w:val="003017FE"/>
    <w:rsid w:val="003017FF"/>
    <w:rsid w:val="00301939"/>
    <w:rsid w:val="00301B9B"/>
    <w:rsid w:val="00301C82"/>
    <w:rsid w:val="00301CDC"/>
    <w:rsid w:val="00301CF8"/>
    <w:rsid w:val="00301DC7"/>
    <w:rsid w:val="00301E2D"/>
    <w:rsid w:val="003021EA"/>
    <w:rsid w:val="00302AB5"/>
    <w:rsid w:val="00302DBE"/>
    <w:rsid w:val="00303447"/>
    <w:rsid w:val="00303454"/>
    <w:rsid w:val="003036E5"/>
    <w:rsid w:val="00303D44"/>
    <w:rsid w:val="00303D80"/>
    <w:rsid w:val="00303F9A"/>
    <w:rsid w:val="003042C1"/>
    <w:rsid w:val="0030496B"/>
    <w:rsid w:val="00304C0F"/>
    <w:rsid w:val="00305608"/>
    <w:rsid w:val="00305668"/>
    <w:rsid w:val="00305706"/>
    <w:rsid w:val="00305C0F"/>
    <w:rsid w:val="00305F53"/>
    <w:rsid w:val="0030603F"/>
    <w:rsid w:val="00306209"/>
    <w:rsid w:val="00306393"/>
    <w:rsid w:val="0030660F"/>
    <w:rsid w:val="0030698C"/>
    <w:rsid w:val="0030755F"/>
    <w:rsid w:val="00307830"/>
    <w:rsid w:val="00307AC0"/>
    <w:rsid w:val="00307AF4"/>
    <w:rsid w:val="00307CEF"/>
    <w:rsid w:val="00307F04"/>
    <w:rsid w:val="00310294"/>
    <w:rsid w:val="0031040B"/>
    <w:rsid w:val="0031068A"/>
    <w:rsid w:val="0031106A"/>
    <w:rsid w:val="0031141F"/>
    <w:rsid w:val="00311AE2"/>
    <w:rsid w:val="00311B97"/>
    <w:rsid w:val="00311E42"/>
    <w:rsid w:val="0031232D"/>
    <w:rsid w:val="003124AA"/>
    <w:rsid w:val="003126DA"/>
    <w:rsid w:val="00312D1D"/>
    <w:rsid w:val="00312EED"/>
    <w:rsid w:val="003131DD"/>
    <w:rsid w:val="003131EE"/>
    <w:rsid w:val="003132AF"/>
    <w:rsid w:val="0031452B"/>
    <w:rsid w:val="003148D6"/>
    <w:rsid w:val="00314F8E"/>
    <w:rsid w:val="0031520C"/>
    <w:rsid w:val="003154F5"/>
    <w:rsid w:val="0031585F"/>
    <w:rsid w:val="003158B6"/>
    <w:rsid w:val="00315B56"/>
    <w:rsid w:val="00315BA2"/>
    <w:rsid w:val="00315DB0"/>
    <w:rsid w:val="00315EA7"/>
    <w:rsid w:val="0031601F"/>
    <w:rsid w:val="00316492"/>
    <w:rsid w:val="00316DB8"/>
    <w:rsid w:val="00316E60"/>
    <w:rsid w:val="00316EC3"/>
    <w:rsid w:val="00316F33"/>
    <w:rsid w:val="00316F6E"/>
    <w:rsid w:val="0031781D"/>
    <w:rsid w:val="00317A88"/>
    <w:rsid w:val="00317B96"/>
    <w:rsid w:val="00317BF8"/>
    <w:rsid w:val="00317C81"/>
    <w:rsid w:val="00317E2B"/>
    <w:rsid w:val="00317F9C"/>
    <w:rsid w:val="00317FEF"/>
    <w:rsid w:val="003204A9"/>
    <w:rsid w:val="00320789"/>
    <w:rsid w:val="00320800"/>
    <w:rsid w:val="00320A32"/>
    <w:rsid w:val="00320B14"/>
    <w:rsid w:val="00321561"/>
    <w:rsid w:val="00321682"/>
    <w:rsid w:val="0032168A"/>
    <w:rsid w:val="003216AB"/>
    <w:rsid w:val="00321803"/>
    <w:rsid w:val="00321B71"/>
    <w:rsid w:val="00321E0C"/>
    <w:rsid w:val="00321F49"/>
    <w:rsid w:val="00321F6A"/>
    <w:rsid w:val="003220D3"/>
    <w:rsid w:val="003220E6"/>
    <w:rsid w:val="003222F6"/>
    <w:rsid w:val="00322795"/>
    <w:rsid w:val="0032289E"/>
    <w:rsid w:val="003228F8"/>
    <w:rsid w:val="00322B23"/>
    <w:rsid w:val="00322C86"/>
    <w:rsid w:val="00322E06"/>
    <w:rsid w:val="00323345"/>
    <w:rsid w:val="00323495"/>
    <w:rsid w:val="00323AC2"/>
    <w:rsid w:val="00323C35"/>
    <w:rsid w:val="00324488"/>
    <w:rsid w:val="003246BC"/>
    <w:rsid w:val="00324915"/>
    <w:rsid w:val="00324DD1"/>
    <w:rsid w:val="00324FDB"/>
    <w:rsid w:val="00325522"/>
    <w:rsid w:val="003255D9"/>
    <w:rsid w:val="003256C5"/>
    <w:rsid w:val="0032583A"/>
    <w:rsid w:val="00325C6B"/>
    <w:rsid w:val="00325CC3"/>
    <w:rsid w:val="00326270"/>
    <w:rsid w:val="003263D2"/>
    <w:rsid w:val="00326483"/>
    <w:rsid w:val="003265DC"/>
    <w:rsid w:val="003265E0"/>
    <w:rsid w:val="003267C6"/>
    <w:rsid w:val="003267F0"/>
    <w:rsid w:val="00326C4F"/>
    <w:rsid w:val="00327B2A"/>
    <w:rsid w:val="00327DAD"/>
    <w:rsid w:val="0033141D"/>
    <w:rsid w:val="003315CF"/>
    <w:rsid w:val="00331734"/>
    <w:rsid w:val="00331750"/>
    <w:rsid w:val="00331974"/>
    <w:rsid w:val="00331A47"/>
    <w:rsid w:val="00331AD9"/>
    <w:rsid w:val="003321DD"/>
    <w:rsid w:val="0033230C"/>
    <w:rsid w:val="00332791"/>
    <w:rsid w:val="00332A31"/>
    <w:rsid w:val="0033319A"/>
    <w:rsid w:val="003335C8"/>
    <w:rsid w:val="003335E6"/>
    <w:rsid w:val="0033407B"/>
    <w:rsid w:val="003343A4"/>
    <w:rsid w:val="0033482F"/>
    <w:rsid w:val="00334AF8"/>
    <w:rsid w:val="00334B3C"/>
    <w:rsid w:val="00334D92"/>
    <w:rsid w:val="00335670"/>
    <w:rsid w:val="0033595E"/>
    <w:rsid w:val="00335BB0"/>
    <w:rsid w:val="00335BDF"/>
    <w:rsid w:val="00336105"/>
    <w:rsid w:val="0033626B"/>
    <w:rsid w:val="003365D0"/>
    <w:rsid w:val="003366DD"/>
    <w:rsid w:val="00336712"/>
    <w:rsid w:val="00336823"/>
    <w:rsid w:val="00336BEF"/>
    <w:rsid w:val="00337008"/>
    <w:rsid w:val="003374B4"/>
    <w:rsid w:val="0033784F"/>
    <w:rsid w:val="00337D78"/>
    <w:rsid w:val="00337ED2"/>
    <w:rsid w:val="00340092"/>
    <w:rsid w:val="00340180"/>
    <w:rsid w:val="00340317"/>
    <w:rsid w:val="0034067C"/>
    <w:rsid w:val="003408D5"/>
    <w:rsid w:val="003409A4"/>
    <w:rsid w:val="00340D34"/>
    <w:rsid w:val="00340F98"/>
    <w:rsid w:val="0034152E"/>
    <w:rsid w:val="0034167F"/>
    <w:rsid w:val="00341DBB"/>
    <w:rsid w:val="003420DF"/>
    <w:rsid w:val="00342212"/>
    <w:rsid w:val="00342AF0"/>
    <w:rsid w:val="00342F30"/>
    <w:rsid w:val="00343238"/>
    <w:rsid w:val="00343CC1"/>
    <w:rsid w:val="00343D68"/>
    <w:rsid w:val="00343EC9"/>
    <w:rsid w:val="003441E5"/>
    <w:rsid w:val="0034428D"/>
    <w:rsid w:val="0034436E"/>
    <w:rsid w:val="00344AB6"/>
    <w:rsid w:val="003452A6"/>
    <w:rsid w:val="003453AE"/>
    <w:rsid w:val="00345AE2"/>
    <w:rsid w:val="00345B6F"/>
    <w:rsid w:val="00345D14"/>
    <w:rsid w:val="00345EDC"/>
    <w:rsid w:val="00345EF1"/>
    <w:rsid w:val="00346210"/>
    <w:rsid w:val="0034656D"/>
    <w:rsid w:val="00346943"/>
    <w:rsid w:val="0034695E"/>
    <w:rsid w:val="00346C71"/>
    <w:rsid w:val="00346CAE"/>
    <w:rsid w:val="00346D3E"/>
    <w:rsid w:val="00346EE5"/>
    <w:rsid w:val="003472E1"/>
    <w:rsid w:val="00347392"/>
    <w:rsid w:val="00347512"/>
    <w:rsid w:val="00347615"/>
    <w:rsid w:val="003476E2"/>
    <w:rsid w:val="00347B27"/>
    <w:rsid w:val="00350165"/>
    <w:rsid w:val="003506D4"/>
    <w:rsid w:val="0035071A"/>
    <w:rsid w:val="00350C67"/>
    <w:rsid w:val="0035157D"/>
    <w:rsid w:val="003515B9"/>
    <w:rsid w:val="00351A01"/>
    <w:rsid w:val="0035223E"/>
    <w:rsid w:val="00352303"/>
    <w:rsid w:val="0035251F"/>
    <w:rsid w:val="00352544"/>
    <w:rsid w:val="003525B2"/>
    <w:rsid w:val="00352907"/>
    <w:rsid w:val="00352969"/>
    <w:rsid w:val="00352B11"/>
    <w:rsid w:val="00352B3B"/>
    <w:rsid w:val="00352C93"/>
    <w:rsid w:val="00352CEB"/>
    <w:rsid w:val="00352EFA"/>
    <w:rsid w:val="00352F5A"/>
    <w:rsid w:val="003532FC"/>
    <w:rsid w:val="00353478"/>
    <w:rsid w:val="003537D9"/>
    <w:rsid w:val="00353AEF"/>
    <w:rsid w:val="00353B14"/>
    <w:rsid w:val="00353D64"/>
    <w:rsid w:val="00353DE5"/>
    <w:rsid w:val="00353EEB"/>
    <w:rsid w:val="00353EF8"/>
    <w:rsid w:val="0035467A"/>
    <w:rsid w:val="00354754"/>
    <w:rsid w:val="00354F65"/>
    <w:rsid w:val="003558B1"/>
    <w:rsid w:val="003560CE"/>
    <w:rsid w:val="003566C7"/>
    <w:rsid w:val="00356787"/>
    <w:rsid w:val="00356B26"/>
    <w:rsid w:val="00356C9A"/>
    <w:rsid w:val="00356CDB"/>
    <w:rsid w:val="00356E9E"/>
    <w:rsid w:val="00356F96"/>
    <w:rsid w:val="0035732A"/>
    <w:rsid w:val="003575DD"/>
    <w:rsid w:val="00357963"/>
    <w:rsid w:val="00357E49"/>
    <w:rsid w:val="00357E6A"/>
    <w:rsid w:val="0036049D"/>
    <w:rsid w:val="003607C5"/>
    <w:rsid w:val="00360A41"/>
    <w:rsid w:val="00360EBC"/>
    <w:rsid w:val="00361283"/>
    <w:rsid w:val="00361356"/>
    <w:rsid w:val="00361573"/>
    <w:rsid w:val="003616C4"/>
    <w:rsid w:val="003618C9"/>
    <w:rsid w:val="00361A02"/>
    <w:rsid w:val="00361B43"/>
    <w:rsid w:val="00361B82"/>
    <w:rsid w:val="00361BF1"/>
    <w:rsid w:val="00361C13"/>
    <w:rsid w:val="00361E80"/>
    <w:rsid w:val="00361F13"/>
    <w:rsid w:val="003620D4"/>
    <w:rsid w:val="0036236C"/>
    <w:rsid w:val="003623F1"/>
    <w:rsid w:val="003624EC"/>
    <w:rsid w:val="00362C61"/>
    <w:rsid w:val="00362E61"/>
    <w:rsid w:val="00363972"/>
    <w:rsid w:val="00363C91"/>
    <w:rsid w:val="00364335"/>
    <w:rsid w:val="003647A1"/>
    <w:rsid w:val="00364BAC"/>
    <w:rsid w:val="00365269"/>
    <w:rsid w:val="0036541C"/>
    <w:rsid w:val="0036566F"/>
    <w:rsid w:val="00365EE6"/>
    <w:rsid w:val="00366302"/>
    <w:rsid w:val="0036650E"/>
    <w:rsid w:val="003666B8"/>
    <w:rsid w:val="003667A6"/>
    <w:rsid w:val="0036688D"/>
    <w:rsid w:val="0036692F"/>
    <w:rsid w:val="00366960"/>
    <w:rsid w:val="00366BA4"/>
    <w:rsid w:val="00366C31"/>
    <w:rsid w:val="00366CB1"/>
    <w:rsid w:val="003670C0"/>
    <w:rsid w:val="00367123"/>
    <w:rsid w:val="00367350"/>
    <w:rsid w:val="00367ACF"/>
    <w:rsid w:val="00367DC7"/>
    <w:rsid w:val="00370499"/>
    <w:rsid w:val="00370590"/>
    <w:rsid w:val="00370AB6"/>
    <w:rsid w:val="00370E81"/>
    <w:rsid w:val="003710D1"/>
    <w:rsid w:val="003713F6"/>
    <w:rsid w:val="003714A7"/>
    <w:rsid w:val="0037171C"/>
    <w:rsid w:val="003717DA"/>
    <w:rsid w:val="00371837"/>
    <w:rsid w:val="00371BF1"/>
    <w:rsid w:val="00371D2D"/>
    <w:rsid w:val="0037239A"/>
    <w:rsid w:val="00372759"/>
    <w:rsid w:val="00372803"/>
    <w:rsid w:val="00372908"/>
    <w:rsid w:val="00372A1E"/>
    <w:rsid w:val="00372C10"/>
    <w:rsid w:val="00372D17"/>
    <w:rsid w:val="00372F42"/>
    <w:rsid w:val="003730E2"/>
    <w:rsid w:val="00373191"/>
    <w:rsid w:val="00373279"/>
    <w:rsid w:val="003736AC"/>
    <w:rsid w:val="003736B3"/>
    <w:rsid w:val="003736D2"/>
    <w:rsid w:val="0037389E"/>
    <w:rsid w:val="00373BD4"/>
    <w:rsid w:val="00373D1A"/>
    <w:rsid w:val="00373D9A"/>
    <w:rsid w:val="00373DDA"/>
    <w:rsid w:val="00374141"/>
    <w:rsid w:val="00374285"/>
    <w:rsid w:val="00374ADF"/>
    <w:rsid w:val="00374C58"/>
    <w:rsid w:val="00374C60"/>
    <w:rsid w:val="00374F8D"/>
    <w:rsid w:val="00375186"/>
    <w:rsid w:val="00375265"/>
    <w:rsid w:val="0037539A"/>
    <w:rsid w:val="00375430"/>
    <w:rsid w:val="00375929"/>
    <w:rsid w:val="00375E24"/>
    <w:rsid w:val="003761C1"/>
    <w:rsid w:val="00376364"/>
    <w:rsid w:val="0037644A"/>
    <w:rsid w:val="00376774"/>
    <w:rsid w:val="00376791"/>
    <w:rsid w:val="0037679C"/>
    <w:rsid w:val="00376822"/>
    <w:rsid w:val="003768C1"/>
    <w:rsid w:val="00376AFA"/>
    <w:rsid w:val="00377139"/>
    <w:rsid w:val="00377564"/>
    <w:rsid w:val="00377600"/>
    <w:rsid w:val="003776C4"/>
    <w:rsid w:val="0037775E"/>
    <w:rsid w:val="003777E2"/>
    <w:rsid w:val="00377A33"/>
    <w:rsid w:val="0038028D"/>
    <w:rsid w:val="00380376"/>
    <w:rsid w:val="00380378"/>
    <w:rsid w:val="00380A9B"/>
    <w:rsid w:val="00380F8D"/>
    <w:rsid w:val="00381065"/>
    <w:rsid w:val="00381541"/>
    <w:rsid w:val="003818EE"/>
    <w:rsid w:val="00381C89"/>
    <w:rsid w:val="00381CE1"/>
    <w:rsid w:val="00381E9B"/>
    <w:rsid w:val="003822A4"/>
    <w:rsid w:val="00382472"/>
    <w:rsid w:val="00382566"/>
    <w:rsid w:val="00382752"/>
    <w:rsid w:val="00382F1D"/>
    <w:rsid w:val="0038384B"/>
    <w:rsid w:val="00383C15"/>
    <w:rsid w:val="00383D91"/>
    <w:rsid w:val="00383DEB"/>
    <w:rsid w:val="00383E83"/>
    <w:rsid w:val="00383EB0"/>
    <w:rsid w:val="00383F7D"/>
    <w:rsid w:val="00384A12"/>
    <w:rsid w:val="00384A56"/>
    <w:rsid w:val="00384FE5"/>
    <w:rsid w:val="003851CC"/>
    <w:rsid w:val="003851E0"/>
    <w:rsid w:val="003854D1"/>
    <w:rsid w:val="00385784"/>
    <w:rsid w:val="00385BCE"/>
    <w:rsid w:val="00385F49"/>
    <w:rsid w:val="0038632E"/>
    <w:rsid w:val="003866DE"/>
    <w:rsid w:val="0038672B"/>
    <w:rsid w:val="00386753"/>
    <w:rsid w:val="003869E2"/>
    <w:rsid w:val="00386A19"/>
    <w:rsid w:val="00386B90"/>
    <w:rsid w:val="00386D56"/>
    <w:rsid w:val="00386DFF"/>
    <w:rsid w:val="00386EE0"/>
    <w:rsid w:val="00386FE2"/>
    <w:rsid w:val="00387046"/>
    <w:rsid w:val="00387182"/>
    <w:rsid w:val="00387F1B"/>
    <w:rsid w:val="00390164"/>
    <w:rsid w:val="00390516"/>
    <w:rsid w:val="003908B1"/>
    <w:rsid w:val="003908C3"/>
    <w:rsid w:val="00390C34"/>
    <w:rsid w:val="00390CA3"/>
    <w:rsid w:val="00391813"/>
    <w:rsid w:val="003919FE"/>
    <w:rsid w:val="00391A98"/>
    <w:rsid w:val="00391BF6"/>
    <w:rsid w:val="00391BFF"/>
    <w:rsid w:val="00391C9C"/>
    <w:rsid w:val="00391E81"/>
    <w:rsid w:val="003925B5"/>
    <w:rsid w:val="00392956"/>
    <w:rsid w:val="00392CC5"/>
    <w:rsid w:val="003933AD"/>
    <w:rsid w:val="003934CE"/>
    <w:rsid w:val="003937B4"/>
    <w:rsid w:val="003937D9"/>
    <w:rsid w:val="003939E8"/>
    <w:rsid w:val="00393E14"/>
    <w:rsid w:val="00393E5B"/>
    <w:rsid w:val="00393F2F"/>
    <w:rsid w:val="003945B5"/>
    <w:rsid w:val="0039470E"/>
    <w:rsid w:val="00394C08"/>
    <w:rsid w:val="00394C33"/>
    <w:rsid w:val="00394EEC"/>
    <w:rsid w:val="0039503F"/>
    <w:rsid w:val="003951AA"/>
    <w:rsid w:val="00395331"/>
    <w:rsid w:val="00395339"/>
    <w:rsid w:val="00395831"/>
    <w:rsid w:val="00395C53"/>
    <w:rsid w:val="00395CCA"/>
    <w:rsid w:val="00395EE2"/>
    <w:rsid w:val="003964F7"/>
    <w:rsid w:val="00396714"/>
    <w:rsid w:val="00396C53"/>
    <w:rsid w:val="00396D08"/>
    <w:rsid w:val="00396DAD"/>
    <w:rsid w:val="003972AC"/>
    <w:rsid w:val="00397398"/>
    <w:rsid w:val="0039756F"/>
    <w:rsid w:val="00397AB3"/>
    <w:rsid w:val="00397B33"/>
    <w:rsid w:val="00397B47"/>
    <w:rsid w:val="00397F75"/>
    <w:rsid w:val="003A06EA"/>
    <w:rsid w:val="003A0E65"/>
    <w:rsid w:val="003A1114"/>
    <w:rsid w:val="003A1662"/>
    <w:rsid w:val="003A1A0C"/>
    <w:rsid w:val="003A1DF4"/>
    <w:rsid w:val="003A1F8B"/>
    <w:rsid w:val="003A2401"/>
    <w:rsid w:val="003A27D9"/>
    <w:rsid w:val="003A27F8"/>
    <w:rsid w:val="003A2BAF"/>
    <w:rsid w:val="003A2E16"/>
    <w:rsid w:val="003A2F1E"/>
    <w:rsid w:val="003A3062"/>
    <w:rsid w:val="003A3847"/>
    <w:rsid w:val="003A387A"/>
    <w:rsid w:val="003A3B1D"/>
    <w:rsid w:val="003A4035"/>
    <w:rsid w:val="003A4315"/>
    <w:rsid w:val="003A4320"/>
    <w:rsid w:val="003A4753"/>
    <w:rsid w:val="003A4F2F"/>
    <w:rsid w:val="003A4FFB"/>
    <w:rsid w:val="003A5289"/>
    <w:rsid w:val="003A54C4"/>
    <w:rsid w:val="003A565C"/>
    <w:rsid w:val="003A56C0"/>
    <w:rsid w:val="003A5769"/>
    <w:rsid w:val="003A592D"/>
    <w:rsid w:val="003A59B3"/>
    <w:rsid w:val="003A5C6C"/>
    <w:rsid w:val="003A5D1A"/>
    <w:rsid w:val="003A63C6"/>
    <w:rsid w:val="003A66F4"/>
    <w:rsid w:val="003A6754"/>
    <w:rsid w:val="003A6953"/>
    <w:rsid w:val="003A69E7"/>
    <w:rsid w:val="003A6E99"/>
    <w:rsid w:val="003A70CF"/>
    <w:rsid w:val="003A7239"/>
    <w:rsid w:val="003A7463"/>
    <w:rsid w:val="003A7718"/>
    <w:rsid w:val="003A7C8C"/>
    <w:rsid w:val="003A7EF9"/>
    <w:rsid w:val="003A7F70"/>
    <w:rsid w:val="003B00CA"/>
    <w:rsid w:val="003B013B"/>
    <w:rsid w:val="003B05CD"/>
    <w:rsid w:val="003B07CF"/>
    <w:rsid w:val="003B0858"/>
    <w:rsid w:val="003B0D4A"/>
    <w:rsid w:val="003B112E"/>
    <w:rsid w:val="003B1D51"/>
    <w:rsid w:val="003B1D98"/>
    <w:rsid w:val="003B2999"/>
    <w:rsid w:val="003B2A0D"/>
    <w:rsid w:val="003B2CD3"/>
    <w:rsid w:val="003B2FFA"/>
    <w:rsid w:val="003B32D5"/>
    <w:rsid w:val="003B338B"/>
    <w:rsid w:val="003B35C3"/>
    <w:rsid w:val="003B3B18"/>
    <w:rsid w:val="003B3EE5"/>
    <w:rsid w:val="003B3EF1"/>
    <w:rsid w:val="003B4027"/>
    <w:rsid w:val="003B4188"/>
    <w:rsid w:val="003B41A0"/>
    <w:rsid w:val="003B50A7"/>
    <w:rsid w:val="003B50AD"/>
    <w:rsid w:val="003B5230"/>
    <w:rsid w:val="003B534C"/>
    <w:rsid w:val="003B5503"/>
    <w:rsid w:val="003B5548"/>
    <w:rsid w:val="003B5769"/>
    <w:rsid w:val="003B5B1E"/>
    <w:rsid w:val="003B5DB3"/>
    <w:rsid w:val="003B5DE5"/>
    <w:rsid w:val="003B5E07"/>
    <w:rsid w:val="003B6372"/>
    <w:rsid w:val="003B64B2"/>
    <w:rsid w:val="003B672C"/>
    <w:rsid w:val="003B6826"/>
    <w:rsid w:val="003B6953"/>
    <w:rsid w:val="003B6FC8"/>
    <w:rsid w:val="003B704A"/>
    <w:rsid w:val="003B70E8"/>
    <w:rsid w:val="003B71CA"/>
    <w:rsid w:val="003B754C"/>
    <w:rsid w:val="003B75F4"/>
    <w:rsid w:val="003B7950"/>
    <w:rsid w:val="003B7BE4"/>
    <w:rsid w:val="003B7C01"/>
    <w:rsid w:val="003C01B0"/>
    <w:rsid w:val="003C01B1"/>
    <w:rsid w:val="003C05FE"/>
    <w:rsid w:val="003C08BA"/>
    <w:rsid w:val="003C0A24"/>
    <w:rsid w:val="003C0A37"/>
    <w:rsid w:val="003C0D95"/>
    <w:rsid w:val="003C1407"/>
    <w:rsid w:val="003C26B2"/>
    <w:rsid w:val="003C2830"/>
    <w:rsid w:val="003C31C5"/>
    <w:rsid w:val="003C3324"/>
    <w:rsid w:val="003C3529"/>
    <w:rsid w:val="003C36FC"/>
    <w:rsid w:val="003C38FC"/>
    <w:rsid w:val="003C3A7F"/>
    <w:rsid w:val="003C3F35"/>
    <w:rsid w:val="003C456C"/>
    <w:rsid w:val="003C484E"/>
    <w:rsid w:val="003C4C40"/>
    <w:rsid w:val="003C4C44"/>
    <w:rsid w:val="003C4EAB"/>
    <w:rsid w:val="003C565D"/>
    <w:rsid w:val="003C56F7"/>
    <w:rsid w:val="003C571D"/>
    <w:rsid w:val="003C5D88"/>
    <w:rsid w:val="003C62DC"/>
    <w:rsid w:val="003C6471"/>
    <w:rsid w:val="003C6907"/>
    <w:rsid w:val="003C69B1"/>
    <w:rsid w:val="003C69C6"/>
    <w:rsid w:val="003C6AB0"/>
    <w:rsid w:val="003C6C7B"/>
    <w:rsid w:val="003C6CAD"/>
    <w:rsid w:val="003C74B1"/>
    <w:rsid w:val="003C7B2C"/>
    <w:rsid w:val="003C7DA9"/>
    <w:rsid w:val="003D01A9"/>
    <w:rsid w:val="003D09F7"/>
    <w:rsid w:val="003D0B13"/>
    <w:rsid w:val="003D0E0D"/>
    <w:rsid w:val="003D108D"/>
    <w:rsid w:val="003D1551"/>
    <w:rsid w:val="003D17CC"/>
    <w:rsid w:val="003D1891"/>
    <w:rsid w:val="003D1971"/>
    <w:rsid w:val="003D19FC"/>
    <w:rsid w:val="003D1C6D"/>
    <w:rsid w:val="003D1CBF"/>
    <w:rsid w:val="003D1D05"/>
    <w:rsid w:val="003D1F37"/>
    <w:rsid w:val="003D21DF"/>
    <w:rsid w:val="003D2373"/>
    <w:rsid w:val="003D2633"/>
    <w:rsid w:val="003D2A31"/>
    <w:rsid w:val="003D2F8C"/>
    <w:rsid w:val="003D3103"/>
    <w:rsid w:val="003D3435"/>
    <w:rsid w:val="003D371D"/>
    <w:rsid w:val="003D3B86"/>
    <w:rsid w:val="003D3DF2"/>
    <w:rsid w:val="003D42CF"/>
    <w:rsid w:val="003D4308"/>
    <w:rsid w:val="003D44AA"/>
    <w:rsid w:val="003D47A9"/>
    <w:rsid w:val="003D47BC"/>
    <w:rsid w:val="003D480E"/>
    <w:rsid w:val="003D4A17"/>
    <w:rsid w:val="003D4EB3"/>
    <w:rsid w:val="003D4F87"/>
    <w:rsid w:val="003D5256"/>
    <w:rsid w:val="003D590F"/>
    <w:rsid w:val="003D5964"/>
    <w:rsid w:val="003D5F16"/>
    <w:rsid w:val="003D605A"/>
    <w:rsid w:val="003D6398"/>
    <w:rsid w:val="003D65B5"/>
    <w:rsid w:val="003D6632"/>
    <w:rsid w:val="003D6866"/>
    <w:rsid w:val="003D6EF7"/>
    <w:rsid w:val="003D77BA"/>
    <w:rsid w:val="003D7948"/>
    <w:rsid w:val="003D7E6F"/>
    <w:rsid w:val="003D7FE7"/>
    <w:rsid w:val="003E0349"/>
    <w:rsid w:val="003E0A53"/>
    <w:rsid w:val="003E0BCC"/>
    <w:rsid w:val="003E0DAE"/>
    <w:rsid w:val="003E0E5B"/>
    <w:rsid w:val="003E0E97"/>
    <w:rsid w:val="003E0F54"/>
    <w:rsid w:val="003E0FEC"/>
    <w:rsid w:val="003E184C"/>
    <w:rsid w:val="003E20F5"/>
    <w:rsid w:val="003E22C4"/>
    <w:rsid w:val="003E22D2"/>
    <w:rsid w:val="003E23D8"/>
    <w:rsid w:val="003E273E"/>
    <w:rsid w:val="003E2774"/>
    <w:rsid w:val="003E2B57"/>
    <w:rsid w:val="003E2F95"/>
    <w:rsid w:val="003E34DA"/>
    <w:rsid w:val="003E383B"/>
    <w:rsid w:val="003E39D0"/>
    <w:rsid w:val="003E3A48"/>
    <w:rsid w:val="003E3A88"/>
    <w:rsid w:val="003E40CF"/>
    <w:rsid w:val="003E40F3"/>
    <w:rsid w:val="003E46F6"/>
    <w:rsid w:val="003E4739"/>
    <w:rsid w:val="003E4881"/>
    <w:rsid w:val="003E48F4"/>
    <w:rsid w:val="003E4ED2"/>
    <w:rsid w:val="003E4FB4"/>
    <w:rsid w:val="003E5289"/>
    <w:rsid w:val="003E53F7"/>
    <w:rsid w:val="003E5796"/>
    <w:rsid w:val="003E57D7"/>
    <w:rsid w:val="003E5B47"/>
    <w:rsid w:val="003E5C32"/>
    <w:rsid w:val="003E5D6B"/>
    <w:rsid w:val="003E5E20"/>
    <w:rsid w:val="003E5E8E"/>
    <w:rsid w:val="003E5E91"/>
    <w:rsid w:val="003E694F"/>
    <w:rsid w:val="003E6B27"/>
    <w:rsid w:val="003E724D"/>
    <w:rsid w:val="003E7933"/>
    <w:rsid w:val="003E7ABA"/>
    <w:rsid w:val="003E7B9F"/>
    <w:rsid w:val="003E7BEE"/>
    <w:rsid w:val="003E7E47"/>
    <w:rsid w:val="003F00E3"/>
    <w:rsid w:val="003F019F"/>
    <w:rsid w:val="003F069E"/>
    <w:rsid w:val="003F07F8"/>
    <w:rsid w:val="003F098E"/>
    <w:rsid w:val="003F0CA0"/>
    <w:rsid w:val="003F1586"/>
    <w:rsid w:val="003F173B"/>
    <w:rsid w:val="003F1A2D"/>
    <w:rsid w:val="003F1A2F"/>
    <w:rsid w:val="003F1FC8"/>
    <w:rsid w:val="003F2043"/>
    <w:rsid w:val="003F20D4"/>
    <w:rsid w:val="003F2587"/>
    <w:rsid w:val="003F2F4D"/>
    <w:rsid w:val="003F30F2"/>
    <w:rsid w:val="003F361B"/>
    <w:rsid w:val="003F3A25"/>
    <w:rsid w:val="003F3B16"/>
    <w:rsid w:val="003F3EAC"/>
    <w:rsid w:val="003F3FB9"/>
    <w:rsid w:val="003F4122"/>
    <w:rsid w:val="003F414A"/>
    <w:rsid w:val="003F41D7"/>
    <w:rsid w:val="003F4ED4"/>
    <w:rsid w:val="003F51C1"/>
    <w:rsid w:val="003F5210"/>
    <w:rsid w:val="003F55A4"/>
    <w:rsid w:val="003F5F4A"/>
    <w:rsid w:val="003F5FFE"/>
    <w:rsid w:val="003F61E7"/>
    <w:rsid w:val="003F679B"/>
    <w:rsid w:val="003F68C6"/>
    <w:rsid w:val="003F6B09"/>
    <w:rsid w:val="003F6B6C"/>
    <w:rsid w:val="003F6F77"/>
    <w:rsid w:val="003F735C"/>
    <w:rsid w:val="003F75F6"/>
    <w:rsid w:val="003F764A"/>
    <w:rsid w:val="003F79DF"/>
    <w:rsid w:val="004000FD"/>
    <w:rsid w:val="00400756"/>
    <w:rsid w:val="00400C43"/>
    <w:rsid w:val="00401099"/>
    <w:rsid w:val="0040119F"/>
    <w:rsid w:val="0040144D"/>
    <w:rsid w:val="00401459"/>
    <w:rsid w:val="00401673"/>
    <w:rsid w:val="004018FB"/>
    <w:rsid w:val="00402077"/>
    <w:rsid w:val="00402328"/>
    <w:rsid w:val="0040239D"/>
    <w:rsid w:val="00402C1B"/>
    <w:rsid w:val="00402D22"/>
    <w:rsid w:val="00403499"/>
    <w:rsid w:val="004035CC"/>
    <w:rsid w:val="00403617"/>
    <w:rsid w:val="00403DEE"/>
    <w:rsid w:val="00403EF6"/>
    <w:rsid w:val="004045BB"/>
    <w:rsid w:val="004045DE"/>
    <w:rsid w:val="00404699"/>
    <w:rsid w:val="004046C6"/>
    <w:rsid w:val="00404948"/>
    <w:rsid w:val="00404A6D"/>
    <w:rsid w:val="00404FED"/>
    <w:rsid w:val="004051CB"/>
    <w:rsid w:val="00405504"/>
    <w:rsid w:val="00405660"/>
    <w:rsid w:val="004057C1"/>
    <w:rsid w:val="00405C1A"/>
    <w:rsid w:val="00405D0A"/>
    <w:rsid w:val="00405FC0"/>
    <w:rsid w:val="004063E7"/>
    <w:rsid w:val="00406578"/>
    <w:rsid w:val="004073EA"/>
    <w:rsid w:val="0040747E"/>
    <w:rsid w:val="0040756B"/>
    <w:rsid w:val="00407A55"/>
    <w:rsid w:val="00407B17"/>
    <w:rsid w:val="00407F01"/>
    <w:rsid w:val="00407F41"/>
    <w:rsid w:val="0041004C"/>
    <w:rsid w:val="004100A4"/>
    <w:rsid w:val="00410161"/>
    <w:rsid w:val="00410878"/>
    <w:rsid w:val="00410920"/>
    <w:rsid w:val="0041097F"/>
    <w:rsid w:val="004110DE"/>
    <w:rsid w:val="00411384"/>
    <w:rsid w:val="0041175A"/>
    <w:rsid w:val="004117F0"/>
    <w:rsid w:val="00411808"/>
    <w:rsid w:val="00411B9B"/>
    <w:rsid w:val="00412245"/>
    <w:rsid w:val="0041231F"/>
    <w:rsid w:val="00412A9E"/>
    <w:rsid w:val="00412DF7"/>
    <w:rsid w:val="004130AE"/>
    <w:rsid w:val="0041319E"/>
    <w:rsid w:val="0041384D"/>
    <w:rsid w:val="00413A67"/>
    <w:rsid w:val="00413FBD"/>
    <w:rsid w:val="00414224"/>
    <w:rsid w:val="00414792"/>
    <w:rsid w:val="004149DA"/>
    <w:rsid w:val="00414A61"/>
    <w:rsid w:val="00414CF2"/>
    <w:rsid w:val="0041524E"/>
    <w:rsid w:val="0041575F"/>
    <w:rsid w:val="00415944"/>
    <w:rsid w:val="00415A1C"/>
    <w:rsid w:val="00415CCE"/>
    <w:rsid w:val="00415F8E"/>
    <w:rsid w:val="004161DA"/>
    <w:rsid w:val="00416319"/>
    <w:rsid w:val="00416468"/>
    <w:rsid w:val="0041646D"/>
    <w:rsid w:val="0041657D"/>
    <w:rsid w:val="004169D2"/>
    <w:rsid w:val="0041727B"/>
    <w:rsid w:val="0041763D"/>
    <w:rsid w:val="00417711"/>
    <w:rsid w:val="004177CA"/>
    <w:rsid w:val="004178B7"/>
    <w:rsid w:val="0041798A"/>
    <w:rsid w:val="00417A8D"/>
    <w:rsid w:val="00417B9F"/>
    <w:rsid w:val="00417BC7"/>
    <w:rsid w:val="00417E8B"/>
    <w:rsid w:val="00417F87"/>
    <w:rsid w:val="00417FDC"/>
    <w:rsid w:val="00420280"/>
    <w:rsid w:val="0042036E"/>
    <w:rsid w:val="00420706"/>
    <w:rsid w:val="00420B22"/>
    <w:rsid w:val="00420B89"/>
    <w:rsid w:val="00420DCB"/>
    <w:rsid w:val="004211A2"/>
    <w:rsid w:val="0042179E"/>
    <w:rsid w:val="00421830"/>
    <w:rsid w:val="004219F6"/>
    <w:rsid w:val="00421A84"/>
    <w:rsid w:val="00421AA0"/>
    <w:rsid w:val="00421F8C"/>
    <w:rsid w:val="00422005"/>
    <w:rsid w:val="0042232C"/>
    <w:rsid w:val="00422569"/>
    <w:rsid w:val="00422907"/>
    <w:rsid w:val="00422A4D"/>
    <w:rsid w:val="00422A7D"/>
    <w:rsid w:val="00422B69"/>
    <w:rsid w:val="00422CB5"/>
    <w:rsid w:val="00422D8B"/>
    <w:rsid w:val="0042302A"/>
    <w:rsid w:val="00423058"/>
    <w:rsid w:val="004230B6"/>
    <w:rsid w:val="0042369A"/>
    <w:rsid w:val="00423C7F"/>
    <w:rsid w:val="00423E24"/>
    <w:rsid w:val="00423EB4"/>
    <w:rsid w:val="00423EFD"/>
    <w:rsid w:val="0042454C"/>
    <w:rsid w:val="0042465A"/>
    <w:rsid w:val="00424886"/>
    <w:rsid w:val="00424BB8"/>
    <w:rsid w:val="00424E98"/>
    <w:rsid w:val="00425724"/>
    <w:rsid w:val="00425832"/>
    <w:rsid w:val="00425988"/>
    <w:rsid w:val="00425A4B"/>
    <w:rsid w:val="00425ADE"/>
    <w:rsid w:val="00425B0A"/>
    <w:rsid w:val="00425C70"/>
    <w:rsid w:val="004260ED"/>
    <w:rsid w:val="004261C1"/>
    <w:rsid w:val="00426267"/>
    <w:rsid w:val="004262FA"/>
    <w:rsid w:val="004263D3"/>
    <w:rsid w:val="0042656B"/>
    <w:rsid w:val="00426626"/>
    <w:rsid w:val="00426B52"/>
    <w:rsid w:val="00426E3A"/>
    <w:rsid w:val="004274E5"/>
    <w:rsid w:val="0042757E"/>
    <w:rsid w:val="004277FB"/>
    <w:rsid w:val="00427C1E"/>
    <w:rsid w:val="00430161"/>
    <w:rsid w:val="0043156E"/>
    <w:rsid w:val="0043159E"/>
    <w:rsid w:val="0043165F"/>
    <w:rsid w:val="00431881"/>
    <w:rsid w:val="00431BA0"/>
    <w:rsid w:val="00431D24"/>
    <w:rsid w:val="00431E4C"/>
    <w:rsid w:val="00432001"/>
    <w:rsid w:val="00432369"/>
    <w:rsid w:val="004324ED"/>
    <w:rsid w:val="00432EDF"/>
    <w:rsid w:val="004331DF"/>
    <w:rsid w:val="004333BF"/>
    <w:rsid w:val="004334F9"/>
    <w:rsid w:val="004335E7"/>
    <w:rsid w:val="00433C28"/>
    <w:rsid w:val="00433E01"/>
    <w:rsid w:val="00434FB5"/>
    <w:rsid w:val="004352B1"/>
    <w:rsid w:val="00435734"/>
    <w:rsid w:val="004365C0"/>
    <w:rsid w:val="00436BD8"/>
    <w:rsid w:val="00436E55"/>
    <w:rsid w:val="004371C6"/>
    <w:rsid w:val="00437488"/>
    <w:rsid w:val="00437DA0"/>
    <w:rsid w:val="0044049C"/>
    <w:rsid w:val="004406F1"/>
    <w:rsid w:val="00440712"/>
    <w:rsid w:val="00440860"/>
    <w:rsid w:val="004410A4"/>
    <w:rsid w:val="0044152F"/>
    <w:rsid w:val="004416D2"/>
    <w:rsid w:val="004418D1"/>
    <w:rsid w:val="00441B2E"/>
    <w:rsid w:val="00441D3C"/>
    <w:rsid w:val="00441D43"/>
    <w:rsid w:val="0044218C"/>
    <w:rsid w:val="00442294"/>
    <w:rsid w:val="004429B2"/>
    <w:rsid w:val="004432B0"/>
    <w:rsid w:val="004436E6"/>
    <w:rsid w:val="00443949"/>
    <w:rsid w:val="004439A6"/>
    <w:rsid w:val="00443A32"/>
    <w:rsid w:val="00443F45"/>
    <w:rsid w:val="00443F52"/>
    <w:rsid w:val="00444105"/>
    <w:rsid w:val="00444370"/>
    <w:rsid w:val="004443BA"/>
    <w:rsid w:val="004446A9"/>
    <w:rsid w:val="0044492D"/>
    <w:rsid w:val="00444C5B"/>
    <w:rsid w:val="004450B2"/>
    <w:rsid w:val="004452F0"/>
    <w:rsid w:val="0044555F"/>
    <w:rsid w:val="004457AF"/>
    <w:rsid w:val="00445844"/>
    <w:rsid w:val="00445F30"/>
    <w:rsid w:val="00445F95"/>
    <w:rsid w:val="00446117"/>
    <w:rsid w:val="0044623B"/>
    <w:rsid w:val="004467EE"/>
    <w:rsid w:val="00446E36"/>
    <w:rsid w:val="0044721E"/>
    <w:rsid w:val="004474F1"/>
    <w:rsid w:val="00447AF9"/>
    <w:rsid w:val="004500CA"/>
    <w:rsid w:val="0045011F"/>
    <w:rsid w:val="004504D3"/>
    <w:rsid w:val="004506E8"/>
    <w:rsid w:val="00450A6A"/>
    <w:rsid w:val="00451A6C"/>
    <w:rsid w:val="00451D11"/>
    <w:rsid w:val="00451E90"/>
    <w:rsid w:val="00452466"/>
    <w:rsid w:val="00452555"/>
    <w:rsid w:val="0045256D"/>
    <w:rsid w:val="00452866"/>
    <w:rsid w:val="00452883"/>
    <w:rsid w:val="00452A03"/>
    <w:rsid w:val="004531D7"/>
    <w:rsid w:val="004531EE"/>
    <w:rsid w:val="004534FF"/>
    <w:rsid w:val="0045381E"/>
    <w:rsid w:val="00453A43"/>
    <w:rsid w:val="00453FA8"/>
    <w:rsid w:val="0045421A"/>
    <w:rsid w:val="00454438"/>
    <w:rsid w:val="004544E6"/>
    <w:rsid w:val="004548D8"/>
    <w:rsid w:val="00454972"/>
    <w:rsid w:val="00454CC4"/>
    <w:rsid w:val="00454D84"/>
    <w:rsid w:val="004551D8"/>
    <w:rsid w:val="00455353"/>
    <w:rsid w:val="00455404"/>
    <w:rsid w:val="004554B2"/>
    <w:rsid w:val="004555BF"/>
    <w:rsid w:val="0045560D"/>
    <w:rsid w:val="00455F24"/>
    <w:rsid w:val="00456063"/>
    <w:rsid w:val="0045619E"/>
    <w:rsid w:val="004562E9"/>
    <w:rsid w:val="004563AA"/>
    <w:rsid w:val="004563D6"/>
    <w:rsid w:val="00456973"/>
    <w:rsid w:val="00456A92"/>
    <w:rsid w:val="00456AFD"/>
    <w:rsid w:val="00456B5F"/>
    <w:rsid w:val="00456C2A"/>
    <w:rsid w:val="00456D40"/>
    <w:rsid w:val="00456DF9"/>
    <w:rsid w:val="004571AA"/>
    <w:rsid w:val="00457253"/>
    <w:rsid w:val="004579DF"/>
    <w:rsid w:val="00457A41"/>
    <w:rsid w:val="00457EB7"/>
    <w:rsid w:val="00460123"/>
    <w:rsid w:val="004601AB"/>
    <w:rsid w:val="004606CC"/>
    <w:rsid w:val="004608D2"/>
    <w:rsid w:val="00460CFD"/>
    <w:rsid w:val="00460E56"/>
    <w:rsid w:val="00460F0D"/>
    <w:rsid w:val="00460FF6"/>
    <w:rsid w:val="004611D4"/>
    <w:rsid w:val="0046121B"/>
    <w:rsid w:val="0046140D"/>
    <w:rsid w:val="004615CA"/>
    <w:rsid w:val="0046171B"/>
    <w:rsid w:val="004618AC"/>
    <w:rsid w:val="00461D79"/>
    <w:rsid w:val="004622AD"/>
    <w:rsid w:val="004623B1"/>
    <w:rsid w:val="0046279E"/>
    <w:rsid w:val="00462972"/>
    <w:rsid w:val="00462D27"/>
    <w:rsid w:val="00462E31"/>
    <w:rsid w:val="00462F3B"/>
    <w:rsid w:val="004639BA"/>
    <w:rsid w:val="00463C7B"/>
    <w:rsid w:val="0046409A"/>
    <w:rsid w:val="00464179"/>
    <w:rsid w:val="0046424E"/>
    <w:rsid w:val="00464342"/>
    <w:rsid w:val="004643C6"/>
    <w:rsid w:val="004643EE"/>
    <w:rsid w:val="004645BD"/>
    <w:rsid w:val="00464757"/>
    <w:rsid w:val="0046485F"/>
    <w:rsid w:val="00464B01"/>
    <w:rsid w:val="00464C21"/>
    <w:rsid w:val="00464E74"/>
    <w:rsid w:val="00465279"/>
    <w:rsid w:val="00465F82"/>
    <w:rsid w:val="00465F90"/>
    <w:rsid w:val="004663B3"/>
    <w:rsid w:val="0046640D"/>
    <w:rsid w:val="004665A3"/>
    <w:rsid w:val="00466822"/>
    <w:rsid w:val="004669E0"/>
    <w:rsid w:val="00466A1F"/>
    <w:rsid w:val="00466A86"/>
    <w:rsid w:val="00466EF6"/>
    <w:rsid w:val="0046715E"/>
    <w:rsid w:val="00467261"/>
    <w:rsid w:val="00467735"/>
    <w:rsid w:val="00467A1A"/>
    <w:rsid w:val="00470093"/>
    <w:rsid w:val="00470149"/>
    <w:rsid w:val="004702B0"/>
    <w:rsid w:val="0047034A"/>
    <w:rsid w:val="00470CDE"/>
    <w:rsid w:val="00471442"/>
    <w:rsid w:val="0047185F"/>
    <w:rsid w:val="00471914"/>
    <w:rsid w:val="00471DCC"/>
    <w:rsid w:val="00471F8F"/>
    <w:rsid w:val="0047208D"/>
    <w:rsid w:val="00472A01"/>
    <w:rsid w:val="00472D40"/>
    <w:rsid w:val="00472E7A"/>
    <w:rsid w:val="0047358A"/>
    <w:rsid w:val="00473593"/>
    <w:rsid w:val="004736DE"/>
    <w:rsid w:val="00473788"/>
    <w:rsid w:val="00473CDF"/>
    <w:rsid w:val="00473E01"/>
    <w:rsid w:val="00473F6D"/>
    <w:rsid w:val="00474149"/>
    <w:rsid w:val="004741B3"/>
    <w:rsid w:val="0047436E"/>
    <w:rsid w:val="004744EB"/>
    <w:rsid w:val="00474781"/>
    <w:rsid w:val="00474873"/>
    <w:rsid w:val="00474ADC"/>
    <w:rsid w:val="00474BEF"/>
    <w:rsid w:val="00474C61"/>
    <w:rsid w:val="004751BF"/>
    <w:rsid w:val="004754B2"/>
    <w:rsid w:val="004755E2"/>
    <w:rsid w:val="00475970"/>
    <w:rsid w:val="00475C67"/>
    <w:rsid w:val="004764C7"/>
    <w:rsid w:val="00476554"/>
    <w:rsid w:val="004767D8"/>
    <w:rsid w:val="00476BAB"/>
    <w:rsid w:val="00476DD2"/>
    <w:rsid w:val="00476EFD"/>
    <w:rsid w:val="00476F91"/>
    <w:rsid w:val="00477165"/>
    <w:rsid w:val="0047727E"/>
    <w:rsid w:val="00477431"/>
    <w:rsid w:val="004775D0"/>
    <w:rsid w:val="00477DE1"/>
    <w:rsid w:val="00480100"/>
    <w:rsid w:val="0048020E"/>
    <w:rsid w:val="00480581"/>
    <w:rsid w:val="00480676"/>
    <w:rsid w:val="00480793"/>
    <w:rsid w:val="004807C2"/>
    <w:rsid w:val="00480BBA"/>
    <w:rsid w:val="00480E4F"/>
    <w:rsid w:val="0048104E"/>
    <w:rsid w:val="0048126B"/>
    <w:rsid w:val="004815B1"/>
    <w:rsid w:val="0048196D"/>
    <w:rsid w:val="004826F1"/>
    <w:rsid w:val="004828B7"/>
    <w:rsid w:val="00482C88"/>
    <w:rsid w:val="00482DC1"/>
    <w:rsid w:val="00482E01"/>
    <w:rsid w:val="004832A5"/>
    <w:rsid w:val="00483831"/>
    <w:rsid w:val="00483A23"/>
    <w:rsid w:val="00483B14"/>
    <w:rsid w:val="00483F30"/>
    <w:rsid w:val="00484165"/>
    <w:rsid w:val="00484DB5"/>
    <w:rsid w:val="00484DD1"/>
    <w:rsid w:val="00484F24"/>
    <w:rsid w:val="00484F35"/>
    <w:rsid w:val="0048518C"/>
    <w:rsid w:val="004858AE"/>
    <w:rsid w:val="00486188"/>
    <w:rsid w:val="0048668B"/>
    <w:rsid w:val="004875B9"/>
    <w:rsid w:val="00490259"/>
    <w:rsid w:val="004905D1"/>
    <w:rsid w:val="00490623"/>
    <w:rsid w:val="0049071E"/>
    <w:rsid w:val="004909EB"/>
    <w:rsid w:val="00490DC4"/>
    <w:rsid w:val="00491019"/>
    <w:rsid w:val="004910C6"/>
    <w:rsid w:val="00491657"/>
    <w:rsid w:val="00491774"/>
    <w:rsid w:val="00491AFF"/>
    <w:rsid w:val="00491BA8"/>
    <w:rsid w:val="00491BE3"/>
    <w:rsid w:val="00491F39"/>
    <w:rsid w:val="0049229D"/>
    <w:rsid w:val="00492392"/>
    <w:rsid w:val="00492426"/>
    <w:rsid w:val="00492453"/>
    <w:rsid w:val="0049279A"/>
    <w:rsid w:val="00492FC2"/>
    <w:rsid w:val="00493234"/>
    <w:rsid w:val="00493364"/>
    <w:rsid w:val="0049343C"/>
    <w:rsid w:val="0049377C"/>
    <w:rsid w:val="0049378F"/>
    <w:rsid w:val="004938E5"/>
    <w:rsid w:val="004940F8"/>
    <w:rsid w:val="00494305"/>
    <w:rsid w:val="004947D1"/>
    <w:rsid w:val="00494D6B"/>
    <w:rsid w:val="0049576D"/>
    <w:rsid w:val="0049588E"/>
    <w:rsid w:val="00495BC2"/>
    <w:rsid w:val="00496046"/>
    <w:rsid w:val="0049606A"/>
    <w:rsid w:val="00496286"/>
    <w:rsid w:val="004966A7"/>
    <w:rsid w:val="004966A9"/>
    <w:rsid w:val="00496722"/>
    <w:rsid w:val="00496BF5"/>
    <w:rsid w:val="00496F8F"/>
    <w:rsid w:val="00496FD6"/>
    <w:rsid w:val="00497202"/>
    <w:rsid w:val="0049729C"/>
    <w:rsid w:val="004972B5"/>
    <w:rsid w:val="004973EC"/>
    <w:rsid w:val="0049757A"/>
    <w:rsid w:val="00497754"/>
    <w:rsid w:val="00497FC9"/>
    <w:rsid w:val="00497FE5"/>
    <w:rsid w:val="00497FF8"/>
    <w:rsid w:val="004A066D"/>
    <w:rsid w:val="004A0740"/>
    <w:rsid w:val="004A07F6"/>
    <w:rsid w:val="004A0C85"/>
    <w:rsid w:val="004A0F59"/>
    <w:rsid w:val="004A1117"/>
    <w:rsid w:val="004A129D"/>
    <w:rsid w:val="004A1C0C"/>
    <w:rsid w:val="004A1F4D"/>
    <w:rsid w:val="004A211D"/>
    <w:rsid w:val="004A2325"/>
    <w:rsid w:val="004A2371"/>
    <w:rsid w:val="004A26C7"/>
    <w:rsid w:val="004A2AE6"/>
    <w:rsid w:val="004A3272"/>
    <w:rsid w:val="004A342B"/>
    <w:rsid w:val="004A35B0"/>
    <w:rsid w:val="004A3753"/>
    <w:rsid w:val="004A3A27"/>
    <w:rsid w:val="004A3B09"/>
    <w:rsid w:val="004A4356"/>
    <w:rsid w:val="004A4532"/>
    <w:rsid w:val="004A45DF"/>
    <w:rsid w:val="004A5101"/>
    <w:rsid w:val="004A5560"/>
    <w:rsid w:val="004A5627"/>
    <w:rsid w:val="004A58D3"/>
    <w:rsid w:val="004A5A58"/>
    <w:rsid w:val="004A5B9E"/>
    <w:rsid w:val="004A5C7B"/>
    <w:rsid w:val="004A5D80"/>
    <w:rsid w:val="004A61A6"/>
    <w:rsid w:val="004A6332"/>
    <w:rsid w:val="004A64F3"/>
    <w:rsid w:val="004A6566"/>
    <w:rsid w:val="004A66B1"/>
    <w:rsid w:val="004A6B8A"/>
    <w:rsid w:val="004A70CD"/>
    <w:rsid w:val="004A7477"/>
    <w:rsid w:val="004A764B"/>
    <w:rsid w:val="004A7ACE"/>
    <w:rsid w:val="004A7BD8"/>
    <w:rsid w:val="004A7F4E"/>
    <w:rsid w:val="004A7F99"/>
    <w:rsid w:val="004B004C"/>
    <w:rsid w:val="004B0E18"/>
    <w:rsid w:val="004B11C8"/>
    <w:rsid w:val="004B12F9"/>
    <w:rsid w:val="004B1497"/>
    <w:rsid w:val="004B17B5"/>
    <w:rsid w:val="004B17F9"/>
    <w:rsid w:val="004B1973"/>
    <w:rsid w:val="004B1ACC"/>
    <w:rsid w:val="004B1CD9"/>
    <w:rsid w:val="004B2185"/>
    <w:rsid w:val="004B27C0"/>
    <w:rsid w:val="004B27F2"/>
    <w:rsid w:val="004B28A8"/>
    <w:rsid w:val="004B2BCB"/>
    <w:rsid w:val="004B2DAB"/>
    <w:rsid w:val="004B3435"/>
    <w:rsid w:val="004B35D2"/>
    <w:rsid w:val="004B38A2"/>
    <w:rsid w:val="004B3A3A"/>
    <w:rsid w:val="004B3D49"/>
    <w:rsid w:val="004B3FA8"/>
    <w:rsid w:val="004B40C2"/>
    <w:rsid w:val="004B4313"/>
    <w:rsid w:val="004B4DC5"/>
    <w:rsid w:val="004B4DF7"/>
    <w:rsid w:val="004B4F02"/>
    <w:rsid w:val="004B5208"/>
    <w:rsid w:val="004B581F"/>
    <w:rsid w:val="004B592A"/>
    <w:rsid w:val="004B5AB8"/>
    <w:rsid w:val="004B5B72"/>
    <w:rsid w:val="004B5BDA"/>
    <w:rsid w:val="004B5EDD"/>
    <w:rsid w:val="004B6E0C"/>
    <w:rsid w:val="004B711D"/>
    <w:rsid w:val="004B7208"/>
    <w:rsid w:val="004B72FD"/>
    <w:rsid w:val="004B7599"/>
    <w:rsid w:val="004B771D"/>
    <w:rsid w:val="004B7787"/>
    <w:rsid w:val="004B787A"/>
    <w:rsid w:val="004B7946"/>
    <w:rsid w:val="004B7B39"/>
    <w:rsid w:val="004B7C20"/>
    <w:rsid w:val="004B7CA1"/>
    <w:rsid w:val="004B7EE4"/>
    <w:rsid w:val="004C04CA"/>
    <w:rsid w:val="004C050A"/>
    <w:rsid w:val="004C0569"/>
    <w:rsid w:val="004C06CC"/>
    <w:rsid w:val="004C070D"/>
    <w:rsid w:val="004C093B"/>
    <w:rsid w:val="004C0AC5"/>
    <w:rsid w:val="004C16E8"/>
    <w:rsid w:val="004C1A46"/>
    <w:rsid w:val="004C1BB1"/>
    <w:rsid w:val="004C1C46"/>
    <w:rsid w:val="004C1D3E"/>
    <w:rsid w:val="004C21BB"/>
    <w:rsid w:val="004C2418"/>
    <w:rsid w:val="004C3049"/>
    <w:rsid w:val="004C33E1"/>
    <w:rsid w:val="004C37DD"/>
    <w:rsid w:val="004C3888"/>
    <w:rsid w:val="004C3E9C"/>
    <w:rsid w:val="004C48A4"/>
    <w:rsid w:val="004C48BB"/>
    <w:rsid w:val="004C4C07"/>
    <w:rsid w:val="004C539A"/>
    <w:rsid w:val="004C55B3"/>
    <w:rsid w:val="004C5934"/>
    <w:rsid w:val="004C5DF7"/>
    <w:rsid w:val="004C5E39"/>
    <w:rsid w:val="004C60B5"/>
    <w:rsid w:val="004C6248"/>
    <w:rsid w:val="004C62DA"/>
    <w:rsid w:val="004C63B0"/>
    <w:rsid w:val="004C6696"/>
    <w:rsid w:val="004C66DB"/>
    <w:rsid w:val="004C6920"/>
    <w:rsid w:val="004C6AF7"/>
    <w:rsid w:val="004C6F19"/>
    <w:rsid w:val="004C70C9"/>
    <w:rsid w:val="004C7361"/>
    <w:rsid w:val="004C74AE"/>
    <w:rsid w:val="004C7558"/>
    <w:rsid w:val="004C776D"/>
    <w:rsid w:val="004C7DF9"/>
    <w:rsid w:val="004D050C"/>
    <w:rsid w:val="004D05AB"/>
    <w:rsid w:val="004D089C"/>
    <w:rsid w:val="004D0C35"/>
    <w:rsid w:val="004D0EB8"/>
    <w:rsid w:val="004D0FD5"/>
    <w:rsid w:val="004D103B"/>
    <w:rsid w:val="004D143B"/>
    <w:rsid w:val="004D15A8"/>
    <w:rsid w:val="004D1633"/>
    <w:rsid w:val="004D1899"/>
    <w:rsid w:val="004D19CD"/>
    <w:rsid w:val="004D1B2C"/>
    <w:rsid w:val="004D1C62"/>
    <w:rsid w:val="004D1DCA"/>
    <w:rsid w:val="004D1DFA"/>
    <w:rsid w:val="004D1FA8"/>
    <w:rsid w:val="004D210F"/>
    <w:rsid w:val="004D2390"/>
    <w:rsid w:val="004D2523"/>
    <w:rsid w:val="004D2540"/>
    <w:rsid w:val="004D2B89"/>
    <w:rsid w:val="004D3337"/>
    <w:rsid w:val="004D3415"/>
    <w:rsid w:val="004D3437"/>
    <w:rsid w:val="004D34C1"/>
    <w:rsid w:val="004D356D"/>
    <w:rsid w:val="004D35C5"/>
    <w:rsid w:val="004D377E"/>
    <w:rsid w:val="004D3924"/>
    <w:rsid w:val="004D4E0B"/>
    <w:rsid w:val="004D4E39"/>
    <w:rsid w:val="004D595A"/>
    <w:rsid w:val="004D5D53"/>
    <w:rsid w:val="004D6469"/>
    <w:rsid w:val="004D652B"/>
    <w:rsid w:val="004D679D"/>
    <w:rsid w:val="004D67A1"/>
    <w:rsid w:val="004D6962"/>
    <w:rsid w:val="004D6A18"/>
    <w:rsid w:val="004D6B30"/>
    <w:rsid w:val="004D6BBA"/>
    <w:rsid w:val="004D6EE9"/>
    <w:rsid w:val="004D6F21"/>
    <w:rsid w:val="004D6F60"/>
    <w:rsid w:val="004D7021"/>
    <w:rsid w:val="004D7055"/>
    <w:rsid w:val="004D7427"/>
    <w:rsid w:val="004D74C3"/>
    <w:rsid w:val="004D7A16"/>
    <w:rsid w:val="004D7F37"/>
    <w:rsid w:val="004E00CE"/>
    <w:rsid w:val="004E04AB"/>
    <w:rsid w:val="004E0608"/>
    <w:rsid w:val="004E061F"/>
    <w:rsid w:val="004E0728"/>
    <w:rsid w:val="004E07A9"/>
    <w:rsid w:val="004E08C3"/>
    <w:rsid w:val="004E0ED3"/>
    <w:rsid w:val="004E1004"/>
    <w:rsid w:val="004E13BD"/>
    <w:rsid w:val="004E1B26"/>
    <w:rsid w:val="004E1DC4"/>
    <w:rsid w:val="004E1E1B"/>
    <w:rsid w:val="004E2020"/>
    <w:rsid w:val="004E2707"/>
    <w:rsid w:val="004E2869"/>
    <w:rsid w:val="004E2B3A"/>
    <w:rsid w:val="004E2B50"/>
    <w:rsid w:val="004E2C38"/>
    <w:rsid w:val="004E2F34"/>
    <w:rsid w:val="004E31A8"/>
    <w:rsid w:val="004E34AC"/>
    <w:rsid w:val="004E371C"/>
    <w:rsid w:val="004E37F6"/>
    <w:rsid w:val="004E3822"/>
    <w:rsid w:val="004E3918"/>
    <w:rsid w:val="004E3A91"/>
    <w:rsid w:val="004E3EAD"/>
    <w:rsid w:val="004E3F15"/>
    <w:rsid w:val="004E3F20"/>
    <w:rsid w:val="004E43F6"/>
    <w:rsid w:val="004E4598"/>
    <w:rsid w:val="004E4C50"/>
    <w:rsid w:val="004E50D2"/>
    <w:rsid w:val="004E51E0"/>
    <w:rsid w:val="004E5380"/>
    <w:rsid w:val="004E5CCA"/>
    <w:rsid w:val="004E5CFF"/>
    <w:rsid w:val="004E5E43"/>
    <w:rsid w:val="004E5F84"/>
    <w:rsid w:val="004E636C"/>
    <w:rsid w:val="004E6980"/>
    <w:rsid w:val="004E6E9D"/>
    <w:rsid w:val="004E72C4"/>
    <w:rsid w:val="004E73AF"/>
    <w:rsid w:val="004E7B02"/>
    <w:rsid w:val="004F01DF"/>
    <w:rsid w:val="004F0318"/>
    <w:rsid w:val="004F047E"/>
    <w:rsid w:val="004F05E8"/>
    <w:rsid w:val="004F06E5"/>
    <w:rsid w:val="004F07E6"/>
    <w:rsid w:val="004F08C5"/>
    <w:rsid w:val="004F0C48"/>
    <w:rsid w:val="004F0F2F"/>
    <w:rsid w:val="004F1A8E"/>
    <w:rsid w:val="004F206B"/>
    <w:rsid w:val="004F2118"/>
    <w:rsid w:val="004F23A8"/>
    <w:rsid w:val="004F24F6"/>
    <w:rsid w:val="004F24FB"/>
    <w:rsid w:val="004F2B75"/>
    <w:rsid w:val="004F2E53"/>
    <w:rsid w:val="004F2F3D"/>
    <w:rsid w:val="004F3092"/>
    <w:rsid w:val="004F33DC"/>
    <w:rsid w:val="004F33E9"/>
    <w:rsid w:val="004F3CA1"/>
    <w:rsid w:val="004F4076"/>
    <w:rsid w:val="004F4305"/>
    <w:rsid w:val="004F4354"/>
    <w:rsid w:val="004F4718"/>
    <w:rsid w:val="004F49E7"/>
    <w:rsid w:val="004F4E76"/>
    <w:rsid w:val="004F4EFD"/>
    <w:rsid w:val="004F4F65"/>
    <w:rsid w:val="004F532A"/>
    <w:rsid w:val="004F5431"/>
    <w:rsid w:val="004F556B"/>
    <w:rsid w:val="004F5893"/>
    <w:rsid w:val="004F5F08"/>
    <w:rsid w:val="004F60A1"/>
    <w:rsid w:val="004F638E"/>
    <w:rsid w:val="004F64CA"/>
    <w:rsid w:val="004F66F3"/>
    <w:rsid w:val="004F6B4C"/>
    <w:rsid w:val="004F6EEE"/>
    <w:rsid w:val="004F6F0F"/>
    <w:rsid w:val="004F72BA"/>
    <w:rsid w:val="004F7649"/>
    <w:rsid w:val="004F782C"/>
    <w:rsid w:val="004F784D"/>
    <w:rsid w:val="004F79B5"/>
    <w:rsid w:val="004F7CD0"/>
    <w:rsid w:val="004F7E48"/>
    <w:rsid w:val="005000D9"/>
    <w:rsid w:val="00500622"/>
    <w:rsid w:val="00500708"/>
    <w:rsid w:val="0050082C"/>
    <w:rsid w:val="00500ACE"/>
    <w:rsid w:val="00500BE5"/>
    <w:rsid w:val="00500E1C"/>
    <w:rsid w:val="00500E48"/>
    <w:rsid w:val="00500E86"/>
    <w:rsid w:val="005014BA"/>
    <w:rsid w:val="00501A46"/>
    <w:rsid w:val="00501D4E"/>
    <w:rsid w:val="00501E5A"/>
    <w:rsid w:val="00501EE1"/>
    <w:rsid w:val="00501EF8"/>
    <w:rsid w:val="00501FBE"/>
    <w:rsid w:val="00501FE2"/>
    <w:rsid w:val="0050214D"/>
    <w:rsid w:val="005021D4"/>
    <w:rsid w:val="005029BA"/>
    <w:rsid w:val="00502DCA"/>
    <w:rsid w:val="00502FF6"/>
    <w:rsid w:val="0050333A"/>
    <w:rsid w:val="0050346B"/>
    <w:rsid w:val="0050348C"/>
    <w:rsid w:val="005034D8"/>
    <w:rsid w:val="0050378B"/>
    <w:rsid w:val="005038F5"/>
    <w:rsid w:val="00503A6D"/>
    <w:rsid w:val="00503A7C"/>
    <w:rsid w:val="00503A84"/>
    <w:rsid w:val="00503EEB"/>
    <w:rsid w:val="00504113"/>
    <w:rsid w:val="0050413B"/>
    <w:rsid w:val="00504311"/>
    <w:rsid w:val="005044C5"/>
    <w:rsid w:val="005048F1"/>
    <w:rsid w:val="005049F0"/>
    <w:rsid w:val="00504A7A"/>
    <w:rsid w:val="00504BA6"/>
    <w:rsid w:val="00504CA9"/>
    <w:rsid w:val="00504DD5"/>
    <w:rsid w:val="00504E82"/>
    <w:rsid w:val="00504EB6"/>
    <w:rsid w:val="0050531B"/>
    <w:rsid w:val="0050548B"/>
    <w:rsid w:val="005056B3"/>
    <w:rsid w:val="00505785"/>
    <w:rsid w:val="00505834"/>
    <w:rsid w:val="00505E0F"/>
    <w:rsid w:val="00505F52"/>
    <w:rsid w:val="005064F3"/>
    <w:rsid w:val="00506557"/>
    <w:rsid w:val="005073A9"/>
    <w:rsid w:val="005074F1"/>
    <w:rsid w:val="005075CC"/>
    <w:rsid w:val="0050762B"/>
    <w:rsid w:val="00507680"/>
    <w:rsid w:val="0050768B"/>
    <w:rsid w:val="00507917"/>
    <w:rsid w:val="00507FEE"/>
    <w:rsid w:val="005102EA"/>
    <w:rsid w:val="00510617"/>
    <w:rsid w:val="005107D7"/>
    <w:rsid w:val="00510FF7"/>
    <w:rsid w:val="005117D6"/>
    <w:rsid w:val="00511862"/>
    <w:rsid w:val="00511B0E"/>
    <w:rsid w:val="00511CAC"/>
    <w:rsid w:val="0051202D"/>
    <w:rsid w:val="005121E0"/>
    <w:rsid w:val="00512356"/>
    <w:rsid w:val="00512373"/>
    <w:rsid w:val="005123A3"/>
    <w:rsid w:val="005124C8"/>
    <w:rsid w:val="005124DF"/>
    <w:rsid w:val="005129D7"/>
    <w:rsid w:val="00512B2F"/>
    <w:rsid w:val="005130E7"/>
    <w:rsid w:val="005130EC"/>
    <w:rsid w:val="0051335C"/>
    <w:rsid w:val="00513795"/>
    <w:rsid w:val="00513B7C"/>
    <w:rsid w:val="005142AE"/>
    <w:rsid w:val="0051430A"/>
    <w:rsid w:val="0051462E"/>
    <w:rsid w:val="00514852"/>
    <w:rsid w:val="00514984"/>
    <w:rsid w:val="00514E9B"/>
    <w:rsid w:val="00515003"/>
    <w:rsid w:val="0051511D"/>
    <w:rsid w:val="005153F2"/>
    <w:rsid w:val="0051544C"/>
    <w:rsid w:val="0051588C"/>
    <w:rsid w:val="00516721"/>
    <w:rsid w:val="00516A0B"/>
    <w:rsid w:val="00516A44"/>
    <w:rsid w:val="005171A2"/>
    <w:rsid w:val="005174AE"/>
    <w:rsid w:val="00517968"/>
    <w:rsid w:val="00517B38"/>
    <w:rsid w:val="00520530"/>
    <w:rsid w:val="00520718"/>
    <w:rsid w:val="005209EC"/>
    <w:rsid w:val="00520EED"/>
    <w:rsid w:val="00520F89"/>
    <w:rsid w:val="00521324"/>
    <w:rsid w:val="005218B3"/>
    <w:rsid w:val="005221A6"/>
    <w:rsid w:val="005221D6"/>
    <w:rsid w:val="00522498"/>
    <w:rsid w:val="005226EE"/>
    <w:rsid w:val="005227D6"/>
    <w:rsid w:val="00522E72"/>
    <w:rsid w:val="00522F8A"/>
    <w:rsid w:val="00523011"/>
    <w:rsid w:val="00523304"/>
    <w:rsid w:val="005234B5"/>
    <w:rsid w:val="00523526"/>
    <w:rsid w:val="005238AC"/>
    <w:rsid w:val="00523981"/>
    <w:rsid w:val="00523AE3"/>
    <w:rsid w:val="0052491A"/>
    <w:rsid w:val="00524C70"/>
    <w:rsid w:val="00524DBD"/>
    <w:rsid w:val="00524F4D"/>
    <w:rsid w:val="00525065"/>
    <w:rsid w:val="005253A3"/>
    <w:rsid w:val="00525AA1"/>
    <w:rsid w:val="0052605A"/>
    <w:rsid w:val="005262DE"/>
    <w:rsid w:val="005264BD"/>
    <w:rsid w:val="005267F0"/>
    <w:rsid w:val="00526FDC"/>
    <w:rsid w:val="00527163"/>
    <w:rsid w:val="0052716F"/>
    <w:rsid w:val="005274EA"/>
    <w:rsid w:val="00527982"/>
    <w:rsid w:val="00527993"/>
    <w:rsid w:val="00527AE4"/>
    <w:rsid w:val="00527C2A"/>
    <w:rsid w:val="00527DB5"/>
    <w:rsid w:val="00527E65"/>
    <w:rsid w:val="00527E6F"/>
    <w:rsid w:val="00530422"/>
    <w:rsid w:val="005304C8"/>
    <w:rsid w:val="00530814"/>
    <w:rsid w:val="00530877"/>
    <w:rsid w:val="00530C01"/>
    <w:rsid w:val="00531319"/>
    <w:rsid w:val="00531543"/>
    <w:rsid w:val="005317DE"/>
    <w:rsid w:val="00531804"/>
    <w:rsid w:val="00531BAF"/>
    <w:rsid w:val="00531E68"/>
    <w:rsid w:val="0053234C"/>
    <w:rsid w:val="00532467"/>
    <w:rsid w:val="005328B4"/>
    <w:rsid w:val="0053291F"/>
    <w:rsid w:val="00532C06"/>
    <w:rsid w:val="00532DD2"/>
    <w:rsid w:val="0053307C"/>
    <w:rsid w:val="00533253"/>
    <w:rsid w:val="00533270"/>
    <w:rsid w:val="00533437"/>
    <w:rsid w:val="00533B25"/>
    <w:rsid w:val="00533D06"/>
    <w:rsid w:val="0053464F"/>
    <w:rsid w:val="00534737"/>
    <w:rsid w:val="00534BA9"/>
    <w:rsid w:val="00534D9B"/>
    <w:rsid w:val="00534F58"/>
    <w:rsid w:val="0053551D"/>
    <w:rsid w:val="00535B32"/>
    <w:rsid w:val="00535D12"/>
    <w:rsid w:val="00535E34"/>
    <w:rsid w:val="0053615F"/>
    <w:rsid w:val="005362BB"/>
    <w:rsid w:val="005365D0"/>
    <w:rsid w:val="005366FE"/>
    <w:rsid w:val="00536B4B"/>
    <w:rsid w:val="00536B8F"/>
    <w:rsid w:val="00536D1F"/>
    <w:rsid w:val="00536E7B"/>
    <w:rsid w:val="00536F25"/>
    <w:rsid w:val="00536F62"/>
    <w:rsid w:val="00536F6A"/>
    <w:rsid w:val="005374F2"/>
    <w:rsid w:val="00537A67"/>
    <w:rsid w:val="00537E3F"/>
    <w:rsid w:val="00537F21"/>
    <w:rsid w:val="0054001D"/>
    <w:rsid w:val="00540457"/>
    <w:rsid w:val="00540868"/>
    <w:rsid w:val="00540C78"/>
    <w:rsid w:val="00541351"/>
    <w:rsid w:val="005414AC"/>
    <w:rsid w:val="0054150E"/>
    <w:rsid w:val="005416D7"/>
    <w:rsid w:val="00541717"/>
    <w:rsid w:val="00541ABB"/>
    <w:rsid w:val="00541CA2"/>
    <w:rsid w:val="00541CE9"/>
    <w:rsid w:val="005422AE"/>
    <w:rsid w:val="005423D0"/>
    <w:rsid w:val="00542628"/>
    <w:rsid w:val="00542724"/>
    <w:rsid w:val="00543052"/>
    <w:rsid w:val="00543324"/>
    <w:rsid w:val="0054332B"/>
    <w:rsid w:val="0054337D"/>
    <w:rsid w:val="005433C6"/>
    <w:rsid w:val="00543664"/>
    <w:rsid w:val="0054387E"/>
    <w:rsid w:val="00543AE0"/>
    <w:rsid w:val="00543AEC"/>
    <w:rsid w:val="0054412A"/>
    <w:rsid w:val="00544A88"/>
    <w:rsid w:val="00544BBB"/>
    <w:rsid w:val="0054510C"/>
    <w:rsid w:val="005453B3"/>
    <w:rsid w:val="0054564A"/>
    <w:rsid w:val="00545D55"/>
    <w:rsid w:val="005461EE"/>
    <w:rsid w:val="005462DB"/>
    <w:rsid w:val="00546422"/>
    <w:rsid w:val="00546534"/>
    <w:rsid w:val="0054681D"/>
    <w:rsid w:val="00546908"/>
    <w:rsid w:val="00546A01"/>
    <w:rsid w:val="00546DA6"/>
    <w:rsid w:val="00546E8B"/>
    <w:rsid w:val="00547053"/>
    <w:rsid w:val="00547216"/>
    <w:rsid w:val="00547944"/>
    <w:rsid w:val="00547C87"/>
    <w:rsid w:val="005503A1"/>
    <w:rsid w:val="00550530"/>
    <w:rsid w:val="00550550"/>
    <w:rsid w:val="005506E8"/>
    <w:rsid w:val="00550BE2"/>
    <w:rsid w:val="00551EE4"/>
    <w:rsid w:val="005522A4"/>
    <w:rsid w:val="00552B12"/>
    <w:rsid w:val="00552F64"/>
    <w:rsid w:val="005534D8"/>
    <w:rsid w:val="00553D2A"/>
    <w:rsid w:val="00553E0B"/>
    <w:rsid w:val="00553EA2"/>
    <w:rsid w:val="00554157"/>
    <w:rsid w:val="00554712"/>
    <w:rsid w:val="0055485E"/>
    <w:rsid w:val="00554A0E"/>
    <w:rsid w:val="00554EA6"/>
    <w:rsid w:val="00554FA0"/>
    <w:rsid w:val="00555213"/>
    <w:rsid w:val="0055531B"/>
    <w:rsid w:val="00555BA7"/>
    <w:rsid w:val="00555E58"/>
    <w:rsid w:val="005565B3"/>
    <w:rsid w:val="005566F3"/>
    <w:rsid w:val="00556ACE"/>
    <w:rsid w:val="00556BA2"/>
    <w:rsid w:val="00556FDE"/>
    <w:rsid w:val="00556FFB"/>
    <w:rsid w:val="005571CE"/>
    <w:rsid w:val="0055750F"/>
    <w:rsid w:val="005576D4"/>
    <w:rsid w:val="00557781"/>
    <w:rsid w:val="00557D45"/>
    <w:rsid w:val="005601A5"/>
    <w:rsid w:val="005604DF"/>
    <w:rsid w:val="00561391"/>
    <w:rsid w:val="005615BE"/>
    <w:rsid w:val="00561B4A"/>
    <w:rsid w:val="00561CDA"/>
    <w:rsid w:val="00561D5A"/>
    <w:rsid w:val="00562106"/>
    <w:rsid w:val="0056238A"/>
    <w:rsid w:val="005623B6"/>
    <w:rsid w:val="005623EF"/>
    <w:rsid w:val="00562BAC"/>
    <w:rsid w:val="00562EBA"/>
    <w:rsid w:val="00563236"/>
    <w:rsid w:val="00563563"/>
    <w:rsid w:val="005635AD"/>
    <w:rsid w:val="0056365F"/>
    <w:rsid w:val="005637AA"/>
    <w:rsid w:val="005639EB"/>
    <w:rsid w:val="00563AF2"/>
    <w:rsid w:val="005648C6"/>
    <w:rsid w:val="00564BF6"/>
    <w:rsid w:val="00564C38"/>
    <w:rsid w:val="00564F86"/>
    <w:rsid w:val="00564FF7"/>
    <w:rsid w:val="00565110"/>
    <w:rsid w:val="005654E3"/>
    <w:rsid w:val="005658E4"/>
    <w:rsid w:val="00565914"/>
    <w:rsid w:val="00565950"/>
    <w:rsid w:val="00565AF5"/>
    <w:rsid w:val="00565D98"/>
    <w:rsid w:val="00565F58"/>
    <w:rsid w:val="005662FD"/>
    <w:rsid w:val="0056635F"/>
    <w:rsid w:val="00566584"/>
    <w:rsid w:val="005669B1"/>
    <w:rsid w:val="00566B58"/>
    <w:rsid w:val="00566D25"/>
    <w:rsid w:val="00566EBD"/>
    <w:rsid w:val="0056730E"/>
    <w:rsid w:val="0056798C"/>
    <w:rsid w:val="00567AB6"/>
    <w:rsid w:val="00567B3E"/>
    <w:rsid w:val="00567BAB"/>
    <w:rsid w:val="00567F5B"/>
    <w:rsid w:val="005702A0"/>
    <w:rsid w:val="0057098F"/>
    <w:rsid w:val="00570D1F"/>
    <w:rsid w:val="00570D41"/>
    <w:rsid w:val="005711B1"/>
    <w:rsid w:val="005711ED"/>
    <w:rsid w:val="005716AD"/>
    <w:rsid w:val="005719CE"/>
    <w:rsid w:val="00571AFC"/>
    <w:rsid w:val="00571D4B"/>
    <w:rsid w:val="00571D6C"/>
    <w:rsid w:val="00571E65"/>
    <w:rsid w:val="00572083"/>
    <w:rsid w:val="005723E2"/>
    <w:rsid w:val="00572424"/>
    <w:rsid w:val="005724B0"/>
    <w:rsid w:val="00572F4B"/>
    <w:rsid w:val="00572FFE"/>
    <w:rsid w:val="00573394"/>
    <w:rsid w:val="00573A74"/>
    <w:rsid w:val="00573BC8"/>
    <w:rsid w:val="00573C96"/>
    <w:rsid w:val="00573D59"/>
    <w:rsid w:val="00573D9D"/>
    <w:rsid w:val="00573F74"/>
    <w:rsid w:val="00573FE0"/>
    <w:rsid w:val="00574304"/>
    <w:rsid w:val="00574380"/>
    <w:rsid w:val="0057452F"/>
    <w:rsid w:val="00574675"/>
    <w:rsid w:val="005749B5"/>
    <w:rsid w:val="00574BEE"/>
    <w:rsid w:val="00575006"/>
    <w:rsid w:val="00575310"/>
    <w:rsid w:val="0057542B"/>
    <w:rsid w:val="005758DD"/>
    <w:rsid w:val="00575BC5"/>
    <w:rsid w:val="00575BCE"/>
    <w:rsid w:val="00575C07"/>
    <w:rsid w:val="00576152"/>
    <w:rsid w:val="005768AB"/>
    <w:rsid w:val="00576BF0"/>
    <w:rsid w:val="00576FE7"/>
    <w:rsid w:val="005770C5"/>
    <w:rsid w:val="0057740C"/>
    <w:rsid w:val="00577618"/>
    <w:rsid w:val="005777B3"/>
    <w:rsid w:val="005779C0"/>
    <w:rsid w:val="00577B18"/>
    <w:rsid w:val="00577BEC"/>
    <w:rsid w:val="00577CA6"/>
    <w:rsid w:val="00577F41"/>
    <w:rsid w:val="005802ED"/>
    <w:rsid w:val="0058071B"/>
    <w:rsid w:val="00580838"/>
    <w:rsid w:val="00580F23"/>
    <w:rsid w:val="00580FC6"/>
    <w:rsid w:val="00581127"/>
    <w:rsid w:val="005811C2"/>
    <w:rsid w:val="00581353"/>
    <w:rsid w:val="005813C8"/>
    <w:rsid w:val="00581760"/>
    <w:rsid w:val="005817E3"/>
    <w:rsid w:val="00581895"/>
    <w:rsid w:val="00581A22"/>
    <w:rsid w:val="00581CA6"/>
    <w:rsid w:val="005823F6"/>
    <w:rsid w:val="00582744"/>
    <w:rsid w:val="00582D71"/>
    <w:rsid w:val="0058305D"/>
    <w:rsid w:val="0058314F"/>
    <w:rsid w:val="005833EE"/>
    <w:rsid w:val="00583872"/>
    <w:rsid w:val="005838C7"/>
    <w:rsid w:val="0058391C"/>
    <w:rsid w:val="0058395E"/>
    <w:rsid w:val="00583C58"/>
    <w:rsid w:val="00583FEF"/>
    <w:rsid w:val="005843D3"/>
    <w:rsid w:val="005843EC"/>
    <w:rsid w:val="00584566"/>
    <w:rsid w:val="00584670"/>
    <w:rsid w:val="005846BC"/>
    <w:rsid w:val="005848F7"/>
    <w:rsid w:val="00584989"/>
    <w:rsid w:val="00584A57"/>
    <w:rsid w:val="00584C2B"/>
    <w:rsid w:val="005850C1"/>
    <w:rsid w:val="005854F7"/>
    <w:rsid w:val="00585512"/>
    <w:rsid w:val="005856BE"/>
    <w:rsid w:val="005857B9"/>
    <w:rsid w:val="00585C53"/>
    <w:rsid w:val="00585EE3"/>
    <w:rsid w:val="0058616A"/>
    <w:rsid w:val="00586175"/>
    <w:rsid w:val="005869EF"/>
    <w:rsid w:val="00586AAD"/>
    <w:rsid w:val="00586D8B"/>
    <w:rsid w:val="00586F1B"/>
    <w:rsid w:val="00586FB0"/>
    <w:rsid w:val="005871B2"/>
    <w:rsid w:val="005877A9"/>
    <w:rsid w:val="00587C38"/>
    <w:rsid w:val="00587ECE"/>
    <w:rsid w:val="00590514"/>
    <w:rsid w:val="005905E1"/>
    <w:rsid w:val="00590769"/>
    <w:rsid w:val="00590C90"/>
    <w:rsid w:val="00590F7E"/>
    <w:rsid w:val="00591079"/>
    <w:rsid w:val="0059123E"/>
    <w:rsid w:val="00591267"/>
    <w:rsid w:val="005915D1"/>
    <w:rsid w:val="005916C9"/>
    <w:rsid w:val="00591A8A"/>
    <w:rsid w:val="00591B6E"/>
    <w:rsid w:val="00591EF7"/>
    <w:rsid w:val="0059208A"/>
    <w:rsid w:val="00592395"/>
    <w:rsid w:val="005924A1"/>
    <w:rsid w:val="005928E4"/>
    <w:rsid w:val="00592B6D"/>
    <w:rsid w:val="00592B82"/>
    <w:rsid w:val="00592BF1"/>
    <w:rsid w:val="00592C70"/>
    <w:rsid w:val="00592EAE"/>
    <w:rsid w:val="005932B6"/>
    <w:rsid w:val="0059349C"/>
    <w:rsid w:val="0059353F"/>
    <w:rsid w:val="005935CB"/>
    <w:rsid w:val="0059369D"/>
    <w:rsid w:val="00593920"/>
    <w:rsid w:val="00593B08"/>
    <w:rsid w:val="00593E1D"/>
    <w:rsid w:val="00593FF6"/>
    <w:rsid w:val="0059444A"/>
    <w:rsid w:val="00594614"/>
    <w:rsid w:val="00594653"/>
    <w:rsid w:val="005946F4"/>
    <w:rsid w:val="00594952"/>
    <w:rsid w:val="00594A19"/>
    <w:rsid w:val="00594C0D"/>
    <w:rsid w:val="00595159"/>
    <w:rsid w:val="005954C2"/>
    <w:rsid w:val="0059572F"/>
    <w:rsid w:val="005959DE"/>
    <w:rsid w:val="005959F1"/>
    <w:rsid w:val="00595D3B"/>
    <w:rsid w:val="00595E56"/>
    <w:rsid w:val="00595FA2"/>
    <w:rsid w:val="0059662E"/>
    <w:rsid w:val="00596D62"/>
    <w:rsid w:val="005970B2"/>
    <w:rsid w:val="00597157"/>
    <w:rsid w:val="00597384"/>
    <w:rsid w:val="00597544"/>
    <w:rsid w:val="005979D9"/>
    <w:rsid w:val="00597C7B"/>
    <w:rsid w:val="00597DD2"/>
    <w:rsid w:val="005A021C"/>
    <w:rsid w:val="005A04FB"/>
    <w:rsid w:val="005A0677"/>
    <w:rsid w:val="005A081D"/>
    <w:rsid w:val="005A0864"/>
    <w:rsid w:val="005A0AA2"/>
    <w:rsid w:val="005A1241"/>
    <w:rsid w:val="005A1C2B"/>
    <w:rsid w:val="005A1D40"/>
    <w:rsid w:val="005A21ED"/>
    <w:rsid w:val="005A2282"/>
    <w:rsid w:val="005A2843"/>
    <w:rsid w:val="005A2CF3"/>
    <w:rsid w:val="005A2DED"/>
    <w:rsid w:val="005A317B"/>
    <w:rsid w:val="005A3203"/>
    <w:rsid w:val="005A343E"/>
    <w:rsid w:val="005A3544"/>
    <w:rsid w:val="005A3568"/>
    <w:rsid w:val="005A368A"/>
    <w:rsid w:val="005A37BE"/>
    <w:rsid w:val="005A3EB6"/>
    <w:rsid w:val="005A3F06"/>
    <w:rsid w:val="005A3FE9"/>
    <w:rsid w:val="005A4275"/>
    <w:rsid w:val="005A438E"/>
    <w:rsid w:val="005A4505"/>
    <w:rsid w:val="005A4656"/>
    <w:rsid w:val="005A477B"/>
    <w:rsid w:val="005A489B"/>
    <w:rsid w:val="005A4C7F"/>
    <w:rsid w:val="005A4DB3"/>
    <w:rsid w:val="005A4E86"/>
    <w:rsid w:val="005A4EC6"/>
    <w:rsid w:val="005A52FD"/>
    <w:rsid w:val="005A53E9"/>
    <w:rsid w:val="005A5827"/>
    <w:rsid w:val="005A5870"/>
    <w:rsid w:val="005A5C77"/>
    <w:rsid w:val="005A5EDF"/>
    <w:rsid w:val="005A6590"/>
    <w:rsid w:val="005A66D4"/>
    <w:rsid w:val="005A6B1D"/>
    <w:rsid w:val="005A6EE5"/>
    <w:rsid w:val="005A7027"/>
    <w:rsid w:val="005A705F"/>
    <w:rsid w:val="005A75E1"/>
    <w:rsid w:val="005A780C"/>
    <w:rsid w:val="005A7CF5"/>
    <w:rsid w:val="005A7F82"/>
    <w:rsid w:val="005B04F6"/>
    <w:rsid w:val="005B0521"/>
    <w:rsid w:val="005B0607"/>
    <w:rsid w:val="005B06C8"/>
    <w:rsid w:val="005B0717"/>
    <w:rsid w:val="005B0985"/>
    <w:rsid w:val="005B0A53"/>
    <w:rsid w:val="005B0B23"/>
    <w:rsid w:val="005B1048"/>
    <w:rsid w:val="005B126A"/>
    <w:rsid w:val="005B178F"/>
    <w:rsid w:val="005B184A"/>
    <w:rsid w:val="005B1DBD"/>
    <w:rsid w:val="005B221D"/>
    <w:rsid w:val="005B2222"/>
    <w:rsid w:val="005B24DB"/>
    <w:rsid w:val="005B2534"/>
    <w:rsid w:val="005B26C8"/>
    <w:rsid w:val="005B2764"/>
    <w:rsid w:val="005B27A7"/>
    <w:rsid w:val="005B2A00"/>
    <w:rsid w:val="005B2E74"/>
    <w:rsid w:val="005B2EA7"/>
    <w:rsid w:val="005B3190"/>
    <w:rsid w:val="005B3307"/>
    <w:rsid w:val="005B36B9"/>
    <w:rsid w:val="005B37C2"/>
    <w:rsid w:val="005B3AC7"/>
    <w:rsid w:val="005B3DBA"/>
    <w:rsid w:val="005B3FCB"/>
    <w:rsid w:val="005B413C"/>
    <w:rsid w:val="005B4286"/>
    <w:rsid w:val="005B44A4"/>
    <w:rsid w:val="005B4519"/>
    <w:rsid w:val="005B4658"/>
    <w:rsid w:val="005B48C9"/>
    <w:rsid w:val="005B4ABA"/>
    <w:rsid w:val="005B4B57"/>
    <w:rsid w:val="005B4C60"/>
    <w:rsid w:val="005B51F5"/>
    <w:rsid w:val="005B5454"/>
    <w:rsid w:val="005B570F"/>
    <w:rsid w:val="005B58F7"/>
    <w:rsid w:val="005B5B59"/>
    <w:rsid w:val="005B5BE2"/>
    <w:rsid w:val="005B5C0D"/>
    <w:rsid w:val="005B5E19"/>
    <w:rsid w:val="005B6094"/>
    <w:rsid w:val="005B641F"/>
    <w:rsid w:val="005B6A43"/>
    <w:rsid w:val="005B6ACF"/>
    <w:rsid w:val="005B6BB7"/>
    <w:rsid w:val="005B71A7"/>
    <w:rsid w:val="005B75E9"/>
    <w:rsid w:val="005B75F5"/>
    <w:rsid w:val="005B79DB"/>
    <w:rsid w:val="005B7D05"/>
    <w:rsid w:val="005C01CC"/>
    <w:rsid w:val="005C039A"/>
    <w:rsid w:val="005C0695"/>
    <w:rsid w:val="005C0AC9"/>
    <w:rsid w:val="005C117B"/>
    <w:rsid w:val="005C1283"/>
    <w:rsid w:val="005C157E"/>
    <w:rsid w:val="005C18FC"/>
    <w:rsid w:val="005C191A"/>
    <w:rsid w:val="005C1A3A"/>
    <w:rsid w:val="005C1BA8"/>
    <w:rsid w:val="005C1C9F"/>
    <w:rsid w:val="005C1EAF"/>
    <w:rsid w:val="005C27CF"/>
    <w:rsid w:val="005C2869"/>
    <w:rsid w:val="005C291C"/>
    <w:rsid w:val="005C2D89"/>
    <w:rsid w:val="005C2EEA"/>
    <w:rsid w:val="005C3406"/>
    <w:rsid w:val="005C346F"/>
    <w:rsid w:val="005C34A2"/>
    <w:rsid w:val="005C3566"/>
    <w:rsid w:val="005C37C1"/>
    <w:rsid w:val="005C3A9B"/>
    <w:rsid w:val="005C3AE7"/>
    <w:rsid w:val="005C40AA"/>
    <w:rsid w:val="005C4A16"/>
    <w:rsid w:val="005C4B16"/>
    <w:rsid w:val="005C4BA0"/>
    <w:rsid w:val="005C508E"/>
    <w:rsid w:val="005C50DA"/>
    <w:rsid w:val="005C5110"/>
    <w:rsid w:val="005C52BA"/>
    <w:rsid w:val="005C5437"/>
    <w:rsid w:val="005C5EDF"/>
    <w:rsid w:val="005C6638"/>
    <w:rsid w:val="005C6664"/>
    <w:rsid w:val="005C680E"/>
    <w:rsid w:val="005C68C6"/>
    <w:rsid w:val="005C6A22"/>
    <w:rsid w:val="005C7463"/>
    <w:rsid w:val="005C7472"/>
    <w:rsid w:val="005C75EC"/>
    <w:rsid w:val="005C7743"/>
    <w:rsid w:val="005C786C"/>
    <w:rsid w:val="005C7E5B"/>
    <w:rsid w:val="005C7FE2"/>
    <w:rsid w:val="005D01C1"/>
    <w:rsid w:val="005D0503"/>
    <w:rsid w:val="005D08CF"/>
    <w:rsid w:val="005D0C38"/>
    <w:rsid w:val="005D0E41"/>
    <w:rsid w:val="005D0F35"/>
    <w:rsid w:val="005D0FF0"/>
    <w:rsid w:val="005D1A26"/>
    <w:rsid w:val="005D1C18"/>
    <w:rsid w:val="005D1ED1"/>
    <w:rsid w:val="005D24E7"/>
    <w:rsid w:val="005D261D"/>
    <w:rsid w:val="005D26E1"/>
    <w:rsid w:val="005D2E61"/>
    <w:rsid w:val="005D2EFC"/>
    <w:rsid w:val="005D2F52"/>
    <w:rsid w:val="005D325E"/>
    <w:rsid w:val="005D33D3"/>
    <w:rsid w:val="005D348A"/>
    <w:rsid w:val="005D3B51"/>
    <w:rsid w:val="005D3D97"/>
    <w:rsid w:val="005D4062"/>
    <w:rsid w:val="005D47CC"/>
    <w:rsid w:val="005D47E2"/>
    <w:rsid w:val="005D4B0E"/>
    <w:rsid w:val="005D4C97"/>
    <w:rsid w:val="005D4F00"/>
    <w:rsid w:val="005D52E5"/>
    <w:rsid w:val="005D53FE"/>
    <w:rsid w:val="005D582C"/>
    <w:rsid w:val="005D5EAC"/>
    <w:rsid w:val="005D639E"/>
    <w:rsid w:val="005D641A"/>
    <w:rsid w:val="005D6553"/>
    <w:rsid w:val="005D684A"/>
    <w:rsid w:val="005D6E98"/>
    <w:rsid w:val="005D6EA9"/>
    <w:rsid w:val="005D76A1"/>
    <w:rsid w:val="005D77E9"/>
    <w:rsid w:val="005D7A4B"/>
    <w:rsid w:val="005D7E62"/>
    <w:rsid w:val="005E08DE"/>
    <w:rsid w:val="005E097E"/>
    <w:rsid w:val="005E0B78"/>
    <w:rsid w:val="005E0BAD"/>
    <w:rsid w:val="005E10D4"/>
    <w:rsid w:val="005E1112"/>
    <w:rsid w:val="005E1157"/>
    <w:rsid w:val="005E1332"/>
    <w:rsid w:val="005E15B8"/>
    <w:rsid w:val="005E1972"/>
    <w:rsid w:val="005E1ADF"/>
    <w:rsid w:val="005E1DE8"/>
    <w:rsid w:val="005E1E9C"/>
    <w:rsid w:val="005E1E9E"/>
    <w:rsid w:val="005E22CD"/>
    <w:rsid w:val="005E2481"/>
    <w:rsid w:val="005E32B4"/>
    <w:rsid w:val="005E3660"/>
    <w:rsid w:val="005E37A2"/>
    <w:rsid w:val="005E39AD"/>
    <w:rsid w:val="005E41BC"/>
    <w:rsid w:val="005E43BF"/>
    <w:rsid w:val="005E47AF"/>
    <w:rsid w:val="005E4CA8"/>
    <w:rsid w:val="005E4DBF"/>
    <w:rsid w:val="005E4F39"/>
    <w:rsid w:val="005E4FBF"/>
    <w:rsid w:val="005E50E0"/>
    <w:rsid w:val="005E534E"/>
    <w:rsid w:val="005E53CB"/>
    <w:rsid w:val="005E592D"/>
    <w:rsid w:val="005E6220"/>
    <w:rsid w:val="005E652A"/>
    <w:rsid w:val="005E65AE"/>
    <w:rsid w:val="005E66B5"/>
    <w:rsid w:val="005E66F2"/>
    <w:rsid w:val="005E6A0C"/>
    <w:rsid w:val="005E6E34"/>
    <w:rsid w:val="005E6E87"/>
    <w:rsid w:val="005E6F79"/>
    <w:rsid w:val="005E7ACB"/>
    <w:rsid w:val="005E7C21"/>
    <w:rsid w:val="005F02E1"/>
    <w:rsid w:val="005F08D7"/>
    <w:rsid w:val="005F09CF"/>
    <w:rsid w:val="005F0A26"/>
    <w:rsid w:val="005F0CA7"/>
    <w:rsid w:val="005F0CF6"/>
    <w:rsid w:val="005F0E3D"/>
    <w:rsid w:val="005F1201"/>
    <w:rsid w:val="005F15D3"/>
    <w:rsid w:val="005F16EA"/>
    <w:rsid w:val="005F1814"/>
    <w:rsid w:val="005F1881"/>
    <w:rsid w:val="005F1B81"/>
    <w:rsid w:val="005F1EFE"/>
    <w:rsid w:val="005F215F"/>
    <w:rsid w:val="005F21EB"/>
    <w:rsid w:val="005F2DC9"/>
    <w:rsid w:val="005F310E"/>
    <w:rsid w:val="005F32C6"/>
    <w:rsid w:val="005F347D"/>
    <w:rsid w:val="005F3FB1"/>
    <w:rsid w:val="005F42CC"/>
    <w:rsid w:val="005F4558"/>
    <w:rsid w:val="005F4B1C"/>
    <w:rsid w:val="005F4D71"/>
    <w:rsid w:val="005F4E42"/>
    <w:rsid w:val="005F51F3"/>
    <w:rsid w:val="005F5672"/>
    <w:rsid w:val="005F57EC"/>
    <w:rsid w:val="005F5A37"/>
    <w:rsid w:val="005F5C67"/>
    <w:rsid w:val="005F65D9"/>
    <w:rsid w:val="005F6D18"/>
    <w:rsid w:val="005F7617"/>
    <w:rsid w:val="005F762E"/>
    <w:rsid w:val="005F7AC6"/>
    <w:rsid w:val="005F7C09"/>
    <w:rsid w:val="0060008C"/>
    <w:rsid w:val="00600099"/>
    <w:rsid w:val="006007DC"/>
    <w:rsid w:val="00600A08"/>
    <w:rsid w:val="00600CB9"/>
    <w:rsid w:val="00600D58"/>
    <w:rsid w:val="00600FC2"/>
    <w:rsid w:val="0060139B"/>
    <w:rsid w:val="006014AD"/>
    <w:rsid w:val="006018C9"/>
    <w:rsid w:val="00601954"/>
    <w:rsid w:val="00601C1D"/>
    <w:rsid w:val="0060215B"/>
    <w:rsid w:val="006022DF"/>
    <w:rsid w:val="0060237A"/>
    <w:rsid w:val="00602562"/>
    <w:rsid w:val="00602EDB"/>
    <w:rsid w:val="00602F07"/>
    <w:rsid w:val="006030CE"/>
    <w:rsid w:val="0060315A"/>
    <w:rsid w:val="00603474"/>
    <w:rsid w:val="006036C5"/>
    <w:rsid w:val="00603A93"/>
    <w:rsid w:val="00603AAB"/>
    <w:rsid w:val="00603B2B"/>
    <w:rsid w:val="006041B0"/>
    <w:rsid w:val="0060430B"/>
    <w:rsid w:val="00604415"/>
    <w:rsid w:val="0060508D"/>
    <w:rsid w:val="00605167"/>
    <w:rsid w:val="00605606"/>
    <w:rsid w:val="0060565B"/>
    <w:rsid w:val="00605C30"/>
    <w:rsid w:val="00605C8B"/>
    <w:rsid w:val="00605CB7"/>
    <w:rsid w:val="00605E1B"/>
    <w:rsid w:val="006063CB"/>
    <w:rsid w:val="006064B9"/>
    <w:rsid w:val="00606708"/>
    <w:rsid w:val="00606876"/>
    <w:rsid w:val="00606B79"/>
    <w:rsid w:val="00606CDF"/>
    <w:rsid w:val="00606FA1"/>
    <w:rsid w:val="006077CB"/>
    <w:rsid w:val="00607EBF"/>
    <w:rsid w:val="0061037E"/>
    <w:rsid w:val="00610583"/>
    <w:rsid w:val="006105E1"/>
    <w:rsid w:val="00610D8B"/>
    <w:rsid w:val="0061153F"/>
    <w:rsid w:val="006115BE"/>
    <w:rsid w:val="00611C44"/>
    <w:rsid w:val="00611F62"/>
    <w:rsid w:val="00612678"/>
    <w:rsid w:val="00612778"/>
    <w:rsid w:val="00612DAE"/>
    <w:rsid w:val="00613373"/>
    <w:rsid w:val="0061362A"/>
    <w:rsid w:val="006137C9"/>
    <w:rsid w:val="00613D14"/>
    <w:rsid w:val="00613F0B"/>
    <w:rsid w:val="006140F8"/>
    <w:rsid w:val="006142DC"/>
    <w:rsid w:val="00614447"/>
    <w:rsid w:val="0061459B"/>
    <w:rsid w:val="006145F2"/>
    <w:rsid w:val="0061484D"/>
    <w:rsid w:val="00614A6A"/>
    <w:rsid w:val="00614B15"/>
    <w:rsid w:val="00614BFF"/>
    <w:rsid w:val="00614C0B"/>
    <w:rsid w:val="00614E20"/>
    <w:rsid w:val="0061500D"/>
    <w:rsid w:val="0061504D"/>
    <w:rsid w:val="0061560D"/>
    <w:rsid w:val="00615707"/>
    <w:rsid w:val="00615D76"/>
    <w:rsid w:val="00615E51"/>
    <w:rsid w:val="006164F0"/>
    <w:rsid w:val="00616867"/>
    <w:rsid w:val="00617132"/>
    <w:rsid w:val="006179FA"/>
    <w:rsid w:val="00617A1C"/>
    <w:rsid w:val="006204FD"/>
    <w:rsid w:val="006211B6"/>
    <w:rsid w:val="006214E4"/>
    <w:rsid w:val="006215CC"/>
    <w:rsid w:val="00621AA6"/>
    <w:rsid w:val="00621B5E"/>
    <w:rsid w:val="00621B79"/>
    <w:rsid w:val="00622039"/>
    <w:rsid w:val="0062266E"/>
    <w:rsid w:val="00622A69"/>
    <w:rsid w:val="00622C66"/>
    <w:rsid w:val="006230E0"/>
    <w:rsid w:val="00623108"/>
    <w:rsid w:val="00623180"/>
    <w:rsid w:val="00623402"/>
    <w:rsid w:val="00623A66"/>
    <w:rsid w:val="00624264"/>
    <w:rsid w:val="00624410"/>
    <w:rsid w:val="0062450F"/>
    <w:rsid w:val="006246CF"/>
    <w:rsid w:val="00624F44"/>
    <w:rsid w:val="00625266"/>
    <w:rsid w:val="0062533C"/>
    <w:rsid w:val="006256AB"/>
    <w:rsid w:val="006257E7"/>
    <w:rsid w:val="00625882"/>
    <w:rsid w:val="0062592F"/>
    <w:rsid w:val="00625A50"/>
    <w:rsid w:val="00625CF1"/>
    <w:rsid w:val="00625E3E"/>
    <w:rsid w:val="00625E88"/>
    <w:rsid w:val="006260AF"/>
    <w:rsid w:val="00626475"/>
    <w:rsid w:val="006266F0"/>
    <w:rsid w:val="00626C00"/>
    <w:rsid w:val="00626E84"/>
    <w:rsid w:val="00627C2A"/>
    <w:rsid w:val="00627CD6"/>
    <w:rsid w:val="00627EE9"/>
    <w:rsid w:val="00627FEA"/>
    <w:rsid w:val="006303A6"/>
    <w:rsid w:val="006306D1"/>
    <w:rsid w:val="00630761"/>
    <w:rsid w:val="0063094D"/>
    <w:rsid w:val="00630A75"/>
    <w:rsid w:val="00630BBF"/>
    <w:rsid w:val="0063104E"/>
    <w:rsid w:val="006317AC"/>
    <w:rsid w:val="00631916"/>
    <w:rsid w:val="00631ADE"/>
    <w:rsid w:val="00631B35"/>
    <w:rsid w:val="00631FE0"/>
    <w:rsid w:val="00632053"/>
    <w:rsid w:val="0063207D"/>
    <w:rsid w:val="00632139"/>
    <w:rsid w:val="006324EA"/>
    <w:rsid w:val="00632667"/>
    <w:rsid w:val="006326B9"/>
    <w:rsid w:val="00632A7F"/>
    <w:rsid w:val="00632AA8"/>
    <w:rsid w:val="00632CC7"/>
    <w:rsid w:val="00632DF4"/>
    <w:rsid w:val="00633154"/>
    <w:rsid w:val="0063378E"/>
    <w:rsid w:val="0063383C"/>
    <w:rsid w:val="00633DE0"/>
    <w:rsid w:val="00633F9F"/>
    <w:rsid w:val="0063412F"/>
    <w:rsid w:val="0063415F"/>
    <w:rsid w:val="006346EE"/>
    <w:rsid w:val="006347BC"/>
    <w:rsid w:val="00634DE8"/>
    <w:rsid w:val="00634EDE"/>
    <w:rsid w:val="00635138"/>
    <w:rsid w:val="006351E5"/>
    <w:rsid w:val="00635778"/>
    <w:rsid w:val="00635C92"/>
    <w:rsid w:val="00636154"/>
    <w:rsid w:val="00636342"/>
    <w:rsid w:val="0063648E"/>
    <w:rsid w:val="00636610"/>
    <w:rsid w:val="006367E6"/>
    <w:rsid w:val="00636FDC"/>
    <w:rsid w:val="00637220"/>
    <w:rsid w:val="006376B5"/>
    <w:rsid w:val="006376E6"/>
    <w:rsid w:val="006378DF"/>
    <w:rsid w:val="00637DC2"/>
    <w:rsid w:val="00640082"/>
    <w:rsid w:val="00640C15"/>
    <w:rsid w:val="00640D06"/>
    <w:rsid w:val="00640F2C"/>
    <w:rsid w:val="006412A3"/>
    <w:rsid w:val="00641434"/>
    <w:rsid w:val="0064170A"/>
    <w:rsid w:val="006424E8"/>
    <w:rsid w:val="006425BF"/>
    <w:rsid w:val="00642945"/>
    <w:rsid w:val="00642D96"/>
    <w:rsid w:val="00643411"/>
    <w:rsid w:val="00643552"/>
    <w:rsid w:val="006435D0"/>
    <w:rsid w:val="0064360D"/>
    <w:rsid w:val="00643ED5"/>
    <w:rsid w:val="00644851"/>
    <w:rsid w:val="00644C8B"/>
    <w:rsid w:val="00644CFC"/>
    <w:rsid w:val="0064548C"/>
    <w:rsid w:val="006458BA"/>
    <w:rsid w:val="00645A2E"/>
    <w:rsid w:val="00645BC0"/>
    <w:rsid w:val="00645D4F"/>
    <w:rsid w:val="00645E55"/>
    <w:rsid w:val="0064627C"/>
    <w:rsid w:val="00646362"/>
    <w:rsid w:val="00646B7D"/>
    <w:rsid w:val="006471DE"/>
    <w:rsid w:val="006471E7"/>
    <w:rsid w:val="00647387"/>
    <w:rsid w:val="00647A8A"/>
    <w:rsid w:val="00647AFF"/>
    <w:rsid w:val="00647B45"/>
    <w:rsid w:val="0065070B"/>
    <w:rsid w:val="00650890"/>
    <w:rsid w:val="006509D7"/>
    <w:rsid w:val="00650B0C"/>
    <w:rsid w:val="00650D01"/>
    <w:rsid w:val="006511D2"/>
    <w:rsid w:val="006515C1"/>
    <w:rsid w:val="00651767"/>
    <w:rsid w:val="00652172"/>
    <w:rsid w:val="0065290B"/>
    <w:rsid w:val="00652AF1"/>
    <w:rsid w:val="00652AFA"/>
    <w:rsid w:val="00652B46"/>
    <w:rsid w:val="00652DC8"/>
    <w:rsid w:val="00652DCB"/>
    <w:rsid w:val="0065303F"/>
    <w:rsid w:val="00653282"/>
    <w:rsid w:val="00653803"/>
    <w:rsid w:val="00653AB9"/>
    <w:rsid w:val="00653BD7"/>
    <w:rsid w:val="00653F00"/>
    <w:rsid w:val="00654043"/>
    <w:rsid w:val="00654308"/>
    <w:rsid w:val="0065431E"/>
    <w:rsid w:val="00654397"/>
    <w:rsid w:val="00654E1F"/>
    <w:rsid w:val="00654EB7"/>
    <w:rsid w:val="006550C4"/>
    <w:rsid w:val="006550E7"/>
    <w:rsid w:val="00655492"/>
    <w:rsid w:val="00655546"/>
    <w:rsid w:val="00655CB9"/>
    <w:rsid w:val="00655CE2"/>
    <w:rsid w:val="00655E01"/>
    <w:rsid w:val="006561A4"/>
    <w:rsid w:val="0065627D"/>
    <w:rsid w:val="0065655B"/>
    <w:rsid w:val="006569A5"/>
    <w:rsid w:val="00656ADB"/>
    <w:rsid w:val="006571B8"/>
    <w:rsid w:val="006572F0"/>
    <w:rsid w:val="006574E2"/>
    <w:rsid w:val="006576F5"/>
    <w:rsid w:val="006578A4"/>
    <w:rsid w:val="00657BB1"/>
    <w:rsid w:val="00657F29"/>
    <w:rsid w:val="00657FA5"/>
    <w:rsid w:val="0066086E"/>
    <w:rsid w:val="00660AA4"/>
    <w:rsid w:val="00660CA3"/>
    <w:rsid w:val="00660E3E"/>
    <w:rsid w:val="0066144C"/>
    <w:rsid w:val="00661678"/>
    <w:rsid w:val="006617A2"/>
    <w:rsid w:val="0066183A"/>
    <w:rsid w:val="0066224A"/>
    <w:rsid w:val="00662536"/>
    <w:rsid w:val="00662B8A"/>
    <w:rsid w:val="00662FA8"/>
    <w:rsid w:val="006633AA"/>
    <w:rsid w:val="006633C3"/>
    <w:rsid w:val="006639A5"/>
    <w:rsid w:val="00663AF6"/>
    <w:rsid w:val="00663BBB"/>
    <w:rsid w:val="00663C27"/>
    <w:rsid w:val="006640D8"/>
    <w:rsid w:val="006642C1"/>
    <w:rsid w:val="00664383"/>
    <w:rsid w:val="0066445A"/>
    <w:rsid w:val="00664901"/>
    <w:rsid w:val="006650C5"/>
    <w:rsid w:val="00665893"/>
    <w:rsid w:val="00666069"/>
    <w:rsid w:val="006662BF"/>
    <w:rsid w:val="00666347"/>
    <w:rsid w:val="006663AD"/>
    <w:rsid w:val="0066645D"/>
    <w:rsid w:val="00666484"/>
    <w:rsid w:val="006666D9"/>
    <w:rsid w:val="006666F0"/>
    <w:rsid w:val="0066674B"/>
    <w:rsid w:val="00666C18"/>
    <w:rsid w:val="006670A0"/>
    <w:rsid w:val="00667305"/>
    <w:rsid w:val="006678B7"/>
    <w:rsid w:val="00667979"/>
    <w:rsid w:val="00667AED"/>
    <w:rsid w:val="00667B23"/>
    <w:rsid w:val="00667DF7"/>
    <w:rsid w:val="00667FB9"/>
    <w:rsid w:val="00670143"/>
    <w:rsid w:val="00670236"/>
    <w:rsid w:val="00670295"/>
    <w:rsid w:val="00670553"/>
    <w:rsid w:val="00670758"/>
    <w:rsid w:val="006708BF"/>
    <w:rsid w:val="00670B29"/>
    <w:rsid w:val="00670C41"/>
    <w:rsid w:val="00670FCF"/>
    <w:rsid w:val="006712C9"/>
    <w:rsid w:val="0067134C"/>
    <w:rsid w:val="006717D9"/>
    <w:rsid w:val="00671A3E"/>
    <w:rsid w:val="00671AC2"/>
    <w:rsid w:val="00671BA9"/>
    <w:rsid w:val="00671C99"/>
    <w:rsid w:val="00671DBF"/>
    <w:rsid w:val="00671E1A"/>
    <w:rsid w:val="00671F81"/>
    <w:rsid w:val="00672076"/>
    <w:rsid w:val="00672498"/>
    <w:rsid w:val="006726B4"/>
    <w:rsid w:val="00672DBF"/>
    <w:rsid w:val="00672FC6"/>
    <w:rsid w:val="006733CD"/>
    <w:rsid w:val="006738FD"/>
    <w:rsid w:val="00673B0E"/>
    <w:rsid w:val="00673BDC"/>
    <w:rsid w:val="00673DB0"/>
    <w:rsid w:val="0067410C"/>
    <w:rsid w:val="0067466E"/>
    <w:rsid w:val="00674753"/>
    <w:rsid w:val="006748D6"/>
    <w:rsid w:val="00674EFD"/>
    <w:rsid w:val="00675137"/>
    <w:rsid w:val="0067526D"/>
    <w:rsid w:val="00675646"/>
    <w:rsid w:val="00675670"/>
    <w:rsid w:val="00675798"/>
    <w:rsid w:val="00675ABF"/>
    <w:rsid w:val="00675CA3"/>
    <w:rsid w:val="00675F10"/>
    <w:rsid w:val="0067623C"/>
    <w:rsid w:val="0067676B"/>
    <w:rsid w:val="0067688A"/>
    <w:rsid w:val="00676B79"/>
    <w:rsid w:val="00676B88"/>
    <w:rsid w:val="00676F57"/>
    <w:rsid w:val="006771BC"/>
    <w:rsid w:val="0067779B"/>
    <w:rsid w:val="00677811"/>
    <w:rsid w:val="00677C1B"/>
    <w:rsid w:val="00677C5F"/>
    <w:rsid w:val="00677EB6"/>
    <w:rsid w:val="00677EDB"/>
    <w:rsid w:val="00677EFC"/>
    <w:rsid w:val="00680219"/>
    <w:rsid w:val="0068043B"/>
    <w:rsid w:val="00680794"/>
    <w:rsid w:val="006807F2"/>
    <w:rsid w:val="0068086F"/>
    <w:rsid w:val="006809B0"/>
    <w:rsid w:val="00680B72"/>
    <w:rsid w:val="00680E85"/>
    <w:rsid w:val="00680F0A"/>
    <w:rsid w:val="006810C7"/>
    <w:rsid w:val="00681647"/>
    <w:rsid w:val="006818CF"/>
    <w:rsid w:val="00681924"/>
    <w:rsid w:val="006819B8"/>
    <w:rsid w:val="00681C2D"/>
    <w:rsid w:val="00681EFF"/>
    <w:rsid w:val="00681FDD"/>
    <w:rsid w:val="00682485"/>
    <w:rsid w:val="006829EE"/>
    <w:rsid w:val="00682F5F"/>
    <w:rsid w:val="0068308A"/>
    <w:rsid w:val="006835B8"/>
    <w:rsid w:val="0068378D"/>
    <w:rsid w:val="006838F0"/>
    <w:rsid w:val="00683B3B"/>
    <w:rsid w:val="006843BC"/>
    <w:rsid w:val="00684444"/>
    <w:rsid w:val="00684585"/>
    <w:rsid w:val="00684920"/>
    <w:rsid w:val="00684C51"/>
    <w:rsid w:val="00684CBB"/>
    <w:rsid w:val="00685860"/>
    <w:rsid w:val="006858CB"/>
    <w:rsid w:val="00685B7F"/>
    <w:rsid w:val="00685DFB"/>
    <w:rsid w:val="00686367"/>
    <w:rsid w:val="00686A3F"/>
    <w:rsid w:val="00686C9D"/>
    <w:rsid w:val="00686F2A"/>
    <w:rsid w:val="006872BA"/>
    <w:rsid w:val="00687557"/>
    <w:rsid w:val="006875B7"/>
    <w:rsid w:val="00687791"/>
    <w:rsid w:val="006878DE"/>
    <w:rsid w:val="00687B26"/>
    <w:rsid w:val="00687F66"/>
    <w:rsid w:val="0069010D"/>
    <w:rsid w:val="006901EF"/>
    <w:rsid w:val="00690A11"/>
    <w:rsid w:val="00690A98"/>
    <w:rsid w:val="00691217"/>
    <w:rsid w:val="0069187B"/>
    <w:rsid w:val="00691957"/>
    <w:rsid w:val="00691C7A"/>
    <w:rsid w:val="0069219F"/>
    <w:rsid w:val="006923AC"/>
    <w:rsid w:val="0069269C"/>
    <w:rsid w:val="006926AA"/>
    <w:rsid w:val="006926D7"/>
    <w:rsid w:val="006927E1"/>
    <w:rsid w:val="00692DD4"/>
    <w:rsid w:val="00692F84"/>
    <w:rsid w:val="00692FA2"/>
    <w:rsid w:val="006930B8"/>
    <w:rsid w:val="006931A3"/>
    <w:rsid w:val="00693334"/>
    <w:rsid w:val="00693BBF"/>
    <w:rsid w:val="00693BFD"/>
    <w:rsid w:val="00693C60"/>
    <w:rsid w:val="00693FDD"/>
    <w:rsid w:val="006940AB"/>
    <w:rsid w:val="006942FE"/>
    <w:rsid w:val="006948A9"/>
    <w:rsid w:val="00694DD6"/>
    <w:rsid w:val="00694DDD"/>
    <w:rsid w:val="00695255"/>
    <w:rsid w:val="0069546A"/>
    <w:rsid w:val="00695B32"/>
    <w:rsid w:val="00696531"/>
    <w:rsid w:val="00696753"/>
    <w:rsid w:val="00696F52"/>
    <w:rsid w:val="0069728C"/>
    <w:rsid w:val="0069753B"/>
    <w:rsid w:val="00697752"/>
    <w:rsid w:val="0069796C"/>
    <w:rsid w:val="00697973"/>
    <w:rsid w:val="00697D74"/>
    <w:rsid w:val="00697F4F"/>
    <w:rsid w:val="006A09E3"/>
    <w:rsid w:val="006A0B47"/>
    <w:rsid w:val="006A0C26"/>
    <w:rsid w:val="006A0E85"/>
    <w:rsid w:val="006A0FF6"/>
    <w:rsid w:val="006A1430"/>
    <w:rsid w:val="006A181B"/>
    <w:rsid w:val="006A19DC"/>
    <w:rsid w:val="006A1BEC"/>
    <w:rsid w:val="006A21E1"/>
    <w:rsid w:val="006A244F"/>
    <w:rsid w:val="006A24A5"/>
    <w:rsid w:val="006A2854"/>
    <w:rsid w:val="006A345C"/>
    <w:rsid w:val="006A3662"/>
    <w:rsid w:val="006A3A0A"/>
    <w:rsid w:val="006A3B25"/>
    <w:rsid w:val="006A3CB2"/>
    <w:rsid w:val="006A446E"/>
    <w:rsid w:val="006A4D39"/>
    <w:rsid w:val="006A4F83"/>
    <w:rsid w:val="006A5232"/>
    <w:rsid w:val="006A5267"/>
    <w:rsid w:val="006A527E"/>
    <w:rsid w:val="006A54B5"/>
    <w:rsid w:val="006A5AD0"/>
    <w:rsid w:val="006A5F1B"/>
    <w:rsid w:val="006A629D"/>
    <w:rsid w:val="006A68DF"/>
    <w:rsid w:val="006A6BC3"/>
    <w:rsid w:val="006A6DC0"/>
    <w:rsid w:val="006A719F"/>
    <w:rsid w:val="006A7A01"/>
    <w:rsid w:val="006A7B1B"/>
    <w:rsid w:val="006A7D34"/>
    <w:rsid w:val="006B08C4"/>
    <w:rsid w:val="006B1278"/>
    <w:rsid w:val="006B16AC"/>
    <w:rsid w:val="006B19FF"/>
    <w:rsid w:val="006B1ADF"/>
    <w:rsid w:val="006B2162"/>
    <w:rsid w:val="006B2540"/>
    <w:rsid w:val="006B2550"/>
    <w:rsid w:val="006B2A65"/>
    <w:rsid w:val="006B2D3C"/>
    <w:rsid w:val="006B2F6E"/>
    <w:rsid w:val="006B330C"/>
    <w:rsid w:val="006B3595"/>
    <w:rsid w:val="006B360F"/>
    <w:rsid w:val="006B37DA"/>
    <w:rsid w:val="006B38B3"/>
    <w:rsid w:val="006B3E2A"/>
    <w:rsid w:val="006B423D"/>
    <w:rsid w:val="006B43D0"/>
    <w:rsid w:val="006B4594"/>
    <w:rsid w:val="006B46FC"/>
    <w:rsid w:val="006B4B83"/>
    <w:rsid w:val="006B4D32"/>
    <w:rsid w:val="006B4E09"/>
    <w:rsid w:val="006B51CD"/>
    <w:rsid w:val="006B55C9"/>
    <w:rsid w:val="006B5641"/>
    <w:rsid w:val="006B5C14"/>
    <w:rsid w:val="006B5E3F"/>
    <w:rsid w:val="006B6884"/>
    <w:rsid w:val="006B6CFF"/>
    <w:rsid w:val="006B6DE8"/>
    <w:rsid w:val="006B6F21"/>
    <w:rsid w:val="006B707E"/>
    <w:rsid w:val="006B729B"/>
    <w:rsid w:val="006B74AB"/>
    <w:rsid w:val="006B7CDF"/>
    <w:rsid w:val="006B7EDF"/>
    <w:rsid w:val="006B7F04"/>
    <w:rsid w:val="006C051B"/>
    <w:rsid w:val="006C10E0"/>
    <w:rsid w:val="006C1289"/>
    <w:rsid w:val="006C130A"/>
    <w:rsid w:val="006C1732"/>
    <w:rsid w:val="006C195E"/>
    <w:rsid w:val="006C1E6B"/>
    <w:rsid w:val="006C1F5B"/>
    <w:rsid w:val="006C1F87"/>
    <w:rsid w:val="006C22BA"/>
    <w:rsid w:val="006C23AB"/>
    <w:rsid w:val="006C2546"/>
    <w:rsid w:val="006C2602"/>
    <w:rsid w:val="006C3226"/>
    <w:rsid w:val="006C3504"/>
    <w:rsid w:val="006C3942"/>
    <w:rsid w:val="006C3944"/>
    <w:rsid w:val="006C4054"/>
    <w:rsid w:val="006C4200"/>
    <w:rsid w:val="006C4852"/>
    <w:rsid w:val="006C48B0"/>
    <w:rsid w:val="006C4B3C"/>
    <w:rsid w:val="006C4C61"/>
    <w:rsid w:val="006C4F12"/>
    <w:rsid w:val="006C5404"/>
    <w:rsid w:val="006C5668"/>
    <w:rsid w:val="006C5CBA"/>
    <w:rsid w:val="006C61BF"/>
    <w:rsid w:val="006C622C"/>
    <w:rsid w:val="006C65F1"/>
    <w:rsid w:val="006C6601"/>
    <w:rsid w:val="006C69A6"/>
    <w:rsid w:val="006C6DB6"/>
    <w:rsid w:val="006C6E56"/>
    <w:rsid w:val="006C6F02"/>
    <w:rsid w:val="006C73C7"/>
    <w:rsid w:val="006C73CE"/>
    <w:rsid w:val="006C76ED"/>
    <w:rsid w:val="006C77ED"/>
    <w:rsid w:val="006C78E1"/>
    <w:rsid w:val="006C7DD2"/>
    <w:rsid w:val="006C7DF2"/>
    <w:rsid w:val="006C7ECE"/>
    <w:rsid w:val="006D01B8"/>
    <w:rsid w:val="006D0472"/>
    <w:rsid w:val="006D0583"/>
    <w:rsid w:val="006D069E"/>
    <w:rsid w:val="006D0880"/>
    <w:rsid w:val="006D116E"/>
    <w:rsid w:val="006D119A"/>
    <w:rsid w:val="006D1CC2"/>
    <w:rsid w:val="006D1D85"/>
    <w:rsid w:val="006D22C4"/>
    <w:rsid w:val="006D252C"/>
    <w:rsid w:val="006D2A11"/>
    <w:rsid w:val="006D2E48"/>
    <w:rsid w:val="006D2FE9"/>
    <w:rsid w:val="006D3000"/>
    <w:rsid w:val="006D34B8"/>
    <w:rsid w:val="006D37E5"/>
    <w:rsid w:val="006D37EE"/>
    <w:rsid w:val="006D3CB6"/>
    <w:rsid w:val="006D4ED2"/>
    <w:rsid w:val="006D5191"/>
    <w:rsid w:val="006D56FA"/>
    <w:rsid w:val="006D5A3F"/>
    <w:rsid w:val="006D5AAF"/>
    <w:rsid w:val="006D5C03"/>
    <w:rsid w:val="006D5DDD"/>
    <w:rsid w:val="006D5FAF"/>
    <w:rsid w:val="006D639C"/>
    <w:rsid w:val="006D66BF"/>
    <w:rsid w:val="006D6C83"/>
    <w:rsid w:val="006D7297"/>
    <w:rsid w:val="006D73C2"/>
    <w:rsid w:val="006D7407"/>
    <w:rsid w:val="006D78FD"/>
    <w:rsid w:val="006D7A51"/>
    <w:rsid w:val="006E010B"/>
    <w:rsid w:val="006E03A3"/>
    <w:rsid w:val="006E06DB"/>
    <w:rsid w:val="006E0708"/>
    <w:rsid w:val="006E0C68"/>
    <w:rsid w:val="006E0F7A"/>
    <w:rsid w:val="006E15A0"/>
    <w:rsid w:val="006E1C6F"/>
    <w:rsid w:val="006E20F4"/>
    <w:rsid w:val="006E243B"/>
    <w:rsid w:val="006E27B8"/>
    <w:rsid w:val="006E2992"/>
    <w:rsid w:val="006E2B91"/>
    <w:rsid w:val="006E2BD4"/>
    <w:rsid w:val="006E2CD9"/>
    <w:rsid w:val="006E2D99"/>
    <w:rsid w:val="006E2FA2"/>
    <w:rsid w:val="006E3119"/>
    <w:rsid w:val="006E326C"/>
    <w:rsid w:val="006E32B5"/>
    <w:rsid w:val="006E34B4"/>
    <w:rsid w:val="006E3558"/>
    <w:rsid w:val="006E366D"/>
    <w:rsid w:val="006E36E2"/>
    <w:rsid w:val="006E37AA"/>
    <w:rsid w:val="006E3AB3"/>
    <w:rsid w:val="006E3BA9"/>
    <w:rsid w:val="006E420D"/>
    <w:rsid w:val="006E4248"/>
    <w:rsid w:val="006E4324"/>
    <w:rsid w:val="006E4563"/>
    <w:rsid w:val="006E4A31"/>
    <w:rsid w:val="006E4CE6"/>
    <w:rsid w:val="006E4E67"/>
    <w:rsid w:val="006E5226"/>
    <w:rsid w:val="006E524D"/>
    <w:rsid w:val="006E55D0"/>
    <w:rsid w:val="006E564A"/>
    <w:rsid w:val="006E56C4"/>
    <w:rsid w:val="006E5788"/>
    <w:rsid w:val="006E59B7"/>
    <w:rsid w:val="006E6348"/>
    <w:rsid w:val="006E63AA"/>
    <w:rsid w:val="006E6B16"/>
    <w:rsid w:val="006E6C14"/>
    <w:rsid w:val="006E726D"/>
    <w:rsid w:val="006F007C"/>
    <w:rsid w:val="006F03F3"/>
    <w:rsid w:val="006F05DF"/>
    <w:rsid w:val="006F0CA2"/>
    <w:rsid w:val="006F0D0C"/>
    <w:rsid w:val="006F0E41"/>
    <w:rsid w:val="006F0E9C"/>
    <w:rsid w:val="006F0F53"/>
    <w:rsid w:val="006F10B1"/>
    <w:rsid w:val="006F14FB"/>
    <w:rsid w:val="006F17AE"/>
    <w:rsid w:val="006F1CE7"/>
    <w:rsid w:val="006F1EA3"/>
    <w:rsid w:val="006F21F6"/>
    <w:rsid w:val="006F2701"/>
    <w:rsid w:val="006F27D6"/>
    <w:rsid w:val="006F28A8"/>
    <w:rsid w:val="006F29BF"/>
    <w:rsid w:val="006F2CF5"/>
    <w:rsid w:val="006F3303"/>
    <w:rsid w:val="006F3B7B"/>
    <w:rsid w:val="006F3D5C"/>
    <w:rsid w:val="006F4392"/>
    <w:rsid w:val="006F4594"/>
    <w:rsid w:val="006F4DBD"/>
    <w:rsid w:val="006F4E2D"/>
    <w:rsid w:val="006F4EFE"/>
    <w:rsid w:val="006F508E"/>
    <w:rsid w:val="006F532C"/>
    <w:rsid w:val="006F55E5"/>
    <w:rsid w:val="006F5CD0"/>
    <w:rsid w:val="006F5E92"/>
    <w:rsid w:val="006F606E"/>
    <w:rsid w:val="006F60A1"/>
    <w:rsid w:val="006F6436"/>
    <w:rsid w:val="006F644C"/>
    <w:rsid w:val="006F69CF"/>
    <w:rsid w:val="006F6DE7"/>
    <w:rsid w:val="006F6FAB"/>
    <w:rsid w:val="006F7141"/>
    <w:rsid w:val="006F7463"/>
    <w:rsid w:val="006F77A2"/>
    <w:rsid w:val="006F7A80"/>
    <w:rsid w:val="006F7BE0"/>
    <w:rsid w:val="0070004E"/>
    <w:rsid w:val="0070052E"/>
    <w:rsid w:val="007005C3"/>
    <w:rsid w:val="0070083C"/>
    <w:rsid w:val="0070095C"/>
    <w:rsid w:val="00700DAB"/>
    <w:rsid w:val="0070157B"/>
    <w:rsid w:val="007015AC"/>
    <w:rsid w:val="007015B7"/>
    <w:rsid w:val="00701665"/>
    <w:rsid w:val="00701BEF"/>
    <w:rsid w:val="00701EDF"/>
    <w:rsid w:val="0070225A"/>
    <w:rsid w:val="007024D5"/>
    <w:rsid w:val="0070251C"/>
    <w:rsid w:val="007028E1"/>
    <w:rsid w:val="00702F9C"/>
    <w:rsid w:val="00703072"/>
    <w:rsid w:val="0070308A"/>
    <w:rsid w:val="007031B5"/>
    <w:rsid w:val="00703403"/>
    <w:rsid w:val="0070359B"/>
    <w:rsid w:val="00704391"/>
    <w:rsid w:val="007045CC"/>
    <w:rsid w:val="0070489F"/>
    <w:rsid w:val="007048CE"/>
    <w:rsid w:val="0070498D"/>
    <w:rsid w:val="00704CAA"/>
    <w:rsid w:val="00704F3D"/>
    <w:rsid w:val="00705060"/>
    <w:rsid w:val="007050BF"/>
    <w:rsid w:val="00705387"/>
    <w:rsid w:val="0070542F"/>
    <w:rsid w:val="007054C6"/>
    <w:rsid w:val="00705742"/>
    <w:rsid w:val="007057E3"/>
    <w:rsid w:val="0070584F"/>
    <w:rsid w:val="00705882"/>
    <w:rsid w:val="00705A73"/>
    <w:rsid w:val="00705A78"/>
    <w:rsid w:val="00705C77"/>
    <w:rsid w:val="00706380"/>
    <w:rsid w:val="00706435"/>
    <w:rsid w:val="00706E11"/>
    <w:rsid w:val="00706E1F"/>
    <w:rsid w:val="00706E8B"/>
    <w:rsid w:val="007077D6"/>
    <w:rsid w:val="0070797C"/>
    <w:rsid w:val="00707A3B"/>
    <w:rsid w:val="00707C93"/>
    <w:rsid w:val="00710147"/>
    <w:rsid w:val="00710227"/>
    <w:rsid w:val="00710B7C"/>
    <w:rsid w:val="00710B98"/>
    <w:rsid w:val="00710EC5"/>
    <w:rsid w:val="0071146F"/>
    <w:rsid w:val="007119FE"/>
    <w:rsid w:val="00711C3B"/>
    <w:rsid w:val="007121B0"/>
    <w:rsid w:val="00712278"/>
    <w:rsid w:val="0071272D"/>
    <w:rsid w:val="007127FD"/>
    <w:rsid w:val="00712925"/>
    <w:rsid w:val="00712FF6"/>
    <w:rsid w:val="0071309B"/>
    <w:rsid w:val="007134EC"/>
    <w:rsid w:val="00713848"/>
    <w:rsid w:val="0071399B"/>
    <w:rsid w:val="00713C81"/>
    <w:rsid w:val="00713CE9"/>
    <w:rsid w:val="00713DF8"/>
    <w:rsid w:val="00713F2D"/>
    <w:rsid w:val="0071448A"/>
    <w:rsid w:val="007144D5"/>
    <w:rsid w:val="007146F0"/>
    <w:rsid w:val="00714A8A"/>
    <w:rsid w:val="00714AC0"/>
    <w:rsid w:val="00714B54"/>
    <w:rsid w:val="00714FFE"/>
    <w:rsid w:val="00715420"/>
    <w:rsid w:val="007157DE"/>
    <w:rsid w:val="00715D5B"/>
    <w:rsid w:val="00715D88"/>
    <w:rsid w:val="00715EEE"/>
    <w:rsid w:val="007165F4"/>
    <w:rsid w:val="007166F4"/>
    <w:rsid w:val="00716760"/>
    <w:rsid w:val="0071697F"/>
    <w:rsid w:val="00716AA2"/>
    <w:rsid w:val="00716BB0"/>
    <w:rsid w:val="00717024"/>
    <w:rsid w:val="00717437"/>
    <w:rsid w:val="007174CF"/>
    <w:rsid w:val="0071791A"/>
    <w:rsid w:val="00717D1B"/>
    <w:rsid w:val="00717F27"/>
    <w:rsid w:val="00720442"/>
    <w:rsid w:val="007204C6"/>
    <w:rsid w:val="00720792"/>
    <w:rsid w:val="00720833"/>
    <w:rsid w:val="00720BED"/>
    <w:rsid w:val="00721036"/>
    <w:rsid w:val="007210B1"/>
    <w:rsid w:val="007211E7"/>
    <w:rsid w:val="00721209"/>
    <w:rsid w:val="00721398"/>
    <w:rsid w:val="00721BA7"/>
    <w:rsid w:val="00721FC2"/>
    <w:rsid w:val="00722373"/>
    <w:rsid w:val="00722379"/>
    <w:rsid w:val="007226B4"/>
    <w:rsid w:val="0072273E"/>
    <w:rsid w:val="00722C71"/>
    <w:rsid w:val="00722CD5"/>
    <w:rsid w:val="00722D80"/>
    <w:rsid w:val="00722F44"/>
    <w:rsid w:val="007237CC"/>
    <w:rsid w:val="00723B5F"/>
    <w:rsid w:val="00723BAB"/>
    <w:rsid w:val="00723DAC"/>
    <w:rsid w:val="007245A7"/>
    <w:rsid w:val="00724777"/>
    <w:rsid w:val="00724AB9"/>
    <w:rsid w:val="00724C6D"/>
    <w:rsid w:val="00725103"/>
    <w:rsid w:val="00725494"/>
    <w:rsid w:val="00725BC8"/>
    <w:rsid w:val="007260C5"/>
    <w:rsid w:val="00726288"/>
    <w:rsid w:val="007262AB"/>
    <w:rsid w:val="007262E0"/>
    <w:rsid w:val="00726676"/>
    <w:rsid w:val="00726832"/>
    <w:rsid w:val="00726844"/>
    <w:rsid w:val="007269F8"/>
    <w:rsid w:val="00726DF0"/>
    <w:rsid w:val="00727058"/>
    <w:rsid w:val="00727347"/>
    <w:rsid w:val="00727A4E"/>
    <w:rsid w:val="00730619"/>
    <w:rsid w:val="007307B8"/>
    <w:rsid w:val="00730859"/>
    <w:rsid w:val="00730E59"/>
    <w:rsid w:val="00730EC5"/>
    <w:rsid w:val="00730F6C"/>
    <w:rsid w:val="00731009"/>
    <w:rsid w:val="0073160F"/>
    <w:rsid w:val="007318C9"/>
    <w:rsid w:val="00731D6F"/>
    <w:rsid w:val="00732050"/>
    <w:rsid w:val="007323A1"/>
    <w:rsid w:val="007325AA"/>
    <w:rsid w:val="007325C1"/>
    <w:rsid w:val="007326D4"/>
    <w:rsid w:val="00732C67"/>
    <w:rsid w:val="00732D86"/>
    <w:rsid w:val="00732F2A"/>
    <w:rsid w:val="00732FB3"/>
    <w:rsid w:val="00732FD4"/>
    <w:rsid w:val="00732FF7"/>
    <w:rsid w:val="0073328C"/>
    <w:rsid w:val="007333C9"/>
    <w:rsid w:val="00733496"/>
    <w:rsid w:val="007335DC"/>
    <w:rsid w:val="00733C1F"/>
    <w:rsid w:val="00733D24"/>
    <w:rsid w:val="00733F8A"/>
    <w:rsid w:val="0073410A"/>
    <w:rsid w:val="007342C5"/>
    <w:rsid w:val="00734342"/>
    <w:rsid w:val="007343BC"/>
    <w:rsid w:val="00734970"/>
    <w:rsid w:val="00734EB0"/>
    <w:rsid w:val="00735236"/>
    <w:rsid w:val="007354D7"/>
    <w:rsid w:val="0073559F"/>
    <w:rsid w:val="0073561E"/>
    <w:rsid w:val="007356AD"/>
    <w:rsid w:val="00735764"/>
    <w:rsid w:val="007357B5"/>
    <w:rsid w:val="007358C7"/>
    <w:rsid w:val="0073598C"/>
    <w:rsid w:val="00735B2D"/>
    <w:rsid w:val="00735B84"/>
    <w:rsid w:val="00736130"/>
    <w:rsid w:val="007364B5"/>
    <w:rsid w:val="00736772"/>
    <w:rsid w:val="00736D09"/>
    <w:rsid w:val="00736DD0"/>
    <w:rsid w:val="00736F0E"/>
    <w:rsid w:val="00737002"/>
    <w:rsid w:val="00737003"/>
    <w:rsid w:val="0073741B"/>
    <w:rsid w:val="007375CA"/>
    <w:rsid w:val="00737638"/>
    <w:rsid w:val="00737673"/>
    <w:rsid w:val="00737B53"/>
    <w:rsid w:val="00740055"/>
    <w:rsid w:val="00740076"/>
    <w:rsid w:val="0074018D"/>
    <w:rsid w:val="007405BC"/>
    <w:rsid w:val="007406CF"/>
    <w:rsid w:val="00740EEC"/>
    <w:rsid w:val="00741157"/>
    <w:rsid w:val="007411E6"/>
    <w:rsid w:val="00741B66"/>
    <w:rsid w:val="00741C24"/>
    <w:rsid w:val="00741C85"/>
    <w:rsid w:val="00741DE2"/>
    <w:rsid w:val="0074208E"/>
    <w:rsid w:val="00742790"/>
    <w:rsid w:val="0074287C"/>
    <w:rsid w:val="007428DA"/>
    <w:rsid w:val="007429B2"/>
    <w:rsid w:val="007431AB"/>
    <w:rsid w:val="00743E8F"/>
    <w:rsid w:val="00744085"/>
    <w:rsid w:val="00744288"/>
    <w:rsid w:val="007442B9"/>
    <w:rsid w:val="00745203"/>
    <w:rsid w:val="007463B8"/>
    <w:rsid w:val="00746411"/>
    <w:rsid w:val="00746796"/>
    <w:rsid w:val="007467BC"/>
    <w:rsid w:val="0074681C"/>
    <w:rsid w:val="0074687C"/>
    <w:rsid w:val="00747425"/>
    <w:rsid w:val="00747762"/>
    <w:rsid w:val="00747792"/>
    <w:rsid w:val="007477FC"/>
    <w:rsid w:val="00747BC9"/>
    <w:rsid w:val="00747C29"/>
    <w:rsid w:val="00747C3B"/>
    <w:rsid w:val="00747F86"/>
    <w:rsid w:val="007502C2"/>
    <w:rsid w:val="007505B7"/>
    <w:rsid w:val="007505C4"/>
    <w:rsid w:val="0075067F"/>
    <w:rsid w:val="007508F6"/>
    <w:rsid w:val="00750ACC"/>
    <w:rsid w:val="00750B4B"/>
    <w:rsid w:val="00750B7A"/>
    <w:rsid w:val="0075126C"/>
    <w:rsid w:val="00751542"/>
    <w:rsid w:val="0075169F"/>
    <w:rsid w:val="007516CF"/>
    <w:rsid w:val="00751739"/>
    <w:rsid w:val="00751790"/>
    <w:rsid w:val="0075192E"/>
    <w:rsid w:val="00751996"/>
    <w:rsid w:val="00751A0C"/>
    <w:rsid w:val="00751C9E"/>
    <w:rsid w:val="00751CDB"/>
    <w:rsid w:val="00751D83"/>
    <w:rsid w:val="0075248A"/>
    <w:rsid w:val="007525AC"/>
    <w:rsid w:val="007527BE"/>
    <w:rsid w:val="0075285D"/>
    <w:rsid w:val="00753168"/>
    <w:rsid w:val="00753635"/>
    <w:rsid w:val="007538DA"/>
    <w:rsid w:val="00753A8B"/>
    <w:rsid w:val="00753F53"/>
    <w:rsid w:val="00754123"/>
    <w:rsid w:val="00754226"/>
    <w:rsid w:val="007546BD"/>
    <w:rsid w:val="00754821"/>
    <w:rsid w:val="0075501E"/>
    <w:rsid w:val="00755495"/>
    <w:rsid w:val="00755670"/>
    <w:rsid w:val="00755C42"/>
    <w:rsid w:val="00755CF0"/>
    <w:rsid w:val="00755D5E"/>
    <w:rsid w:val="00755EA9"/>
    <w:rsid w:val="00755F1A"/>
    <w:rsid w:val="00756A16"/>
    <w:rsid w:val="00757547"/>
    <w:rsid w:val="0075754C"/>
    <w:rsid w:val="00757669"/>
    <w:rsid w:val="00757725"/>
    <w:rsid w:val="0075778C"/>
    <w:rsid w:val="0075784D"/>
    <w:rsid w:val="00757ABB"/>
    <w:rsid w:val="00757CCB"/>
    <w:rsid w:val="00757E4F"/>
    <w:rsid w:val="00757FA9"/>
    <w:rsid w:val="007600A3"/>
    <w:rsid w:val="00760593"/>
    <w:rsid w:val="00760A6F"/>
    <w:rsid w:val="00760B4F"/>
    <w:rsid w:val="00761064"/>
    <w:rsid w:val="007611AB"/>
    <w:rsid w:val="007612DC"/>
    <w:rsid w:val="007612EB"/>
    <w:rsid w:val="00761385"/>
    <w:rsid w:val="007614CE"/>
    <w:rsid w:val="0076159A"/>
    <w:rsid w:val="007618F8"/>
    <w:rsid w:val="00761A7A"/>
    <w:rsid w:val="00761E6B"/>
    <w:rsid w:val="00762684"/>
    <w:rsid w:val="00762866"/>
    <w:rsid w:val="00763106"/>
    <w:rsid w:val="00763332"/>
    <w:rsid w:val="007633CD"/>
    <w:rsid w:val="007634B9"/>
    <w:rsid w:val="00763525"/>
    <w:rsid w:val="00763536"/>
    <w:rsid w:val="007635DB"/>
    <w:rsid w:val="0076370A"/>
    <w:rsid w:val="00763B21"/>
    <w:rsid w:val="00763B38"/>
    <w:rsid w:val="00763DD2"/>
    <w:rsid w:val="00764473"/>
    <w:rsid w:val="00764922"/>
    <w:rsid w:val="00764DD3"/>
    <w:rsid w:val="007651D5"/>
    <w:rsid w:val="007654EA"/>
    <w:rsid w:val="00765E5A"/>
    <w:rsid w:val="00765FEA"/>
    <w:rsid w:val="00766327"/>
    <w:rsid w:val="0076635A"/>
    <w:rsid w:val="0076670B"/>
    <w:rsid w:val="007668D7"/>
    <w:rsid w:val="00766C2B"/>
    <w:rsid w:val="00766D29"/>
    <w:rsid w:val="00766F71"/>
    <w:rsid w:val="007671D8"/>
    <w:rsid w:val="0076754C"/>
    <w:rsid w:val="0076757D"/>
    <w:rsid w:val="007678DC"/>
    <w:rsid w:val="00767906"/>
    <w:rsid w:val="00767A2D"/>
    <w:rsid w:val="00767DAA"/>
    <w:rsid w:val="00767DF3"/>
    <w:rsid w:val="00767F63"/>
    <w:rsid w:val="00767FB6"/>
    <w:rsid w:val="00770446"/>
    <w:rsid w:val="00770E94"/>
    <w:rsid w:val="00770ED2"/>
    <w:rsid w:val="00771059"/>
    <w:rsid w:val="007719FE"/>
    <w:rsid w:val="00771A72"/>
    <w:rsid w:val="00771AD8"/>
    <w:rsid w:val="00771C33"/>
    <w:rsid w:val="00772479"/>
    <w:rsid w:val="00772709"/>
    <w:rsid w:val="00772AA3"/>
    <w:rsid w:val="00772BD1"/>
    <w:rsid w:val="00772EE3"/>
    <w:rsid w:val="00773281"/>
    <w:rsid w:val="00773AF2"/>
    <w:rsid w:val="00773C88"/>
    <w:rsid w:val="007740E2"/>
    <w:rsid w:val="007742D4"/>
    <w:rsid w:val="0077467F"/>
    <w:rsid w:val="007747E6"/>
    <w:rsid w:val="007748D1"/>
    <w:rsid w:val="0077496D"/>
    <w:rsid w:val="00774EC2"/>
    <w:rsid w:val="00774F85"/>
    <w:rsid w:val="00775174"/>
    <w:rsid w:val="00775202"/>
    <w:rsid w:val="007752CE"/>
    <w:rsid w:val="0077538D"/>
    <w:rsid w:val="00775661"/>
    <w:rsid w:val="007759A9"/>
    <w:rsid w:val="007763EA"/>
    <w:rsid w:val="007763F3"/>
    <w:rsid w:val="0077670D"/>
    <w:rsid w:val="007767DC"/>
    <w:rsid w:val="00776A8D"/>
    <w:rsid w:val="00776FA6"/>
    <w:rsid w:val="00776FA9"/>
    <w:rsid w:val="00777038"/>
    <w:rsid w:val="007771F7"/>
    <w:rsid w:val="007776C6"/>
    <w:rsid w:val="00777AD6"/>
    <w:rsid w:val="00777FA1"/>
    <w:rsid w:val="00777FF7"/>
    <w:rsid w:val="007800F2"/>
    <w:rsid w:val="007801BB"/>
    <w:rsid w:val="00780C3C"/>
    <w:rsid w:val="00781742"/>
    <w:rsid w:val="00781BEB"/>
    <w:rsid w:val="00781D53"/>
    <w:rsid w:val="00782125"/>
    <w:rsid w:val="00782390"/>
    <w:rsid w:val="00782B63"/>
    <w:rsid w:val="00782D6D"/>
    <w:rsid w:val="00782FE9"/>
    <w:rsid w:val="00783595"/>
    <w:rsid w:val="0078389E"/>
    <w:rsid w:val="00783CD8"/>
    <w:rsid w:val="00783F35"/>
    <w:rsid w:val="00784053"/>
    <w:rsid w:val="0078451B"/>
    <w:rsid w:val="0078459C"/>
    <w:rsid w:val="00784B06"/>
    <w:rsid w:val="00784B30"/>
    <w:rsid w:val="0078533A"/>
    <w:rsid w:val="007856DF"/>
    <w:rsid w:val="007856FE"/>
    <w:rsid w:val="007857F5"/>
    <w:rsid w:val="00785AAD"/>
    <w:rsid w:val="00785AD1"/>
    <w:rsid w:val="00785DC2"/>
    <w:rsid w:val="00786049"/>
    <w:rsid w:val="0078608A"/>
    <w:rsid w:val="00786461"/>
    <w:rsid w:val="0078670B"/>
    <w:rsid w:val="007869EC"/>
    <w:rsid w:val="00787010"/>
    <w:rsid w:val="00787614"/>
    <w:rsid w:val="00787896"/>
    <w:rsid w:val="00787D40"/>
    <w:rsid w:val="00787EE4"/>
    <w:rsid w:val="00790027"/>
    <w:rsid w:val="0079060E"/>
    <w:rsid w:val="00790B7B"/>
    <w:rsid w:val="007917D6"/>
    <w:rsid w:val="00791952"/>
    <w:rsid w:val="00791BBB"/>
    <w:rsid w:val="00791CD0"/>
    <w:rsid w:val="007922D4"/>
    <w:rsid w:val="00792971"/>
    <w:rsid w:val="00792B02"/>
    <w:rsid w:val="00792D10"/>
    <w:rsid w:val="00793231"/>
    <w:rsid w:val="00793399"/>
    <w:rsid w:val="007934AA"/>
    <w:rsid w:val="007937A2"/>
    <w:rsid w:val="0079387C"/>
    <w:rsid w:val="00793FE8"/>
    <w:rsid w:val="007940C0"/>
    <w:rsid w:val="007942D2"/>
    <w:rsid w:val="007943CD"/>
    <w:rsid w:val="00794609"/>
    <w:rsid w:val="00794798"/>
    <w:rsid w:val="00794C68"/>
    <w:rsid w:val="00794DD3"/>
    <w:rsid w:val="00794E27"/>
    <w:rsid w:val="00795350"/>
    <w:rsid w:val="00795937"/>
    <w:rsid w:val="0079594C"/>
    <w:rsid w:val="0079598A"/>
    <w:rsid w:val="007959A8"/>
    <w:rsid w:val="00795BF6"/>
    <w:rsid w:val="00795D44"/>
    <w:rsid w:val="00795E44"/>
    <w:rsid w:val="00795FD9"/>
    <w:rsid w:val="007960B8"/>
    <w:rsid w:val="00796354"/>
    <w:rsid w:val="0079648C"/>
    <w:rsid w:val="007967C7"/>
    <w:rsid w:val="00796A5E"/>
    <w:rsid w:val="00797080"/>
    <w:rsid w:val="00797342"/>
    <w:rsid w:val="00797755"/>
    <w:rsid w:val="0079791A"/>
    <w:rsid w:val="00797980"/>
    <w:rsid w:val="007A00D6"/>
    <w:rsid w:val="007A02E0"/>
    <w:rsid w:val="007A03C1"/>
    <w:rsid w:val="007A067E"/>
    <w:rsid w:val="007A079D"/>
    <w:rsid w:val="007A094D"/>
    <w:rsid w:val="007A0FC1"/>
    <w:rsid w:val="007A1286"/>
    <w:rsid w:val="007A16E8"/>
    <w:rsid w:val="007A1943"/>
    <w:rsid w:val="007A19C6"/>
    <w:rsid w:val="007A223B"/>
    <w:rsid w:val="007A22BB"/>
    <w:rsid w:val="007A2645"/>
    <w:rsid w:val="007A28DD"/>
    <w:rsid w:val="007A291C"/>
    <w:rsid w:val="007A2939"/>
    <w:rsid w:val="007A2976"/>
    <w:rsid w:val="007A3355"/>
    <w:rsid w:val="007A343E"/>
    <w:rsid w:val="007A345B"/>
    <w:rsid w:val="007A3549"/>
    <w:rsid w:val="007A381A"/>
    <w:rsid w:val="007A3A41"/>
    <w:rsid w:val="007A3B5A"/>
    <w:rsid w:val="007A410A"/>
    <w:rsid w:val="007A4161"/>
    <w:rsid w:val="007A445E"/>
    <w:rsid w:val="007A446E"/>
    <w:rsid w:val="007A47FA"/>
    <w:rsid w:val="007A48A9"/>
    <w:rsid w:val="007A4ACE"/>
    <w:rsid w:val="007A4CFB"/>
    <w:rsid w:val="007A4EE9"/>
    <w:rsid w:val="007A51F6"/>
    <w:rsid w:val="007A5226"/>
    <w:rsid w:val="007A52BE"/>
    <w:rsid w:val="007A52DD"/>
    <w:rsid w:val="007A5861"/>
    <w:rsid w:val="007A59CB"/>
    <w:rsid w:val="007A5B58"/>
    <w:rsid w:val="007A5F4E"/>
    <w:rsid w:val="007A633B"/>
    <w:rsid w:val="007A639F"/>
    <w:rsid w:val="007A63CB"/>
    <w:rsid w:val="007A65D6"/>
    <w:rsid w:val="007A69DB"/>
    <w:rsid w:val="007A6AA2"/>
    <w:rsid w:val="007A6B50"/>
    <w:rsid w:val="007A7006"/>
    <w:rsid w:val="007A7228"/>
    <w:rsid w:val="007A72A2"/>
    <w:rsid w:val="007A73F1"/>
    <w:rsid w:val="007A7872"/>
    <w:rsid w:val="007A7E50"/>
    <w:rsid w:val="007A7F09"/>
    <w:rsid w:val="007B00AD"/>
    <w:rsid w:val="007B019E"/>
    <w:rsid w:val="007B0206"/>
    <w:rsid w:val="007B034E"/>
    <w:rsid w:val="007B087B"/>
    <w:rsid w:val="007B0B3C"/>
    <w:rsid w:val="007B0D3B"/>
    <w:rsid w:val="007B0DFF"/>
    <w:rsid w:val="007B10C9"/>
    <w:rsid w:val="007B1150"/>
    <w:rsid w:val="007B11CD"/>
    <w:rsid w:val="007B1457"/>
    <w:rsid w:val="007B1590"/>
    <w:rsid w:val="007B182E"/>
    <w:rsid w:val="007B19DD"/>
    <w:rsid w:val="007B1BC7"/>
    <w:rsid w:val="007B1BE8"/>
    <w:rsid w:val="007B1F5D"/>
    <w:rsid w:val="007B2099"/>
    <w:rsid w:val="007B20A7"/>
    <w:rsid w:val="007B260C"/>
    <w:rsid w:val="007B2748"/>
    <w:rsid w:val="007B2BEB"/>
    <w:rsid w:val="007B2E4E"/>
    <w:rsid w:val="007B2E68"/>
    <w:rsid w:val="007B3098"/>
    <w:rsid w:val="007B30A1"/>
    <w:rsid w:val="007B3323"/>
    <w:rsid w:val="007B392D"/>
    <w:rsid w:val="007B40BF"/>
    <w:rsid w:val="007B4450"/>
    <w:rsid w:val="007B45A5"/>
    <w:rsid w:val="007B460D"/>
    <w:rsid w:val="007B482C"/>
    <w:rsid w:val="007B4E3A"/>
    <w:rsid w:val="007B5392"/>
    <w:rsid w:val="007B575A"/>
    <w:rsid w:val="007B5939"/>
    <w:rsid w:val="007B5DB0"/>
    <w:rsid w:val="007B5E2D"/>
    <w:rsid w:val="007B5EFC"/>
    <w:rsid w:val="007B62CC"/>
    <w:rsid w:val="007B6550"/>
    <w:rsid w:val="007B6A74"/>
    <w:rsid w:val="007B6ACD"/>
    <w:rsid w:val="007B6CDD"/>
    <w:rsid w:val="007B6F9C"/>
    <w:rsid w:val="007B70FF"/>
    <w:rsid w:val="007B723F"/>
    <w:rsid w:val="007B732D"/>
    <w:rsid w:val="007B7449"/>
    <w:rsid w:val="007B74EC"/>
    <w:rsid w:val="007B776D"/>
    <w:rsid w:val="007B77A5"/>
    <w:rsid w:val="007B7BE5"/>
    <w:rsid w:val="007B7BF1"/>
    <w:rsid w:val="007B7D51"/>
    <w:rsid w:val="007B7F52"/>
    <w:rsid w:val="007B7F7C"/>
    <w:rsid w:val="007C008D"/>
    <w:rsid w:val="007C01A9"/>
    <w:rsid w:val="007C033C"/>
    <w:rsid w:val="007C04DD"/>
    <w:rsid w:val="007C0CF8"/>
    <w:rsid w:val="007C1026"/>
    <w:rsid w:val="007C12F4"/>
    <w:rsid w:val="007C13D9"/>
    <w:rsid w:val="007C1520"/>
    <w:rsid w:val="007C19F6"/>
    <w:rsid w:val="007C1A1F"/>
    <w:rsid w:val="007C1B7F"/>
    <w:rsid w:val="007C1D0B"/>
    <w:rsid w:val="007C1D9D"/>
    <w:rsid w:val="007C2144"/>
    <w:rsid w:val="007C2761"/>
    <w:rsid w:val="007C2DB5"/>
    <w:rsid w:val="007C2FD1"/>
    <w:rsid w:val="007C324E"/>
    <w:rsid w:val="007C3453"/>
    <w:rsid w:val="007C34A5"/>
    <w:rsid w:val="007C3843"/>
    <w:rsid w:val="007C3B33"/>
    <w:rsid w:val="007C3B7D"/>
    <w:rsid w:val="007C4269"/>
    <w:rsid w:val="007C42A3"/>
    <w:rsid w:val="007C43FB"/>
    <w:rsid w:val="007C4573"/>
    <w:rsid w:val="007C48BE"/>
    <w:rsid w:val="007C4B24"/>
    <w:rsid w:val="007C4B79"/>
    <w:rsid w:val="007C4E8A"/>
    <w:rsid w:val="007C51AA"/>
    <w:rsid w:val="007C52DF"/>
    <w:rsid w:val="007C53B2"/>
    <w:rsid w:val="007C56FD"/>
    <w:rsid w:val="007C57ED"/>
    <w:rsid w:val="007C5AF3"/>
    <w:rsid w:val="007C5D03"/>
    <w:rsid w:val="007C60AA"/>
    <w:rsid w:val="007C63BB"/>
    <w:rsid w:val="007C6583"/>
    <w:rsid w:val="007C6709"/>
    <w:rsid w:val="007C6BC1"/>
    <w:rsid w:val="007C6E83"/>
    <w:rsid w:val="007C73C7"/>
    <w:rsid w:val="007C7794"/>
    <w:rsid w:val="007C7918"/>
    <w:rsid w:val="007C7BD9"/>
    <w:rsid w:val="007C7C2B"/>
    <w:rsid w:val="007C7D57"/>
    <w:rsid w:val="007D01B9"/>
    <w:rsid w:val="007D032B"/>
    <w:rsid w:val="007D036D"/>
    <w:rsid w:val="007D0B87"/>
    <w:rsid w:val="007D0BC5"/>
    <w:rsid w:val="007D0C35"/>
    <w:rsid w:val="007D0D84"/>
    <w:rsid w:val="007D0E33"/>
    <w:rsid w:val="007D1AAA"/>
    <w:rsid w:val="007D1F47"/>
    <w:rsid w:val="007D2249"/>
    <w:rsid w:val="007D22ED"/>
    <w:rsid w:val="007D2346"/>
    <w:rsid w:val="007D2355"/>
    <w:rsid w:val="007D2628"/>
    <w:rsid w:val="007D265B"/>
    <w:rsid w:val="007D27CA"/>
    <w:rsid w:val="007D2991"/>
    <w:rsid w:val="007D2B10"/>
    <w:rsid w:val="007D2CA5"/>
    <w:rsid w:val="007D2CAE"/>
    <w:rsid w:val="007D2D90"/>
    <w:rsid w:val="007D2EE5"/>
    <w:rsid w:val="007D2F0D"/>
    <w:rsid w:val="007D3115"/>
    <w:rsid w:val="007D31EA"/>
    <w:rsid w:val="007D3556"/>
    <w:rsid w:val="007D3693"/>
    <w:rsid w:val="007D3CCF"/>
    <w:rsid w:val="007D3F93"/>
    <w:rsid w:val="007D402C"/>
    <w:rsid w:val="007D4277"/>
    <w:rsid w:val="007D44FF"/>
    <w:rsid w:val="007D4DD7"/>
    <w:rsid w:val="007D503D"/>
    <w:rsid w:val="007D50E9"/>
    <w:rsid w:val="007D5232"/>
    <w:rsid w:val="007D552A"/>
    <w:rsid w:val="007D55FD"/>
    <w:rsid w:val="007D5D0B"/>
    <w:rsid w:val="007D5D93"/>
    <w:rsid w:val="007D5F03"/>
    <w:rsid w:val="007D5FDF"/>
    <w:rsid w:val="007D605C"/>
    <w:rsid w:val="007D6085"/>
    <w:rsid w:val="007D60B6"/>
    <w:rsid w:val="007D6630"/>
    <w:rsid w:val="007D6C24"/>
    <w:rsid w:val="007D6EC0"/>
    <w:rsid w:val="007D6EE4"/>
    <w:rsid w:val="007D752C"/>
    <w:rsid w:val="007D7650"/>
    <w:rsid w:val="007D7789"/>
    <w:rsid w:val="007D78A7"/>
    <w:rsid w:val="007D7D04"/>
    <w:rsid w:val="007D7F89"/>
    <w:rsid w:val="007E0032"/>
    <w:rsid w:val="007E03E9"/>
    <w:rsid w:val="007E09C2"/>
    <w:rsid w:val="007E0FA8"/>
    <w:rsid w:val="007E181A"/>
    <w:rsid w:val="007E18A0"/>
    <w:rsid w:val="007E1CBB"/>
    <w:rsid w:val="007E1CF9"/>
    <w:rsid w:val="007E207E"/>
    <w:rsid w:val="007E2575"/>
    <w:rsid w:val="007E2607"/>
    <w:rsid w:val="007E2B2A"/>
    <w:rsid w:val="007E2E92"/>
    <w:rsid w:val="007E2ED5"/>
    <w:rsid w:val="007E3259"/>
    <w:rsid w:val="007E356D"/>
    <w:rsid w:val="007E38FF"/>
    <w:rsid w:val="007E3D2B"/>
    <w:rsid w:val="007E40A2"/>
    <w:rsid w:val="007E410F"/>
    <w:rsid w:val="007E47BD"/>
    <w:rsid w:val="007E4B9E"/>
    <w:rsid w:val="007E5384"/>
    <w:rsid w:val="007E545A"/>
    <w:rsid w:val="007E56C8"/>
    <w:rsid w:val="007E5800"/>
    <w:rsid w:val="007E5937"/>
    <w:rsid w:val="007E6251"/>
    <w:rsid w:val="007E6A37"/>
    <w:rsid w:val="007E6BAF"/>
    <w:rsid w:val="007E6CFC"/>
    <w:rsid w:val="007E6E0C"/>
    <w:rsid w:val="007E7072"/>
    <w:rsid w:val="007E7103"/>
    <w:rsid w:val="007E717C"/>
    <w:rsid w:val="007E72E3"/>
    <w:rsid w:val="007E7344"/>
    <w:rsid w:val="007E7428"/>
    <w:rsid w:val="007E7624"/>
    <w:rsid w:val="007E78B2"/>
    <w:rsid w:val="007E78C5"/>
    <w:rsid w:val="007E7BC3"/>
    <w:rsid w:val="007E7CCD"/>
    <w:rsid w:val="007E7EE3"/>
    <w:rsid w:val="007F0755"/>
    <w:rsid w:val="007F07AA"/>
    <w:rsid w:val="007F0899"/>
    <w:rsid w:val="007F0A6A"/>
    <w:rsid w:val="007F0B0E"/>
    <w:rsid w:val="007F0CDA"/>
    <w:rsid w:val="007F0D75"/>
    <w:rsid w:val="007F0FEB"/>
    <w:rsid w:val="007F1020"/>
    <w:rsid w:val="007F1F17"/>
    <w:rsid w:val="007F21FE"/>
    <w:rsid w:val="007F250D"/>
    <w:rsid w:val="007F2777"/>
    <w:rsid w:val="007F2A14"/>
    <w:rsid w:val="007F2B74"/>
    <w:rsid w:val="007F34A7"/>
    <w:rsid w:val="007F36E0"/>
    <w:rsid w:val="007F396D"/>
    <w:rsid w:val="007F3C6B"/>
    <w:rsid w:val="007F3D95"/>
    <w:rsid w:val="007F3DB7"/>
    <w:rsid w:val="007F4259"/>
    <w:rsid w:val="007F4279"/>
    <w:rsid w:val="007F4413"/>
    <w:rsid w:val="007F4DC6"/>
    <w:rsid w:val="007F5300"/>
    <w:rsid w:val="007F53AF"/>
    <w:rsid w:val="007F5422"/>
    <w:rsid w:val="007F55D4"/>
    <w:rsid w:val="007F5928"/>
    <w:rsid w:val="007F5980"/>
    <w:rsid w:val="007F59A0"/>
    <w:rsid w:val="007F59E0"/>
    <w:rsid w:val="007F6312"/>
    <w:rsid w:val="007F64D4"/>
    <w:rsid w:val="007F66FF"/>
    <w:rsid w:val="007F6AC5"/>
    <w:rsid w:val="007F6B5C"/>
    <w:rsid w:val="007F6C40"/>
    <w:rsid w:val="007F6CD7"/>
    <w:rsid w:val="007F6D2B"/>
    <w:rsid w:val="007F70B7"/>
    <w:rsid w:val="007F751D"/>
    <w:rsid w:val="007F77B5"/>
    <w:rsid w:val="007F7839"/>
    <w:rsid w:val="007F79F1"/>
    <w:rsid w:val="007F7C6F"/>
    <w:rsid w:val="00800500"/>
    <w:rsid w:val="008013F1"/>
    <w:rsid w:val="0080166F"/>
    <w:rsid w:val="00801D8F"/>
    <w:rsid w:val="00801E84"/>
    <w:rsid w:val="00802173"/>
    <w:rsid w:val="008022D5"/>
    <w:rsid w:val="00802419"/>
    <w:rsid w:val="008025C8"/>
    <w:rsid w:val="0080261E"/>
    <w:rsid w:val="0080269C"/>
    <w:rsid w:val="008027ED"/>
    <w:rsid w:val="00802AB7"/>
    <w:rsid w:val="00802D24"/>
    <w:rsid w:val="00802E80"/>
    <w:rsid w:val="00803380"/>
    <w:rsid w:val="00803947"/>
    <w:rsid w:val="00803AD7"/>
    <w:rsid w:val="00803AE8"/>
    <w:rsid w:val="00803D6F"/>
    <w:rsid w:val="008040FC"/>
    <w:rsid w:val="00804287"/>
    <w:rsid w:val="00804685"/>
    <w:rsid w:val="008048DF"/>
    <w:rsid w:val="00804DED"/>
    <w:rsid w:val="00804F6B"/>
    <w:rsid w:val="008053C4"/>
    <w:rsid w:val="00805EA4"/>
    <w:rsid w:val="008060CC"/>
    <w:rsid w:val="0080625E"/>
    <w:rsid w:val="008064FC"/>
    <w:rsid w:val="00806619"/>
    <w:rsid w:val="00806AD1"/>
    <w:rsid w:val="00806D19"/>
    <w:rsid w:val="00806DF4"/>
    <w:rsid w:val="00806FAF"/>
    <w:rsid w:val="00807122"/>
    <w:rsid w:val="0080723A"/>
    <w:rsid w:val="0080729F"/>
    <w:rsid w:val="008072DC"/>
    <w:rsid w:val="00807489"/>
    <w:rsid w:val="00807BDF"/>
    <w:rsid w:val="00807E55"/>
    <w:rsid w:val="008102DF"/>
    <w:rsid w:val="0081060E"/>
    <w:rsid w:val="0081090B"/>
    <w:rsid w:val="0081095B"/>
    <w:rsid w:val="00811189"/>
    <w:rsid w:val="00811564"/>
    <w:rsid w:val="0081194F"/>
    <w:rsid w:val="00811E69"/>
    <w:rsid w:val="008122BE"/>
    <w:rsid w:val="00812759"/>
    <w:rsid w:val="008127DE"/>
    <w:rsid w:val="00812A61"/>
    <w:rsid w:val="00812C4A"/>
    <w:rsid w:val="00812DA1"/>
    <w:rsid w:val="008131F0"/>
    <w:rsid w:val="008138F6"/>
    <w:rsid w:val="00813AC8"/>
    <w:rsid w:val="00813ACD"/>
    <w:rsid w:val="00813C31"/>
    <w:rsid w:val="00813CA4"/>
    <w:rsid w:val="00813E6E"/>
    <w:rsid w:val="00813FFF"/>
    <w:rsid w:val="00814314"/>
    <w:rsid w:val="0081439F"/>
    <w:rsid w:val="008146C9"/>
    <w:rsid w:val="00814869"/>
    <w:rsid w:val="00814A67"/>
    <w:rsid w:val="00814DC2"/>
    <w:rsid w:val="00814EFA"/>
    <w:rsid w:val="0081539A"/>
    <w:rsid w:val="0081539D"/>
    <w:rsid w:val="0081540F"/>
    <w:rsid w:val="0081541A"/>
    <w:rsid w:val="0081581C"/>
    <w:rsid w:val="00815B1B"/>
    <w:rsid w:val="008162CE"/>
    <w:rsid w:val="008163B8"/>
    <w:rsid w:val="0081645E"/>
    <w:rsid w:val="0081658A"/>
    <w:rsid w:val="008166A7"/>
    <w:rsid w:val="00816A1D"/>
    <w:rsid w:val="00816C8C"/>
    <w:rsid w:val="00816F6E"/>
    <w:rsid w:val="008174DE"/>
    <w:rsid w:val="00817872"/>
    <w:rsid w:val="00817DBC"/>
    <w:rsid w:val="00817F47"/>
    <w:rsid w:val="008200FE"/>
    <w:rsid w:val="0082015C"/>
    <w:rsid w:val="0082052A"/>
    <w:rsid w:val="0082089E"/>
    <w:rsid w:val="00820A6A"/>
    <w:rsid w:val="00820AFF"/>
    <w:rsid w:val="00820CD6"/>
    <w:rsid w:val="0082111C"/>
    <w:rsid w:val="00821F9F"/>
    <w:rsid w:val="00821FE9"/>
    <w:rsid w:val="0082201D"/>
    <w:rsid w:val="008220B5"/>
    <w:rsid w:val="008220F1"/>
    <w:rsid w:val="008221EC"/>
    <w:rsid w:val="008222D9"/>
    <w:rsid w:val="0082239C"/>
    <w:rsid w:val="00822742"/>
    <w:rsid w:val="00822953"/>
    <w:rsid w:val="00822A53"/>
    <w:rsid w:val="00822C46"/>
    <w:rsid w:val="00822EC2"/>
    <w:rsid w:val="0082302E"/>
    <w:rsid w:val="0082315F"/>
    <w:rsid w:val="00823474"/>
    <w:rsid w:val="00823582"/>
    <w:rsid w:val="00823A06"/>
    <w:rsid w:val="00823B6E"/>
    <w:rsid w:val="00823CA0"/>
    <w:rsid w:val="00823EEF"/>
    <w:rsid w:val="0082427B"/>
    <w:rsid w:val="0082429C"/>
    <w:rsid w:val="00824741"/>
    <w:rsid w:val="00824A5E"/>
    <w:rsid w:val="00825043"/>
    <w:rsid w:val="0082518B"/>
    <w:rsid w:val="008253B0"/>
    <w:rsid w:val="0082547F"/>
    <w:rsid w:val="00825577"/>
    <w:rsid w:val="008255BE"/>
    <w:rsid w:val="008257E1"/>
    <w:rsid w:val="00825906"/>
    <w:rsid w:val="00825F40"/>
    <w:rsid w:val="00825F98"/>
    <w:rsid w:val="008260EC"/>
    <w:rsid w:val="008261FF"/>
    <w:rsid w:val="00826296"/>
    <w:rsid w:val="00826299"/>
    <w:rsid w:val="0082633B"/>
    <w:rsid w:val="00826977"/>
    <w:rsid w:val="00826DC7"/>
    <w:rsid w:val="00827615"/>
    <w:rsid w:val="008276FB"/>
    <w:rsid w:val="00827A34"/>
    <w:rsid w:val="00827BA0"/>
    <w:rsid w:val="00830187"/>
    <w:rsid w:val="0083022A"/>
    <w:rsid w:val="008310B0"/>
    <w:rsid w:val="008310DE"/>
    <w:rsid w:val="008312AE"/>
    <w:rsid w:val="008313CA"/>
    <w:rsid w:val="00831462"/>
    <w:rsid w:val="0083169B"/>
    <w:rsid w:val="00831798"/>
    <w:rsid w:val="00831928"/>
    <w:rsid w:val="00831B31"/>
    <w:rsid w:val="00831D2B"/>
    <w:rsid w:val="0083226F"/>
    <w:rsid w:val="00832589"/>
    <w:rsid w:val="008325C7"/>
    <w:rsid w:val="008327A0"/>
    <w:rsid w:val="008335BC"/>
    <w:rsid w:val="00833653"/>
    <w:rsid w:val="00833902"/>
    <w:rsid w:val="008339FD"/>
    <w:rsid w:val="00834D09"/>
    <w:rsid w:val="00834EFE"/>
    <w:rsid w:val="00834FCE"/>
    <w:rsid w:val="00835385"/>
    <w:rsid w:val="00835737"/>
    <w:rsid w:val="00835C34"/>
    <w:rsid w:val="00835E6C"/>
    <w:rsid w:val="00835EDF"/>
    <w:rsid w:val="00836095"/>
    <w:rsid w:val="00836238"/>
    <w:rsid w:val="008365A9"/>
    <w:rsid w:val="008366B2"/>
    <w:rsid w:val="00836B9C"/>
    <w:rsid w:val="00836D98"/>
    <w:rsid w:val="00836E54"/>
    <w:rsid w:val="0083702F"/>
    <w:rsid w:val="00837054"/>
    <w:rsid w:val="008372DB"/>
    <w:rsid w:val="008373FA"/>
    <w:rsid w:val="00837807"/>
    <w:rsid w:val="0083784F"/>
    <w:rsid w:val="00837D35"/>
    <w:rsid w:val="00837FC9"/>
    <w:rsid w:val="008402A8"/>
    <w:rsid w:val="008406BA"/>
    <w:rsid w:val="00840785"/>
    <w:rsid w:val="00840B76"/>
    <w:rsid w:val="008411EA"/>
    <w:rsid w:val="008415A3"/>
    <w:rsid w:val="0084160D"/>
    <w:rsid w:val="00841775"/>
    <w:rsid w:val="0084177F"/>
    <w:rsid w:val="00841904"/>
    <w:rsid w:val="00841DA9"/>
    <w:rsid w:val="00841DAF"/>
    <w:rsid w:val="00842399"/>
    <w:rsid w:val="00842A0F"/>
    <w:rsid w:val="00842A36"/>
    <w:rsid w:val="00842E0E"/>
    <w:rsid w:val="008433D1"/>
    <w:rsid w:val="0084389A"/>
    <w:rsid w:val="00843AB1"/>
    <w:rsid w:val="00843AC2"/>
    <w:rsid w:val="00843F61"/>
    <w:rsid w:val="00844232"/>
    <w:rsid w:val="0084440D"/>
    <w:rsid w:val="00844615"/>
    <w:rsid w:val="008446C4"/>
    <w:rsid w:val="00844738"/>
    <w:rsid w:val="0084484D"/>
    <w:rsid w:val="00844A05"/>
    <w:rsid w:val="00844EB3"/>
    <w:rsid w:val="008451B8"/>
    <w:rsid w:val="00845326"/>
    <w:rsid w:val="008453DF"/>
    <w:rsid w:val="0084558B"/>
    <w:rsid w:val="00845E2A"/>
    <w:rsid w:val="00846059"/>
    <w:rsid w:val="0084641B"/>
    <w:rsid w:val="008465EE"/>
    <w:rsid w:val="00846A53"/>
    <w:rsid w:val="00846DB3"/>
    <w:rsid w:val="00846F58"/>
    <w:rsid w:val="0084719C"/>
    <w:rsid w:val="0084728E"/>
    <w:rsid w:val="00847433"/>
    <w:rsid w:val="008476C9"/>
    <w:rsid w:val="0084781A"/>
    <w:rsid w:val="00847C27"/>
    <w:rsid w:val="00847DD8"/>
    <w:rsid w:val="00850102"/>
    <w:rsid w:val="0085023E"/>
    <w:rsid w:val="008502C1"/>
    <w:rsid w:val="008503A6"/>
    <w:rsid w:val="00850495"/>
    <w:rsid w:val="00850B83"/>
    <w:rsid w:val="00850C6E"/>
    <w:rsid w:val="00850DD3"/>
    <w:rsid w:val="00850E42"/>
    <w:rsid w:val="00851914"/>
    <w:rsid w:val="008519C5"/>
    <w:rsid w:val="00851C4F"/>
    <w:rsid w:val="00851E86"/>
    <w:rsid w:val="00852148"/>
    <w:rsid w:val="00852166"/>
    <w:rsid w:val="008526BF"/>
    <w:rsid w:val="008528A7"/>
    <w:rsid w:val="00853424"/>
    <w:rsid w:val="00853609"/>
    <w:rsid w:val="00853972"/>
    <w:rsid w:val="00853A1B"/>
    <w:rsid w:val="00853A20"/>
    <w:rsid w:val="00853B11"/>
    <w:rsid w:val="00854075"/>
    <w:rsid w:val="0085409C"/>
    <w:rsid w:val="008541CE"/>
    <w:rsid w:val="0085452E"/>
    <w:rsid w:val="00854687"/>
    <w:rsid w:val="00854D1A"/>
    <w:rsid w:val="00855039"/>
    <w:rsid w:val="00855522"/>
    <w:rsid w:val="008556FA"/>
    <w:rsid w:val="00855798"/>
    <w:rsid w:val="00855859"/>
    <w:rsid w:val="0085590C"/>
    <w:rsid w:val="008559DE"/>
    <w:rsid w:val="00855E82"/>
    <w:rsid w:val="00856255"/>
    <w:rsid w:val="00856627"/>
    <w:rsid w:val="00856868"/>
    <w:rsid w:val="0085705D"/>
    <w:rsid w:val="00857724"/>
    <w:rsid w:val="0085789B"/>
    <w:rsid w:val="00857F5A"/>
    <w:rsid w:val="00860742"/>
    <w:rsid w:val="00860A77"/>
    <w:rsid w:val="00860E16"/>
    <w:rsid w:val="00861070"/>
    <w:rsid w:val="008611AC"/>
    <w:rsid w:val="0086149C"/>
    <w:rsid w:val="008614F6"/>
    <w:rsid w:val="008615B9"/>
    <w:rsid w:val="00861C05"/>
    <w:rsid w:val="00861CF9"/>
    <w:rsid w:val="0086208E"/>
    <w:rsid w:val="008623D2"/>
    <w:rsid w:val="00862500"/>
    <w:rsid w:val="008628BA"/>
    <w:rsid w:val="0086313F"/>
    <w:rsid w:val="0086322A"/>
    <w:rsid w:val="00863351"/>
    <w:rsid w:val="0086340A"/>
    <w:rsid w:val="0086350E"/>
    <w:rsid w:val="00863699"/>
    <w:rsid w:val="0086376E"/>
    <w:rsid w:val="00863908"/>
    <w:rsid w:val="00863D2D"/>
    <w:rsid w:val="00864043"/>
    <w:rsid w:val="00864102"/>
    <w:rsid w:val="008641BC"/>
    <w:rsid w:val="00864293"/>
    <w:rsid w:val="0086453B"/>
    <w:rsid w:val="008645F8"/>
    <w:rsid w:val="008646A0"/>
    <w:rsid w:val="00864A01"/>
    <w:rsid w:val="00864C4E"/>
    <w:rsid w:val="00864C5F"/>
    <w:rsid w:val="00864CEF"/>
    <w:rsid w:val="00864E86"/>
    <w:rsid w:val="008650B1"/>
    <w:rsid w:val="008652B5"/>
    <w:rsid w:val="008655A4"/>
    <w:rsid w:val="0086569F"/>
    <w:rsid w:val="00865E21"/>
    <w:rsid w:val="00866136"/>
    <w:rsid w:val="00866150"/>
    <w:rsid w:val="00866508"/>
    <w:rsid w:val="00866B90"/>
    <w:rsid w:val="00866EF2"/>
    <w:rsid w:val="00867367"/>
    <w:rsid w:val="00867408"/>
    <w:rsid w:val="008674AF"/>
    <w:rsid w:val="00867A7E"/>
    <w:rsid w:val="00867CFD"/>
    <w:rsid w:val="00867E2D"/>
    <w:rsid w:val="00867EB8"/>
    <w:rsid w:val="00870209"/>
    <w:rsid w:val="008703B8"/>
    <w:rsid w:val="0087042F"/>
    <w:rsid w:val="00870436"/>
    <w:rsid w:val="00870500"/>
    <w:rsid w:val="008705AC"/>
    <w:rsid w:val="008705F1"/>
    <w:rsid w:val="0087088A"/>
    <w:rsid w:val="00870A68"/>
    <w:rsid w:val="00870BA7"/>
    <w:rsid w:val="00870C30"/>
    <w:rsid w:val="00870FC1"/>
    <w:rsid w:val="0087130C"/>
    <w:rsid w:val="00871678"/>
    <w:rsid w:val="008717EA"/>
    <w:rsid w:val="00871BB4"/>
    <w:rsid w:val="00871CCA"/>
    <w:rsid w:val="00871CF6"/>
    <w:rsid w:val="00871E21"/>
    <w:rsid w:val="00872FE0"/>
    <w:rsid w:val="008730E8"/>
    <w:rsid w:val="00873195"/>
    <w:rsid w:val="008731A9"/>
    <w:rsid w:val="0087320B"/>
    <w:rsid w:val="00873375"/>
    <w:rsid w:val="00873384"/>
    <w:rsid w:val="0087355B"/>
    <w:rsid w:val="008737A7"/>
    <w:rsid w:val="00873F30"/>
    <w:rsid w:val="00874124"/>
    <w:rsid w:val="008742B3"/>
    <w:rsid w:val="00874711"/>
    <w:rsid w:val="00874ABA"/>
    <w:rsid w:val="00874B2D"/>
    <w:rsid w:val="00874CB4"/>
    <w:rsid w:val="008763F0"/>
    <w:rsid w:val="00876748"/>
    <w:rsid w:val="00876BBC"/>
    <w:rsid w:val="00876BBF"/>
    <w:rsid w:val="00876EA6"/>
    <w:rsid w:val="00877111"/>
    <w:rsid w:val="00877251"/>
    <w:rsid w:val="00877312"/>
    <w:rsid w:val="0087788E"/>
    <w:rsid w:val="00877F0E"/>
    <w:rsid w:val="00880091"/>
    <w:rsid w:val="008801D3"/>
    <w:rsid w:val="00880259"/>
    <w:rsid w:val="00880426"/>
    <w:rsid w:val="0088046F"/>
    <w:rsid w:val="00880927"/>
    <w:rsid w:val="00880B92"/>
    <w:rsid w:val="00880D52"/>
    <w:rsid w:val="00880EBA"/>
    <w:rsid w:val="00880F4C"/>
    <w:rsid w:val="0088140C"/>
    <w:rsid w:val="00881413"/>
    <w:rsid w:val="00881497"/>
    <w:rsid w:val="00881801"/>
    <w:rsid w:val="008818C0"/>
    <w:rsid w:val="00881DD8"/>
    <w:rsid w:val="00882010"/>
    <w:rsid w:val="00882519"/>
    <w:rsid w:val="00882779"/>
    <w:rsid w:val="008827B4"/>
    <w:rsid w:val="008827B6"/>
    <w:rsid w:val="00882ABA"/>
    <w:rsid w:val="00882B14"/>
    <w:rsid w:val="00882C31"/>
    <w:rsid w:val="0088312D"/>
    <w:rsid w:val="008837F7"/>
    <w:rsid w:val="00883B7A"/>
    <w:rsid w:val="00883BCE"/>
    <w:rsid w:val="008840C9"/>
    <w:rsid w:val="008844E1"/>
    <w:rsid w:val="00884584"/>
    <w:rsid w:val="008848C3"/>
    <w:rsid w:val="0088493D"/>
    <w:rsid w:val="008849D1"/>
    <w:rsid w:val="00884C68"/>
    <w:rsid w:val="0088505A"/>
    <w:rsid w:val="00885202"/>
    <w:rsid w:val="00885323"/>
    <w:rsid w:val="0088554D"/>
    <w:rsid w:val="008866B1"/>
    <w:rsid w:val="008868E0"/>
    <w:rsid w:val="00886DFE"/>
    <w:rsid w:val="00887230"/>
    <w:rsid w:val="0088727C"/>
    <w:rsid w:val="0088752C"/>
    <w:rsid w:val="00887756"/>
    <w:rsid w:val="008877B3"/>
    <w:rsid w:val="00887AA2"/>
    <w:rsid w:val="00887DDD"/>
    <w:rsid w:val="008901E5"/>
    <w:rsid w:val="00890895"/>
    <w:rsid w:val="00890F34"/>
    <w:rsid w:val="00891027"/>
    <w:rsid w:val="00891139"/>
    <w:rsid w:val="008911AF"/>
    <w:rsid w:val="00891357"/>
    <w:rsid w:val="00891502"/>
    <w:rsid w:val="008918F0"/>
    <w:rsid w:val="0089197A"/>
    <w:rsid w:val="00891DC7"/>
    <w:rsid w:val="00892123"/>
    <w:rsid w:val="008922C2"/>
    <w:rsid w:val="008923BD"/>
    <w:rsid w:val="00892532"/>
    <w:rsid w:val="0089276C"/>
    <w:rsid w:val="00892879"/>
    <w:rsid w:val="00892A5A"/>
    <w:rsid w:val="00892A6A"/>
    <w:rsid w:val="00892FAE"/>
    <w:rsid w:val="00893372"/>
    <w:rsid w:val="0089365D"/>
    <w:rsid w:val="008936F1"/>
    <w:rsid w:val="00893A1B"/>
    <w:rsid w:val="00893A42"/>
    <w:rsid w:val="00893B8A"/>
    <w:rsid w:val="00893C8C"/>
    <w:rsid w:val="00893C9B"/>
    <w:rsid w:val="00893E78"/>
    <w:rsid w:val="00893F0E"/>
    <w:rsid w:val="008940DC"/>
    <w:rsid w:val="00894145"/>
    <w:rsid w:val="00894347"/>
    <w:rsid w:val="008943D0"/>
    <w:rsid w:val="008944AB"/>
    <w:rsid w:val="008946A1"/>
    <w:rsid w:val="00894846"/>
    <w:rsid w:val="00894A34"/>
    <w:rsid w:val="00894B8D"/>
    <w:rsid w:val="00894EC3"/>
    <w:rsid w:val="00894F89"/>
    <w:rsid w:val="00895172"/>
    <w:rsid w:val="008953A9"/>
    <w:rsid w:val="00895799"/>
    <w:rsid w:val="008957D3"/>
    <w:rsid w:val="008965C5"/>
    <w:rsid w:val="00897333"/>
    <w:rsid w:val="008975A9"/>
    <w:rsid w:val="008975E2"/>
    <w:rsid w:val="00897808"/>
    <w:rsid w:val="00897EFD"/>
    <w:rsid w:val="008A024B"/>
    <w:rsid w:val="008A05D5"/>
    <w:rsid w:val="008A0832"/>
    <w:rsid w:val="008A0B91"/>
    <w:rsid w:val="008A0BA3"/>
    <w:rsid w:val="008A0DE6"/>
    <w:rsid w:val="008A1318"/>
    <w:rsid w:val="008A170A"/>
    <w:rsid w:val="008A1794"/>
    <w:rsid w:val="008A1818"/>
    <w:rsid w:val="008A1A9E"/>
    <w:rsid w:val="008A1B3C"/>
    <w:rsid w:val="008A1D7C"/>
    <w:rsid w:val="008A22A9"/>
    <w:rsid w:val="008A241E"/>
    <w:rsid w:val="008A27B2"/>
    <w:rsid w:val="008A2A17"/>
    <w:rsid w:val="008A2D8A"/>
    <w:rsid w:val="008A33C9"/>
    <w:rsid w:val="008A33F5"/>
    <w:rsid w:val="008A3978"/>
    <w:rsid w:val="008A3AB6"/>
    <w:rsid w:val="008A40D9"/>
    <w:rsid w:val="008A40F1"/>
    <w:rsid w:val="008A45BE"/>
    <w:rsid w:val="008A472F"/>
    <w:rsid w:val="008A4A4D"/>
    <w:rsid w:val="008A4AE7"/>
    <w:rsid w:val="008A4B49"/>
    <w:rsid w:val="008A4D2E"/>
    <w:rsid w:val="008A507B"/>
    <w:rsid w:val="008A5A4F"/>
    <w:rsid w:val="008A69AF"/>
    <w:rsid w:val="008A6CDE"/>
    <w:rsid w:val="008A6E75"/>
    <w:rsid w:val="008A6F12"/>
    <w:rsid w:val="008A6FF2"/>
    <w:rsid w:val="008A709A"/>
    <w:rsid w:val="008A716D"/>
    <w:rsid w:val="008A73AD"/>
    <w:rsid w:val="008A7DFF"/>
    <w:rsid w:val="008B0734"/>
    <w:rsid w:val="008B0E49"/>
    <w:rsid w:val="008B127E"/>
    <w:rsid w:val="008B1442"/>
    <w:rsid w:val="008B160B"/>
    <w:rsid w:val="008B17EE"/>
    <w:rsid w:val="008B19F1"/>
    <w:rsid w:val="008B1AB6"/>
    <w:rsid w:val="008B1F16"/>
    <w:rsid w:val="008B21B1"/>
    <w:rsid w:val="008B2269"/>
    <w:rsid w:val="008B251C"/>
    <w:rsid w:val="008B25E9"/>
    <w:rsid w:val="008B27C8"/>
    <w:rsid w:val="008B2ECF"/>
    <w:rsid w:val="008B3358"/>
    <w:rsid w:val="008B3561"/>
    <w:rsid w:val="008B36A5"/>
    <w:rsid w:val="008B3B35"/>
    <w:rsid w:val="008B4081"/>
    <w:rsid w:val="008B415B"/>
    <w:rsid w:val="008B4186"/>
    <w:rsid w:val="008B4535"/>
    <w:rsid w:val="008B4E23"/>
    <w:rsid w:val="008B5F70"/>
    <w:rsid w:val="008B6056"/>
    <w:rsid w:val="008B63B6"/>
    <w:rsid w:val="008B665E"/>
    <w:rsid w:val="008B6F61"/>
    <w:rsid w:val="008B7227"/>
    <w:rsid w:val="008B776E"/>
    <w:rsid w:val="008B7A99"/>
    <w:rsid w:val="008B7C53"/>
    <w:rsid w:val="008B7FD6"/>
    <w:rsid w:val="008C019D"/>
    <w:rsid w:val="008C020E"/>
    <w:rsid w:val="008C0491"/>
    <w:rsid w:val="008C04C8"/>
    <w:rsid w:val="008C0B58"/>
    <w:rsid w:val="008C0C78"/>
    <w:rsid w:val="008C10D9"/>
    <w:rsid w:val="008C126D"/>
    <w:rsid w:val="008C133B"/>
    <w:rsid w:val="008C16C9"/>
    <w:rsid w:val="008C16D2"/>
    <w:rsid w:val="008C1755"/>
    <w:rsid w:val="008C1757"/>
    <w:rsid w:val="008C1E77"/>
    <w:rsid w:val="008C1EA9"/>
    <w:rsid w:val="008C1FE2"/>
    <w:rsid w:val="008C250B"/>
    <w:rsid w:val="008C2714"/>
    <w:rsid w:val="008C2BC4"/>
    <w:rsid w:val="008C2DF2"/>
    <w:rsid w:val="008C31CA"/>
    <w:rsid w:val="008C3416"/>
    <w:rsid w:val="008C37E5"/>
    <w:rsid w:val="008C3A02"/>
    <w:rsid w:val="008C3C2E"/>
    <w:rsid w:val="008C3F1C"/>
    <w:rsid w:val="008C40B7"/>
    <w:rsid w:val="008C4160"/>
    <w:rsid w:val="008C45FF"/>
    <w:rsid w:val="008C4A95"/>
    <w:rsid w:val="008C4AF7"/>
    <w:rsid w:val="008C4C2C"/>
    <w:rsid w:val="008C4E5F"/>
    <w:rsid w:val="008C4EC5"/>
    <w:rsid w:val="008C5044"/>
    <w:rsid w:val="008C52D4"/>
    <w:rsid w:val="008C565A"/>
    <w:rsid w:val="008C56B8"/>
    <w:rsid w:val="008C585C"/>
    <w:rsid w:val="008C6212"/>
    <w:rsid w:val="008C69BA"/>
    <w:rsid w:val="008C6A0E"/>
    <w:rsid w:val="008C6B79"/>
    <w:rsid w:val="008C6C5E"/>
    <w:rsid w:val="008C6EBD"/>
    <w:rsid w:val="008C7AE2"/>
    <w:rsid w:val="008C7B30"/>
    <w:rsid w:val="008D016F"/>
    <w:rsid w:val="008D03BB"/>
    <w:rsid w:val="008D0647"/>
    <w:rsid w:val="008D0815"/>
    <w:rsid w:val="008D0B6D"/>
    <w:rsid w:val="008D0B9F"/>
    <w:rsid w:val="008D0EBC"/>
    <w:rsid w:val="008D10B1"/>
    <w:rsid w:val="008D128B"/>
    <w:rsid w:val="008D1314"/>
    <w:rsid w:val="008D145E"/>
    <w:rsid w:val="008D1748"/>
    <w:rsid w:val="008D1BF2"/>
    <w:rsid w:val="008D1E50"/>
    <w:rsid w:val="008D1EC2"/>
    <w:rsid w:val="008D2075"/>
    <w:rsid w:val="008D21A5"/>
    <w:rsid w:val="008D2949"/>
    <w:rsid w:val="008D2CE3"/>
    <w:rsid w:val="008D2EE5"/>
    <w:rsid w:val="008D2EF3"/>
    <w:rsid w:val="008D3070"/>
    <w:rsid w:val="008D334D"/>
    <w:rsid w:val="008D33B9"/>
    <w:rsid w:val="008D3415"/>
    <w:rsid w:val="008D3481"/>
    <w:rsid w:val="008D3528"/>
    <w:rsid w:val="008D3543"/>
    <w:rsid w:val="008D3664"/>
    <w:rsid w:val="008D3AD0"/>
    <w:rsid w:val="008D40B4"/>
    <w:rsid w:val="008D446A"/>
    <w:rsid w:val="008D465E"/>
    <w:rsid w:val="008D467F"/>
    <w:rsid w:val="008D46E8"/>
    <w:rsid w:val="008D4882"/>
    <w:rsid w:val="008D4A2F"/>
    <w:rsid w:val="008D4E78"/>
    <w:rsid w:val="008D4F1E"/>
    <w:rsid w:val="008D4FE9"/>
    <w:rsid w:val="008D50A7"/>
    <w:rsid w:val="008D5810"/>
    <w:rsid w:val="008D5B81"/>
    <w:rsid w:val="008D5DF5"/>
    <w:rsid w:val="008D6043"/>
    <w:rsid w:val="008D60AC"/>
    <w:rsid w:val="008D6A3F"/>
    <w:rsid w:val="008D6B2B"/>
    <w:rsid w:val="008D6B5E"/>
    <w:rsid w:val="008D7618"/>
    <w:rsid w:val="008D76BB"/>
    <w:rsid w:val="008D79FC"/>
    <w:rsid w:val="008D7A08"/>
    <w:rsid w:val="008D7C6F"/>
    <w:rsid w:val="008D7C93"/>
    <w:rsid w:val="008D7EBC"/>
    <w:rsid w:val="008E045C"/>
    <w:rsid w:val="008E0481"/>
    <w:rsid w:val="008E0520"/>
    <w:rsid w:val="008E0671"/>
    <w:rsid w:val="008E08D5"/>
    <w:rsid w:val="008E1007"/>
    <w:rsid w:val="008E1815"/>
    <w:rsid w:val="008E1A2B"/>
    <w:rsid w:val="008E1AA0"/>
    <w:rsid w:val="008E1BD6"/>
    <w:rsid w:val="008E2089"/>
    <w:rsid w:val="008E28AB"/>
    <w:rsid w:val="008E2FDF"/>
    <w:rsid w:val="008E30D1"/>
    <w:rsid w:val="008E345B"/>
    <w:rsid w:val="008E353D"/>
    <w:rsid w:val="008E376C"/>
    <w:rsid w:val="008E3FCF"/>
    <w:rsid w:val="008E43FB"/>
    <w:rsid w:val="008E4827"/>
    <w:rsid w:val="008E4D75"/>
    <w:rsid w:val="008E4F3B"/>
    <w:rsid w:val="008E54B1"/>
    <w:rsid w:val="008E5E5C"/>
    <w:rsid w:val="008E633A"/>
    <w:rsid w:val="008E64EE"/>
    <w:rsid w:val="008E6633"/>
    <w:rsid w:val="008E6B07"/>
    <w:rsid w:val="008E6DEC"/>
    <w:rsid w:val="008E7200"/>
    <w:rsid w:val="008E7384"/>
    <w:rsid w:val="008E765E"/>
    <w:rsid w:val="008E76C7"/>
    <w:rsid w:val="008E76FA"/>
    <w:rsid w:val="008E7983"/>
    <w:rsid w:val="008E7B7A"/>
    <w:rsid w:val="008F009C"/>
    <w:rsid w:val="008F019A"/>
    <w:rsid w:val="008F0288"/>
    <w:rsid w:val="008F03F6"/>
    <w:rsid w:val="008F0B81"/>
    <w:rsid w:val="008F0BEC"/>
    <w:rsid w:val="008F0D0C"/>
    <w:rsid w:val="008F0EB5"/>
    <w:rsid w:val="008F1788"/>
    <w:rsid w:val="008F18D0"/>
    <w:rsid w:val="008F19AB"/>
    <w:rsid w:val="008F25BB"/>
    <w:rsid w:val="008F2A60"/>
    <w:rsid w:val="008F2BD8"/>
    <w:rsid w:val="008F2C54"/>
    <w:rsid w:val="008F301C"/>
    <w:rsid w:val="008F3623"/>
    <w:rsid w:val="008F3634"/>
    <w:rsid w:val="008F378F"/>
    <w:rsid w:val="008F3CA3"/>
    <w:rsid w:val="008F3DF7"/>
    <w:rsid w:val="008F3ECF"/>
    <w:rsid w:val="008F4104"/>
    <w:rsid w:val="008F4190"/>
    <w:rsid w:val="008F41C7"/>
    <w:rsid w:val="008F438F"/>
    <w:rsid w:val="008F4539"/>
    <w:rsid w:val="008F4CE9"/>
    <w:rsid w:val="008F4E26"/>
    <w:rsid w:val="008F52AB"/>
    <w:rsid w:val="008F530D"/>
    <w:rsid w:val="008F5367"/>
    <w:rsid w:val="008F53A8"/>
    <w:rsid w:val="008F56F1"/>
    <w:rsid w:val="008F5E1E"/>
    <w:rsid w:val="008F69DB"/>
    <w:rsid w:val="008F6A9C"/>
    <w:rsid w:val="008F6AD9"/>
    <w:rsid w:val="008F6B47"/>
    <w:rsid w:val="008F7406"/>
    <w:rsid w:val="008F74C6"/>
    <w:rsid w:val="008F7CA3"/>
    <w:rsid w:val="008F7D47"/>
    <w:rsid w:val="00900007"/>
    <w:rsid w:val="009003B2"/>
    <w:rsid w:val="00900699"/>
    <w:rsid w:val="0090086D"/>
    <w:rsid w:val="00900FB9"/>
    <w:rsid w:val="00901225"/>
    <w:rsid w:val="0090135E"/>
    <w:rsid w:val="009016EB"/>
    <w:rsid w:val="00901740"/>
    <w:rsid w:val="009019FB"/>
    <w:rsid w:val="00901A24"/>
    <w:rsid w:val="00901C3A"/>
    <w:rsid w:val="00901CAF"/>
    <w:rsid w:val="00901E46"/>
    <w:rsid w:val="009020EF"/>
    <w:rsid w:val="00902210"/>
    <w:rsid w:val="009028DB"/>
    <w:rsid w:val="00902983"/>
    <w:rsid w:val="00902BA7"/>
    <w:rsid w:val="00902D94"/>
    <w:rsid w:val="00903013"/>
    <w:rsid w:val="0090313A"/>
    <w:rsid w:val="0090357D"/>
    <w:rsid w:val="0090362E"/>
    <w:rsid w:val="00903862"/>
    <w:rsid w:val="0090394F"/>
    <w:rsid w:val="0090398A"/>
    <w:rsid w:val="00903C44"/>
    <w:rsid w:val="00904358"/>
    <w:rsid w:val="00904A31"/>
    <w:rsid w:val="00904B27"/>
    <w:rsid w:val="00904EAC"/>
    <w:rsid w:val="00904F60"/>
    <w:rsid w:val="00905120"/>
    <w:rsid w:val="009051DE"/>
    <w:rsid w:val="00905300"/>
    <w:rsid w:val="00905513"/>
    <w:rsid w:val="0090635F"/>
    <w:rsid w:val="00906562"/>
    <w:rsid w:val="00906E2A"/>
    <w:rsid w:val="00906F40"/>
    <w:rsid w:val="009070D0"/>
    <w:rsid w:val="00907582"/>
    <w:rsid w:val="00907635"/>
    <w:rsid w:val="00907D49"/>
    <w:rsid w:val="00907E57"/>
    <w:rsid w:val="00907ED8"/>
    <w:rsid w:val="00907FC6"/>
    <w:rsid w:val="009100F1"/>
    <w:rsid w:val="00910291"/>
    <w:rsid w:val="00910304"/>
    <w:rsid w:val="00910660"/>
    <w:rsid w:val="009106AD"/>
    <w:rsid w:val="009106C6"/>
    <w:rsid w:val="009107E4"/>
    <w:rsid w:val="0091080F"/>
    <w:rsid w:val="00910A7F"/>
    <w:rsid w:val="00910DDC"/>
    <w:rsid w:val="00910F91"/>
    <w:rsid w:val="0091117F"/>
    <w:rsid w:val="00911594"/>
    <w:rsid w:val="0091164B"/>
    <w:rsid w:val="009117A1"/>
    <w:rsid w:val="009117FF"/>
    <w:rsid w:val="00911ABF"/>
    <w:rsid w:val="0091211C"/>
    <w:rsid w:val="009128FB"/>
    <w:rsid w:val="00912BE2"/>
    <w:rsid w:val="00912C47"/>
    <w:rsid w:val="00912EA7"/>
    <w:rsid w:val="00912EB9"/>
    <w:rsid w:val="00913293"/>
    <w:rsid w:val="009132F4"/>
    <w:rsid w:val="0091347E"/>
    <w:rsid w:val="0091353D"/>
    <w:rsid w:val="009135B5"/>
    <w:rsid w:val="00913740"/>
    <w:rsid w:val="00913C25"/>
    <w:rsid w:val="00913FDE"/>
    <w:rsid w:val="00914064"/>
    <w:rsid w:val="00914156"/>
    <w:rsid w:val="009142D9"/>
    <w:rsid w:val="00914335"/>
    <w:rsid w:val="00914869"/>
    <w:rsid w:val="00914C6C"/>
    <w:rsid w:val="00914EBC"/>
    <w:rsid w:val="00914F52"/>
    <w:rsid w:val="0091510D"/>
    <w:rsid w:val="009151A1"/>
    <w:rsid w:val="009155D9"/>
    <w:rsid w:val="0091562F"/>
    <w:rsid w:val="00915AEE"/>
    <w:rsid w:val="00915B24"/>
    <w:rsid w:val="009163A0"/>
    <w:rsid w:val="009163E7"/>
    <w:rsid w:val="00916471"/>
    <w:rsid w:val="00916472"/>
    <w:rsid w:val="00916601"/>
    <w:rsid w:val="00916790"/>
    <w:rsid w:val="00916A09"/>
    <w:rsid w:val="00916AEA"/>
    <w:rsid w:val="00916BC4"/>
    <w:rsid w:val="00916CCC"/>
    <w:rsid w:val="00916D41"/>
    <w:rsid w:val="00916ECA"/>
    <w:rsid w:val="00917055"/>
    <w:rsid w:val="0091776D"/>
    <w:rsid w:val="00917AF7"/>
    <w:rsid w:val="00917CBC"/>
    <w:rsid w:val="009205F8"/>
    <w:rsid w:val="009208A2"/>
    <w:rsid w:val="00920DF9"/>
    <w:rsid w:val="00920FC3"/>
    <w:rsid w:val="00921142"/>
    <w:rsid w:val="0092129E"/>
    <w:rsid w:val="00921BCC"/>
    <w:rsid w:val="00922242"/>
    <w:rsid w:val="0092239A"/>
    <w:rsid w:val="00922442"/>
    <w:rsid w:val="00922533"/>
    <w:rsid w:val="00922FD4"/>
    <w:rsid w:val="00923026"/>
    <w:rsid w:val="009233A1"/>
    <w:rsid w:val="00924E0A"/>
    <w:rsid w:val="00924FC7"/>
    <w:rsid w:val="00925038"/>
    <w:rsid w:val="00925077"/>
    <w:rsid w:val="009250AA"/>
    <w:rsid w:val="0092519E"/>
    <w:rsid w:val="00925850"/>
    <w:rsid w:val="00925908"/>
    <w:rsid w:val="00925A02"/>
    <w:rsid w:val="00925EEA"/>
    <w:rsid w:val="0092602F"/>
    <w:rsid w:val="0092664C"/>
    <w:rsid w:val="00926A4A"/>
    <w:rsid w:val="00926C7F"/>
    <w:rsid w:val="00927288"/>
    <w:rsid w:val="00927755"/>
    <w:rsid w:val="00927A90"/>
    <w:rsid w:val="00927A9D"/>
    <w:rsid w:val="00927C8D"/>
    <w:rsid w:val="009303BB"/>
    <w:rsid w:val="009304D2"/>
    <w:rsid w:val="009305A8"/>
    <w:rsid w:val="0093067F"/>
    <w:rsid w:val="00930D43"/>
    <w:rsid w:val="00930D9B"/>
    <w:rsid w:val="00930F16"/>
    <w:rsid w:val="00931476"/>
    <w:rsid w:val="0093147B"/>
    <w:rsid w:val="00931E7A"/>
    <w:rsid w:val="00932102"/>
    <w:rsid w:val="00932108"/>
    <w:rsid w:val="009325C0"/>
    <w:rsid w:val="00932B0D"/>
    <w:rsid w:val="009331F4"/>
    <w:rsid w:val="00933C6B"/>
    <w:rsid w:val="00933D28"/>
    <w:rsid w:val="009344C2"/>
    <w:rsid w:val="009345DE"/>
    <w:rsid w:val="0093481E"/>
    <w:rsid w:val="0093499B"/>
    <w:rsid w:val="00934CAD"/>
    <w:rsid w:val="009350F3"/>
    <w:rsid w:val="00935B91"/>
    <w:rsid w:val="00935D6D"/>
    <w:rsid w:val="00935F30"/>
    <w:rsid w:val="00936139"/>
    <w:rsid w:val="00936716"/>
    <w:rsid w:val="0093683A"/>
    <w:rsid w:val="00936ABB"/>
    <w:rsid w:val="00937054"/>
    <w:rsid w:val="009371E2"/>
    <w:rsid w:val="00937A39"/>
    <w:rsid w:val="00937C7E"/>
    <w:rsid w:val="00940A24"/>
    <w:rsid w:val="00940AC1"/>
    <w:rsid w:val="009412EC"/>
    <w:rsid w:val="009415D4"/>
    <w:rsid w:val="00941788"/>
    <w:rsid w:val="00941CF9"/>
    <w:rsid w:val="0094230D"/>
    <w:rsid w:val="00942350"/>
    <w:rsid w:val="009424CB"/>
    <w:rsid w:val="00942633"/>
    <w:rsid w:val="0094290A"/>
    <w:rsid w:val="00942989"/>
    <w:rsid w:val="009429D3"/>
    <w:rsid w:val="00942D82"/>
    <w:rsid w:val="00943B4B"/>
    <w:rsid w:val="00943CB1"/>
    <w:rsid w:val="00943F34"/>
    <w:rsid w:val="00943F9E"/>
    <w:rsid w:val="009441D7"/>
    <w:rsid w:val="00944628"/>
    <w:rsid w:val="00944A7B"/>
    <w:rsid w:val="00944A8A"/>
    <w:rsid w:val="00944C4C"/>
    <w:rsid w:val="00944C7D"/>
    <w:rsid w:val="00944DC7"/>
    <w:rsid w:val="00944E08"/>
    <w:rsid w:val="009451AF"/>
    <w:rsid w:val="009451EF"/>
    <w:rsid w:val="00945268"/>
    <w:rsid w:val="009454CA"/>
    <w:rsid w:val="00945500"/>
    <w:rsid w:val="00945598"/>
    <w:rsid w:val="009457FA"/>
    <w:rsid w:val="00945D17"/>
    <w:rsid w:val="0094652C"/>
    <w:rsid w:val="0094658F"/>
    <w:rsid w:val="00946878"/>
    <w:rsid w:val="009469E7"/>
    <w:rsid w:val="00947510"/>
    <w:rsid w:val="00947566"/>
    <w:rsid w:val="00947618"/>
    <w:rsid w:val="009477E1"/>
    <w:rsid w:val="00947B11"/>
    <w:rsid w:val="00947D2B"/>
    <w:rsid w:val="00947FAD"/>
    <w:rsid w:val="00950071"/>
    <w:rsid w:val="009501B9"/>
    <w:rsid w:val="009502EA"/>
    <w:rsid w:val="009504FE"/>
    <w:rsid w:val="00950AF3"/>
    <w:rsid w:val="00951286"/>
    <w:rsid w:val="009515D1"/>
    <w:rsid w:val="00951E89"/>
    <w:rsid w:val="00951F5A"/>
    <w:rsid w:val="009521AE"/>
    <w:rsid w:val="00952375"/>
    <w:rsid w:val="009523CD"/>
    <w:rsid w:val="0095243E"/>
    <w:rsid w:val="00952523"/>
    <w:rsid w:val="00952815"/>
    <w:rsid w:val="00952858"/>
    <w:rsid w:val="00952ADA"/>
    <w:rsid w:val="0095302B"/>
    <w:rsid w:val="00953321"/>
    <w:rsid w:val="009537BB"/>
    <w:rsid w:val="009545C7"/>
    <w:rsid w:val="009547BF"/>
    <w:rsid w:val="00954F13"/>
    <w:rsid w:val="0095527E"/>
    <w:rsid w:val="009552C2"/>
    <w:rsid w:val="009556DC"/>
    <w:rsid w:val="0095570D"/>
    <w:rsid w:val="0095599D"/>
    <w:rsid w:val="009560E6"/>
    <w:rsid w:val="009565B8"/>
    <w:rsid w:val="0095685B"/>
    <w:rsid w:val="00956959"/>
    <w:rsid w:val="00956970"/>
    <w:rsid w:val="00956BC4"/>
    <w:rsid w:val="00956CE1"/>
    <w:rsid w:val="00956D10"/>
    <w:rsid w:val="00956EDA"/>
    <w:rsid w:val="0095722D"/>
    <w:rsid w:val="00957484"/>
    <w:rsid w:val="00957562"/>
    <w:rsid w:val="009578F0"/>
    <w:rsid w:val="00957AC9"/>
    <w:rsid w:val="00957C44"/>
    <w:rsid w:val="009601EF"/>
    <w:rsid w:val="009602AE"/>
    <w:rsid w:val="009604D6"/>
    <w:rsid w:val="00960BCB"/>
    <w:rsid w:val="00961295"/>
    <w:rsid w:val="00961371"/>
    <w:rsid w:val="00961490"/>
    <w:rsid w:val="00961E23"/>
    <w:rsid w:val="0096208E"/>
    <w:rsid w:val="0096209A"/>
    <w:rsid w:val="0096228D"/>
    <w:rsid w:val="00962366"/>
    <w:rsid w:val="00962586"/>
    <w:rsid w:val="00962802"/>
    <w:rsid w:val="00962852"/>
    <w:rsid w:val="00962B0D"/>
    <w:rsid w:val="00962C93"/>
    <w:rsid w:val="00962D68"/>
    <w:rsid w:val="009631D9"/>
    <w:rsid w:val="00963226"/>
    <w:rsid w:val="00963253"/>
    <w:rsid w:val="009634D9"/>
    <w:rsid w:val="00963758"/>
    <w:rsid w:val="00963AD7"/>
    <w:rsid w:val="00963CD1"/>
    <w:rsid w:val="00964882"/>
    <w:rsid w:val="00964985"/>
    <w:rsid w:val="00964AD0"/>
    <w:rsid w:val="009650B3"/>
    <w:rsid w:val="009658B2"/>
    <w:rsid w:val="00965A43"/>
    <w:rsid w:val="00965C13"/>
    <w:rsid w:val="009667A5"/>
    <w:rsid w:val="009673C0"/>
    <w:rsid w:val="00967557"/>
    <w:rsid w:val="0096760D"/>
    <w:rsid w:val="00967D1D"/>
    <w:rsid w:val="00970097"/>
    <w:rsid w:val="009703B9"/>
    <w:rsid w:val="00970639"/>
    <w:rsid w:val="00970733"/>
    <w:rsid w:val="00970B19"/>
    <w:rsid w:val="00970F0E"/>
    <w:rsid w:val="00971065"/>
    <w:rsid w:val="009713AE"/>
    <w:rsid w:val="00971A3E"/>
    <w:rsid w:val="00971DEC"/>
    <w:rsid w:val="009724D7"/>
    <w:rsid w:val="009726C7"/>
    <w:rsid w:val="009727FC"/>
    <w:rsid w:val="0097282A"/>
    <w:rsid w:val="00972A67"/>
    <w:rsid w:val="00972ABA"/>
    <w:rsid w:val="00972D1A"/>
    <w:rsid w:val="00973288"/>
    <w:rsid w:val="009734A5"/>
    <w:rsid w:val="0097358A"/>
    <w:rsid w:val="009736FB"/>
    <w:rsid w:val="00973775"/>
    <w:rsid w:val="0097391A"/>
    <w:rsid w:val="00973EE6"/>
    <w:rsid w:val="00973EE8"/>
    <w:rsid w:val="0097410E"/>
    <w:rsid w:val="009741C8"/>
    <w:rsid w:val="009742DE"/>
    <w:rsid w:val="009745EA"/>
    <w:rsid w:val="00974928"/>
    <w:rsid w:val="00975732"/>
    <w:rsid w:val="00975930"/>
    <w:rsid w:val="00975D4C"/>
    <w:rsid w:val="00975D80"/>
    <w:rsid w:val="00975F21"/>
    <w:rsid w:val="0097608D"/>
    <w:rsid w:val="009769AC"/>
    <w:rsid w:val="009772B2"/>
    <w:rsid w:val="00977D52"/>
    <w:rsid w:val="0098057A"/>
    <w:rsid w:val="0098061F"/>
    <w:rsid w:val="009809C3"/>
    <w:rsid w:val="00980BC0"/>
    <w:rsid w:val="00980EA3"/>
    <w:rsid w:val="009818AF"/>
    <w:rsid w:val="00981ADA"/>
    <w:rsid w:val="0098228B"/>
    <w:rsid w:val="009823E6"/>
    <w:rsid w:val="00982400"/>
    <w:rsid w:val="0098243F"/>
    <w:rsid w:val="009829BD"/>
    <w:rsid w:val="00983553"/>
    <w:rsid w:val="00983598"/>
    <w:rsid w:val="00983E92"/>
    <w:rsid w:val="00983FA6"/>
    <w:rsid w:val="00983FDF"/>
    <w:rsid w:val="0098409D"/>
    <w:rsid w:val="00984131"/>
    <w:rsid w:val="00984191"/>
    <w:rsid w:val="009843E4"/>
    <w:rsid w:val="0098443C"/>
    <w:rsid w:val="0098451D"/>
    <w:rsid w:val="0098456E"/>
    <w:rsid w:val="00984FCB"/>
    <w:rsid w:val="0098507C"/>
    <w:rsid w:val="00985354"/>
    <w:rsid w:val="009854DA"/>
    <w:rsid w:val="00985A6E"/>
    <w:rsid w:val="00985B32"/>
    <w:rsid w:val="00985BA0"/>
    <w:rsid w:val="00985DA8"/>
    <w:rsid w:val="00985DC5"/>
    <w:rsid w:val="00985EE5"/>
    <w:rsid w:val="00986914"/>
    <w:rsid w:val="00986BE8"/>
    <w:rsid w:val="00987132"/>
    <w:rsid w:val="009871D0"/>
    <w:rsid w:val="009874F8"/>
    <w:rsid w:val="0098757B"/>
    <w:rsid w:val="00987727"/>
    <w:rsid w:val="009879BF"/>
    <w:rsid w:val="00987CB7"/>
    <w:rsid w:val="00990519"/>
    <w:rsid w:val="0099073B"/>
    <w:rsid w:val="00991006"/>
    <w:rsid w:val="0099195E"/>
    <w:rsid w:val="009919F0"/>
    <w:rsid w:val="00992119"/>
    <w:rsid w:val="0099216C"/>
    <w:rsid w:val="00992280"/>
    <w:rsid w:val="009924A3"/>
    <w:rsid w:val="00992544"/>
    <w:rsid w:val="00992D30"/>
    <w:rsid w:val="00992F38"/>
    <w:rsid w:val="00992F60"/>
    <w:rsid w:val="0099374B"/>
    <w:rsid w:val="009938CA"/>
    <w:rsid w:val="00993A94"/>
    <w:rsid w:val="00993B4E"/>
    <w:rsid w:val="00993BB6"/>
    <w:rsid w:val="00993C42"/>
    <w:rsid w:val="00993C75"/>
    <w:rsid w:val="00993CF5"/>
    <w:rsid w:val="00994929"/>
    <w:rsid w:val="00994BFD"/>
    <w:rsid w:val="009950A4"/>
    <w:rsid w:val="0099512D"/>
    <w:rsid w:val="00995740"/>
    <w:rsid w:val="00995779"/>
    <w:rsid w:val="0099590C"/>
    <w:rsid w:val="0099594F"/>
    <w:rsid w:val="00995E21"/>
    <w:rsid w:val="00996172"/>
    <w:rsid w:val="009963E0"/>
    <w:rsid w:val="00996EEF"/>
    <w:rsid w:val="00997162"/>
    <w:rsid w:val="00997232"/>
    <w:rsid w:val="00997317"/>
    <w:rsid w:val="0099739F"/>
    <w:rsid w:val="009975BF"/>
    <w:rsid w:val="00997A05"/>
    <w:rsid w:val="00997EE0"/>
    <w:rsid w:val="00997F94"/>
    <w:rsid w:val="009A039A"/>
    <w:rsid w:val="009A0415"/>
    <w:rsid w:val="009A05F0"/>
    <w:rsid w:val="009A05FD"/>
    <w:rsid w:val="009A08BF"/>
    <w:rsid w:val="009A0A13"/>
    <w:rsid w:val="009A1321"/>
    <w:rsid w:val="009A14D3"/>
    <w:rsid w:val="009A17B3"/>
    <w:rsid w:val="009A19CD"/>
    <w:rsid w:val="009A1C3D"/>
    <w:rsid w:val="009A20CB"/>
    <w:rsid w:val="009A225B"/>
    <w:rsid w:val="009A2284"/>
    <w:rsid w:val="009A25D8"/>
    <w:rsid w:val="009A28BA"/>
    <w:rsid w:val="009A2CC9"/>
    <w:rsid w:val="009A2EBA"/>
    <w:rsid w:val="009A30A8"/>
    <w:rsid w:val="009A35E0"/>
    <w:rsid w:val="009A35E2"/>
    <w:rsid w:val="009A37DC"/>
    <w:rsid w:val="009A3A05"/>
    <w:rsid w:val="009A3A47"/>
    <w:rsid w:val="009A3B35"/>
    <w:rsid w:val="009A3FA5"/>
    <w:rsid w:val="009A4003"/>
    <w:rsid w:val="009A41D2"/>
    <w:rsid w:val="009A4221"/>
    <w:rsid w:val="009A45AA"/>
    <w:rsid w:val="009A4B5B"/>
    <w:rsid w:val="009A4BFE"/>
    <w:rsid w:val="009A5519"/>
    <w:rsid w:val="009A5B04"/>
    <w:rsid w:val="009A5B12"/>
    <w:rsid w:val="009A640F"/>
    <w:rsid w:val="009A661D"/>
    <w:rsid w:val="009A6BFF"/>
    <w:rsid w:val="009A70F1"/>
    <w:rsid w:val="009A74B1"/>
    <w:rsid w:val="009A7526"/>
    <w:rsid w:val="009A7528"/>
    <w:rsid w:val="009A7721"/>
    <w:rsid w:val="009A78DE"/>
    <w:rsid w:val="009A7907"/>
    <w:rsid w:val="009A7A5F"/>
    <w:rsid w:val="009A7BD4"/>
    <w:rsid w:val="009A7FF0"/>
    <w:rsid w:val="009B0083"/>
    <w:rsid w:val="009B0141"/>
    <w:rsid w:val="009B02B6"/>
    <w:rsid w:val="009B0440"/>
    <w:rsid w:val="009B0699"/>
    <w:rsid w:val="009B0B2A"/>
    <w:rsid w:val="009B0D34"/>
    <w:rsid w:val="009B0D51"/>
    <w:rsid w:val="009B0DEB"/>
    <w:rsid w:val="009B0F2B"/>
    <w:rsid w:val="009B1095"/>
    <w:rsid w:val="009B12E5"/>
    <w:rsid w:val="009B1563"/>
    <w:rsid w:val="009B1AE7"/>
    <w:rsid w:val="009B2032"/>
    <w:rsid w:val="009B282D"/>
    <w:rsid w:val="009B2983"/>
    <w:rsid w:val="009B2A2C"/>
    <w:rsid w:val="009B2F81"/>
    <w:rsid w:val="009B2FD7"/>
    <w:rsid w:val="009B30BA"/>
    <w:rsid w:val="009B312D"/>
    <w:rsid w:val="009B34D1"/>
    <w:rsid w:val="009B3689"/>
    <w:rsid w:val="009B389B"/>
    <w:rsid w:val="009B39CF"/>
    <w:rsid w:val="009B3E06"/>
    <w:rsid w:val="009B40F6"/>
    <w:rsid w:val="009B42E2"/>
    <w:rsid w:val="009B487A"/>
    <w:rsid w:val="009B4947"/>
    <w:rsid w:val="009B494C"/>
    <w:rsid w:val="009B49B8"/>
    <w:rsid w:val="009B4AF0"/>
    <w:rsid w:val="009B4D22"/>
    <w:rsid w:val="009B59F9"/>
    <w:rsid w:val="009B6529"/>
    <w:rsid w:val="009B6732"/>
    <w:rsid w:val="009B680B"/>
    <w:rsid w:val="009B69B8"/>
    <w:rsid w:val="009B7292"/>
    <w:rsid w:val="009B74D6"/>
    <w:rsid w:val="009B7BB6"/>
    <w:rsid w:val="009B7D2D"/>
    <w:rsid w:val="009C0294"/>
    <w:rsid w:val="009C03E1"/>
    <w:rsid w:val="009C0BD9"/>
    <w:rsid w:val="009C0F08"/>
    <w:rsid w:val="009C10D6"/>
    <w:rsid w:val="009C10ED"/>
    <w:rsid w:val="009C13CB"/>
    <w:rsid w:val="009C1900"/>
    <w:rsid w:val="009C1F7C"/>
    <w:rsid w:val="009C2276"/>
    <w:rsid w:val="009C2DDE"/>
    <w:rsid w:val="009C3580"/>
    <w:rsid w:val="009C362D"/>
    <w:rsid w:val="009C3758"/>
    <w:rsid w:val="009C38E0"/>
    <w:rsid w:val="009C3938"/>
    <w:rsid w:val="009C3DB2"/>
    <w:rsid w:val="009C3F86"/>
    <w:rsid w:val="009C5278"/>
    <w:rsid w:val="009C5652"/>
    <w:rsid w:val="009C56ED"/>
    <w:rsid w:val="009C5CD5"/>
    <w:rsid w:val="009C6602"/>
    <w:rsid w:val="009C661E"/>
    <w:rsid w:val="009C6898"/>
    <w:rsid w:val="009C6A1A"/>
    <w:rsid w:val="009C762C"/>
    <w:rsid w:val="009C7892"/>
    <w:rsid w:val="009C7917"/>
    <w:rsid w:val="009D02B2"/>
    <w:rsid w:val="009D07A2"/>
    <w:rsid w:val="009D0BFA"/>
    <w:rsid w:val="009D0FA1"/>
    <w:rsid w:val="009D1452"/>
    <w:rsid w:val="009D14FA"/>
    <w:rsid w:val="009D157E"/>
    <w:rsid w:val="009D16A1"/>
    <w:rsid w:val="009D1733"/>
    <w:rsid w:val="009D17BE"/>
    <w:rsid w:val="009D19BD"/>
    <w:rsid w:val="009D1A24"/>
    <w:rsid w:val="009D1B74"/>
    <w:rsid w:val="009D25F9"/>
    <w:rsid w:val="009D2F26"/>
    <w:rsid w:val="009D3064"/>
    <w:rsid w:val="009D327B"/>
    <w:rsid w:val="009D33A5"/>
    <w:rsid w:val="009D3431"/>
    <w:rsid w:val="009D343B"/>
    <w:rsid w:val="009D3637"/>
    <w:rsid w:val="009D38A7"/>
    <w:rsid w:val="009D3991"/>
    <w:rsid w:val="009D3A85"/>
    <w:rsid w:val="009D3A8F"/>
    <w:rsid w:val="009D3CE6"/>
    <w:rsid w:val="009D3E1D"/>
    <w:rsid w:val="009D42A4"/>
    <w:rsid w:val="009D43FA"/>
    <w:rsid w:val="009D482A"/>
    <w:rsid w:val="009D4B06"/>
    <w:rsid w:val="009D4BD4"/>
    <w:rsid w:val="009D4DC8"/>
    <w:rsid w:val="009D5283"/>
    <w:rsid w:val="009D5289"/>
    <w:rsid w:val="009D53CB"/>
    <w:rsid w:val="009D5427"/>
    <w:rsid w:val="009D54C6"/>
    <w:rsid w:val="009D5CAB"/>
    <w:rsid w:val="009D5F12"/>
    <w:rsid w:val="009D5FFF"/>
    <w:rsid w:val="009D64DD"/>
    <w:rsid w:val="009D6580"/>
    <w:rsid w:val="009D666B"/>
    <w:rsid w:val="009D681F"/>
    <w:rsid w:val="009D6A5C"/>
    <w:rsid w:val="009D6AED"/>
    <w:rsid w:val="009D6E8E"/>
    <w:rsid w:val="009D6EEC"/>
    <w:rsid w:val="009D718B"/>
    <w:rsid w:val="009D766B"/>
    <w:rsid w:val="009D7801"/>
    <w:rsid w:val="009D798D"/>
    <w:rsid w:val="009E0499"/>
    <w:rsid w:val="009E04E2"/>
    <w:rsid w:val="009E0547"/>
    <w:rsid w:val="009E06A0"/>
    <w:rsid w:val="009E08D7"/>
    <w:rsid w:val="009E0B62"/>
    <w:rsid w:val="009E112B"/>
    <w:rsid w:val="009E11F1"/>
    <w:rsid w:val="009E1334"/>
    <w:rsid w:val="009E147D"/>
    <w:rsid w:val="009E1708"/>
    <w:rsid w:val="009E1A78"/>
    <w:rsid w:val="009E1C6B"/>
    <w:rsid w:val="009E1E7C"/>
    <w:rsid w:val="009E2233"/>
    <w:rsid w:val="009E2244"/>
    <w:rsid w:val="009E24EC"/>
    <w:rsid w:val="009E28C1"/>
    <w:rsid w:val="009E2968"/>
    <w:rsid w:val="009E2D03"/>
    <w:rsid w:val="009E2E40"/>
    <w:rsid w:val="009E3227"/>
    <w:rsid w:val="009E32E1"/>
    <w:rsid w:val="009E375E"/>
    <w:rsid w:val="009E381D"/>
    <w:rsid w:val="009E405C"/>
    <w:rsid w:val="009E455B"/>
    <w:rsid w:val="009E45DB"/>
    <w:rsid w:val="009E464A"/>
    <w:rsid w:val="009E48CC"/>
    <w:rsid w:val="009E492A"/>
    <w:rsid w:val="009E4AB3"/>
    <w:rsid w:val="009E4BC6"/>
    <w:rsid w:val="009E4BF6"/>
    <w:rsid w:val="009E4E17"/>
    <w:rsid w:val="009E4F05"/>
    <w:rsid w:val="009E5877"/>
    <w:rsid w:val="009E5984"/>
    <w:rsid w:val="009E5A2B"/>
    <w:rsid w:val="009E5F77"/>
    <w:rsid w:val="009E601B"/>
    <w:rsid w:val="009E61B0"/>
    <w:rsid w:val="009E6209"/>
    <w:rsid w:val="009E6252"/>
    <w:rsid w:val="009E632F"/>
    <w:rsid w:val="009E63A0"/>
    <w:rsid w:val="009E6502"/>
    <w:rsid w:val="009E65F6"/>
    <w:rsid w:val="009E6C5F"/>
    <w:rsid w:val="009E6D8B"/>
    <w:rsid w:val="009E6DBA"/>
    <w:rsid w:val="009E7A8E"/>
    <w:rsid w:val="009E7C6F"/>
    <w:rsid w:val="009F0026"/>
    <w:rsid w:val="009F00EB"/>
    <w:rsid w:val="009F0178"/>
    <w:rsid w:val="009F0498"/>
    <w:rsid w:val="009F06B9"/>
    <w:rsid w:val="009F0845"/>
    <w:rsid w:val="009F0A65"/>
    <w:rsid w:val="009F0ADE"/>
    <w:rsid w:val="009F0B5B"/>
    <w:rsid w:val="009F0BE0"/>
    <w:rsid w:val="009F0C83"/>
    <w:rsid w:val="009F0D70"/>
    <w:rsid w:val="009F0E1B"/>
    <w:rsid w:val="009F0E21"/>
    <w:rsid w:val="009F0E98"/>
    <w:rsid w:val="009F12DC"/>
    <w:rsid w:val="009F153D"/>
    <w:rsid w:val="009F15DD"/>
    <w:rsid w:val="009F204F"/>
    <w:rsid w:val="009F21D7"/>
    <w:rsid w:val="009F22ED"/>
    <w:rsid w:val="009F27FD"/>
    <w:rsid w:val="009F2C4F"/>
    <w:rsid w:val="009F2C8F"/>
    <w:rsid w:val="009F30C7"/>
    <w:rsid w:val="009F34D0"/>
    <w:rsid w:val="009F368A"/>
    <w:rsid w:val="009F397B"/>
    <w:rsid w:val="009F39C2"/>
    <w:rsid w:val="009F3A98"/>
    <w:rsid w:val="009F3B75"/>
    <w:rsid w:val="009F3F8E"/>
    <w:rsid w:val="009F4434"/>
    <w:rsid w:val="009F4F04"/>
    <w:rsid w:val="009F53DE"/>
    <w:rsid w:val="009F5993"/>
    <w:rsid w:val="009F608A"/>
    <w:rsid w:val="009F6152"/>
    <w:rsid w:val="009F6241"/>
    <w:rsid w:val="009F665A"/>
    <w:rsid w:val="009F66FE"/>
    <w:rsid w:val="009F6A2D"/>
    <w:rsid w:val="009F6CB8"/>
    <w:rsid w:val="009F7376"/>
    <w:rsid w:val="009F754E"/>
    <w:rsid w:val="009F7581"/>
    <w:rsid w:val="009F787A"/>
    <w:rsid w:val="009F7A9B"/>
    <w:rsid w:val="009F7D3A"/>
    <w:rsid w:val="00A00012"/>
    <w:rsid w:val="00A00278"/>
    <w:rsid w:val="00A00673"/>
    <w:rsid w:val="00A0072A"/>
    <w:rsid w:val="00A008D3"/>
    <w:rsid w:val="00A00A19"/>
    <w:rsid w:val="00A00E76"/>
    <w:rsid w:val="00A01063"/>
    <w:rsid w:val="00A010C1"/>
    <w:rsid w:val="00A011B2"/>
    <w:rsid w:val="00A013E7"/>
    <w:rsid w:val="00A01542"/>
    <w:rsid w:val="00A0155A"/>
    <w:rsid w:val="00A016E7"/>
    <w:rsid w:val="00A020BA"/>
    <w:rsid w:val="00A021AF"/>
    <w:rsid w:val="00A023D5"/>
    <w:rsid w:val="00A02C4F"/>
    <w:rsid w:val="00A02DBA"/>
    <w:rsid w:val="00A0321E"/>
    <w:rsid w:val="00A0354A"/>
    <w:rsid w:val="00A03900"/>
    <w:rsid w:val="00A03B44"/>
    <w:rsid w:val="00A03C28"/>
    <w:rsid w:val="00A040D7"/>
    <w:rsid w:val="00A04110"/>
    <w:rsid w:val="00A0469A"/>
    <w:rsid w:val="00A04BBA"/>
    <w:rsid w:val="00A04D2A"/>
    <w:rsid w:val="00A0509A"/>
    <w:rsid w:val="00A05A3D"/>
    <w:rsid w:val="00A05D77"/>
    <w:rsid w:val="00A05F27"/>
    <w:rsid w:val="00A06063"/>
    <w:rsid w:val="00A062A2"/>
    <w:rsid w:val="00A0646A"/>
    <w:rsid w:val="00A0669D"/>
    <w:rsid w:val="00A068B1"/>
    <w:rsid w:val="00A0693E"/>
    <w:rsid w:val="00A06961"/>
    <w:rsid w:val="00A069B5"/>
    <w:rsid w:val="00A06A67"/>
    <w:rsid w:val="00A06B25"/>
    <w:rsid w:val="00A06D3D"/>
    <w:rsid w:val="00A06E5D"/>
    <w:rsid w:val="00A06FB5"/>
    <w:rsid w:val="00A07056"/>
    <w:rsid w:val="00A071F4"/>
    <w:rsid w:val="00A072EB"/>
    <w:rsid w:val="00A0745A"/>
    <w:rsid w:val="00A07DA0"/>
    <w:rsid w:val="00A07DC2"/>
    <w:rsid w:val="00A104D3"/>
    <w:rsid w:val="00A10739"/>
    <w:rsid w:val="00A107B5"/>
    <w:rsid w:val="00A10A19"/>
    <w:rsid w:val="00A10FD2"/>
    <w:rsid w:val="00A112D7"/>
    <w:rsid w:val="00A114D0"/>
    <w:rsid w:val="00A1192A"/>
    <w:rsid w:val="00A11ABF"/>
    <w:rsid w:val="00A11AE5"/>
    <w:rsid w:val="00A11B2E"/>
    <w:rsid w:val="00A11BEB"/>
    <w:rsid w:val="00A11F9D"/>
    <w:rsid w:val="00A12605"/>
    <w:rsid w:val="00A1288E"/>
    <w:rsid w:val="00A128BB"/>
    <w:rsid w:val="00A12910"/>
    <w:rsid w:val="00A12CA6"/>
    <w:rsid w:val="00A12EF0"/>
    <w:rsid w:val="00A1311D"/>
    <w:rsid w:val="00A13271"/>
    <w:rsid w:val="00A13409"/>
    <w:rsid w:val="00A1357F"/>
    <w:rsid w:val="00A135F7"/>
    <w:rsid w:val="00A136A7"/>
    <w:rsid w:val="00A138A6"/>
    <w:rsid w:val="00A13901"/>
    <w:rsid w:val="00A13DE5"/>
    <w:rsid w:val="00A1522D"/>
    <w:rsid w:val="00A1578D"/>
    <w:rsid w:val="00A15979"/>
    <w:rsid w:val="00A15B01"/>
    <w:rsid w:val="00A15BF4"/>
    <w:rsid w:val="00A15DFA"/>
    <w:rsid w:val="00A15FB5"/>
    <w:rsid w:val="00A161CE"/>
    <w:rsid w:val="00A162AF"/>
    <w:rsid w:val="00A16A88"/>
    <w:rsid w:val="00A16B4F"/>
    <w:rsid w:val="00A16CAF"/>
    <w:rsid w:val="00A16CCA"/>
    <w:rsid w:val="00A16E9A"/>
    <w:rsid w:val="00A16EB9"/>
    <w:rsid w:val="00A17220"/>
    <w:rsid w:val="00A17744"/>
    <w:rsid w:val="00A1781F"/>
    <w:rsid w:val="00A17C55"/>
    <w:rsid w:val="00A17D96"/>
    <w:rsid w:val="00A17E38"/>
    <w:rsid w:val="00A17F4F"/>
    <w:rsid w:val="00A20243"/>
    <w:rsid w:val="00A2039B"/>
    <w:rsid w:val="00A20536"/>
    <w:rsid w:val="00A205EB"/>
    <w:rsid w:val="00A21036"/>
    <w:rsid w:val="00A2119F"/>
    <w:rsid w:val="00A211EA"/>
    <w:rsid w:val="00A216D2"/>
    <w:rsid w:val="00A21A3A"/>
    <w:rsid w:val="00A21D72"/>
    <w:rsid w:val="00A21F13"/>
    <w:rsid w:val="00A22576"/>
    <w:rsid w:val="00A22891"/>
    <w:rsid w:val="00A22E93"/>
    <w:rsid w:val="00A23151"/>
    <w:rsid w:val="00A23258"/>
    <w:rsid w:val="00A23488"/>
    <w:rsid w:val="00A234F7"/>
    <w:rsid w:val="00A238E0"/>
    <w:rsid w:val="00A23FA8"/>
    <w:rsid w:val="00A24316"/>
    <w:rsid w:val="00A24468"/>
    <w:rsid w:val="00A247F1"/>
    <w:rsid w:val="00A24896"/>
    <w:rsid w:val="00A24B92"/>
    <w:rsid w:val="00A24E30"/>
    <w:rsid w:val="00A25071"/>
    <w:rsid w:val="00A2548F"/>
    <w:rsid w:val="00A256B0"/>
    <w:rsid w:val="00A258E3"/>
    <w:rsid w:val="00A259A8"/>
    <w:rsid w:val="00A26017"/>
    <w:rsid w:val="00A26599"/>
    <w:rsid w:val="00A26753"/>
    <w:rsid w:val="00A2698E"/>
    <w:rsid w:val="00A26DAD"/>
    <w:rsid w:val="00A273EE"/>
    <w:rsid w:val="00A27408"/>
    <w:rsid w:val="00A2761B"/>
    <w:rsid w:val="00A27F90"/>
    <w:rsid w:val="00A27FB9"/>
    <w:rsid w:val="00A30879"/>
    <w:rsid w:val="00A30A73"/>
    <w:rsid w:val="00A30D9D"/>
    <w:rsid w:val="00A30E77"/>
    <w:rsid w:val="00A30F0C"/>
    <w:rsid w:val="00A30F34"/>
    <w:rsid w:val="00A313DD"/>
    <w:rsid w:val="00A318DB"/>
    <w:rsid w:val="00A31F30"/>
    <w:rsid w:val="00A32184"/>
    <w:rsid w:val="00A323F3"/>
    <w:rsid w:val="00A324B3"/>
    <w:rsid w:val="00A32711"/>
    <w:rsid w:val="00A3279D"/>
    <w:rsid w:val="00A32ACC"/>
    <w:rsid w:val="00A32B7A"/>
    <w:rsid w:val="00A32B9F"/>
    <w:rsid w:val="00A32BCE"/>
    <w:rsid w:val="00A336A8"/>
    <w:rsid w:val="00A336BE"/>
    <w:rsid w:val="00A338CD"/>
    <w:rsid w:val="00A33A5B"/>
    <w:rsid w:val="00A33C24"/>
    <w:rsid w:val="00A33F1E"/>
    <w:rsid w:val="00A33FAF"/>
    <w:rsid w:val="00A346B1"/>
    <w:rsid w:val="00A34842"/>
    <w:rsid w:val="00A349D2"/>
    <w:rsid w:val="00A3557D"/>
    <w:rsid w:val="00A35935"/>
    <w:rsid w:val="00A35E1D"/>
    <w:rsid w:val="00A35FA5"/>
    <w:rsid w:val="00A36808"/>
    <w:rsid w:val="00A368DA"/>
    <w:rsid w:val="00A3700D"/>
    <w:rsid w:val="00A37170"/>
    <w:rsid w:val="00A37237"/>
    <w:rsid w:val="00A37641"/>
    <w:rsid w:val="00A37D1E"/>
    <w:rsid w:val="00A37FB2"/>
    <w:rsid w:val="00A4006A"/>
    <w:rsid w:val="00A4018E"/>
    <w:rsid w:val="00A40211"/>
    <w:rsid w:val="00A4089D"/>
    <w:rsid w:val="00A40C2B"/>
    <w:rsid w:val="00A40D02"/>
    <w:rsid w:val="00A4125D"/>
    <w:rsid w:val="00A41793"/>
    <w:rsid w:val="00A419C1"/>
    <w:rsid w:val="00A41BBF"/>
    <w:rsid w:val="00A423EA"/>
    <w:rsid w:val="00A42616"/>
    <w:rsid w:val="00A42651"/>
    <w:rsid w:val="00A42674"/>
    <w:rsid w:val="00A42799"/>
    <w:rsid w:val="00A42FFF"/>
    <w:rsid w:val="00A4332C"/>
    <w:rsid w:val="00A433D9"/>
    <w:rsid w:val="00A43698"/>
    <w:rsid w:val="00A43714"/>
    <w:rsid w:val="00A438B7"/>
    <w:rsid w:val="00A43D02"/>
    <w:rsid w:val="00A44075"/>
    <w:rsid w:val="00A44646"/>
    <w:rsid w:val="00A448F0"/>
    <w:rsid w:val="00A44D92"/>
    <w:rsid w:val="00A44E2B"/>
    <w:rsid w:val="00A44FE4"/>
    <w:rsid w:val="00A450E6"/>
    <w:rsid w:val="00A45157"/>
    <w:rsid w:val="00A45191"/>
    <w:rsid w:val="00A45308"/>
    <w:rsid w:val="00A454EB"/>
    <w:rsid w:val="00A4551C"/>
    <w:rsid w:val="00A45602"/>
    <w:rsid w:val="00A45662"/>
    <w:rsid w:val="00A4566A"/>
    <w:rsid w:val="00A457A0"/>
    <w:rsid w:val="00A45AD4"/>
    <w:rsid w:val="00A45B99"/>
    <w:rsid w:val="00A45D05"/>
    <w:rsid w:val="00A46005"/>
    <w:rsid w:val="00A465D9"/>
    <w:rsid w:val="00A472D5"/>
    <w:rsid w:val="00A47647"/>
    <w:rsid w:val="00A479AD"/>
    <w:rsid w:val="00A479F7"/>
    <w:rsid w:val="00A501F4"/>
    <w:rsid w:val="00A5095C"/>
    <w:rsid w:val="00A50995"/>
    <w:rsid w:val="00A50AF9"/>
    <w:rsid w:val="00A5114A"/>
    <w:rsid w:val="00A515AD"/>
    <w:rsid w:val="00A51775"/>
    <w:rsid w:val="00A517A0"/>
    <w:rsid w:val="00A517A3"/>
    <w:rsid w:val="00A51A2D"/>
    <w:rsid w:val="00A51B0B"/>
    <w:rsid w:val="00A5239C"/>
    <w:rsid w:val="00A5241E"/>
    <w:rsid w:val="00A526D7"/>
    <w:rsid w:val="00A52906"/>
    <w:rsid w:val="00A52AA2"/>
    <w:rsid w:val="00A52B32"/>
    <w:rsid w:val="00A52D06"/>
    <w:rsid w:val="00A53946"/>
    <w:rsid w:val="00A53B40"/>
    <w:rsid w:val="00A53D68"/>
    <w:rsid w:val="00A541B8"/>
    <w:rsid w:val="00A542DD"/>
    <w:rsid w:val="00A54745"/>
    <w:rsid w:val="00A547BB"/>
    <w:rsid w:val="00A54875"/>
    <w:rsid w:val="00A54B0A"/>
    <w:rsid w:val="00A54B42"/>
    <w:rsid w:val="00A54EDB"/>
    <w:rsid w:val="00A54F29"/>
    <w:rsid w:val="00A55097"/>
    <w:rsid w:val="00A55230"/>
    <w:rsid w:val="00A55380"/>
    <w:rsid w:val="00A55472"/>
    <w:rsid w:val="00A5548D"/>
    <w:rsid w:val="00A556DA"/>
    <w:rsid w:val="00A558CF"/>
    <w:rsid w:val="00A559D1"/>
    <w:rsid w:val="00A55D69"/>
    <w:rsid w:val="00A56354"/>
    <w:rsid w:val="00A564D9"/>
    <w:rsid w:val="00A565D6"/>
    <w:rsid w:val="00A568D6"/>
    <w:rsid w:val="00A5695B"/>
    <w:rsid w:val="00A56A31"/>
    <w:rsid w:val="00A570F2"/>
    <w:rsid w:val="00A571FA"/>
    <w:rsid w:val="00A572BE"/>
    <w:rsid w:val="00A57AED"/>
    <w:rsid w:val="00A57BA7"/>
    <w:rsid w:val="00A57BAF"/>
    <w:rsid w:val="00A57BED"/>
    <w:rsid w:val="00A6023A"/>
    <w:rsid w:val="00A60510"/>
    <w:rsid w:val="00A60681"/>
    <w:rsid w:val="00A608AC"/>
    <w:rsid w:val="00A6096E"/>
    <w:rsid w:val="00A60CA3"/>
    <w:rsid w:val="00A60EDB"/>
    <w:rsid w:val="00A61019"/>
    <w:rsid w:val="00A61024"/>
    <w:rsid w:val="00A61157"/>
    <w:rsid w:val="00A61272"/>
    <w:rsid w:val="00A61295"/>
    <w:rsid w:val="00A61407"/>
    <w:rsid w:val="00A615CD"/>
    <w:rsid w:val="00A6198F"/>
    <w:rsid w:val="00A61C3D"/>
    <w:rsid w:val="00A62549"/>
    <w:rsid w:val="00A6275F"/>
    <w:rsid w:val="00A631B5"/>
    <w:rsid w:val="00A63585"/>
    <w:rsid w:val="00A63723"/>
    <w:rsid w:val="00A637EC"/>
    <w:rsid w:val="00A63A50"/>
    <w:rsid w:val="00A63AF0"/>
    <w:rsid w:val="00A63E4C"/>
    <w:rsid w:val="00A63F29"/>
    <w:rsid w:val="00A641A3"/>
    <w:rsid w:val="00A643E7"/>
    <w:rsid w:val="00A64F60"/>
    <w:rsid w:val="00A65A50"/>
    <w:rsid w:val="00A65F09"/>
    <w:rsid w:val="00A663F7"/>
    <w:rsid w:val="00A66598"/>
    <w:rsid w:val="00A6664B"/>
    <w:rsid w:val="00A6695C"/>
    <w:rsid w:val="00A66B5E"/>
    <w:rsid w:val="00A67423"/>
    <w:rsid w:val="00A6756D"/>
    <w:rsid w:val="00A678C2"/>
    <w:rsid w:val="00A67913"/>
    <w:rsid w:val="00A67EAA"/>
    <w:rsid w:val="00A70635"/>
    <w:rsid w:val="00A7065B"/>
    <w:rsid w:val="00A708CB"/>
    <w:rsid w:val="00A70C2E"/>
    <w:rsid w:val="00A70FFA"/>
    <w:rsid w:val="00A7102D"/>
    <w:rsid w:val="00A7104B"/>
    <w:rsid w:val="00A711C3"/>
    <w:rsid w:val="00A71341"/>
    <w:rsid w:val="00A71565"/>
    <w:rsid w:val="00A71802"/>
    <w:rsid w:val="00A71B35"/>
    <w:rsid w:val="00A72501"/>
    <w:rsid w:val="00A725C2"/>
    <w:rsid w:val="00A727E4"/>
    <w:rsid w:val="00A727FD"/>
    <w:rsid w:val="00A7286A"/>
    <w:rsid w:val="00A72AFB"/>
    <w:rsid w:val="00A72B9D"/>
    <w:rsid w:val="00A73094"/>
    <w:rsid w:val="00A732BD"/>
    <w:rsid w:val="00A73301"/>
    <w:rsid w:val="00A73382"/>
    <w:rsid w:val="00A73593"/>
    <w:rsid w:val="00A7385D"/>
    <w:rsid w:val="00A73C47"/>
    <w:rsid w:val="00A73F93"/>
    <w:rsid w:val="00A74259"/>
    <w:rsid w:val="00A74362"/>
    <w:rsid w:val="00A743EA"/>
    <w:rsid w:val="00A7459F"/>
    <w:rsid w:val="00A74600"/>
    <w:rsid w:val="00A74826"/>
    <w:rsid w:val="00A74942"/>
    <w:rsid w:val="00A74D5C"/>
    <w:rsid w:val="00A74E06"/>
    <w:rsid w:val="00A74E7A"/>
    <w:rsid w:val="00A75346"/>
    <w:rsid w:val="00A75434"/>
    <w:rsid w:val="00A75CF3"/>
    <w:rsid w:val="00A76ECC"/>
    <w:rsid w:val="00A77550"/>
    <w:rsid w:val="00A77BA4"/>
    <w:rsid w:val="00A77D49"/>
    <w:rsid w:val="00A77EA4"/>
    <w:rsid w:val="00A80030"/>
    <w:rsid w:val="00A80101"/>
    <w:rsid w:val="00A801FB"/>
    <w:rsid w:val="00A80305"/>
    <w:rsid w:val="00A8036F"/>
    <w:rsid w:val="00A806E8"/>
    <w:rsid w:val="00A80965"/>
    <w:rsid w:val="00A80E67"/>
    <w:rsid w:val="00A8107A"/>
    <w:rsid w:val="00A811B4"/>
    <w:rsid w:val="00A814B8"/>
    <w:rsid w:val="00A81842"/>
    <w:rsid w:val="00A8195B"/>
    <w:rsid w:val="00A82AE6"/>
    <w:rsid w:val="00A82D3A"/>
    <w:rsid w:val="00A8303D"/>
    <w:rsid w:val="00A832D5"/>
    <w:rsid w:val="00A83C53"/>
    <w:rsid w:val="00A83C63"/>
    <w:rsid w:val="00A83CC9"/>
    <w:rsid w:val="00A83D3F"/>
    <w:rsid w:val="00A8425B"/>
    <w:rsid w:val="00A84389"/>
    <w:rsid w:val="00A84483"/>
    <w:rsid w:val="00A84508"/>
    <w:rsid w:val="00A846B3"/>
    <w:rsid w:val="00A8474B"/>
    <w:rsid w:val="00A84F6F"/>
    <w:rsid w:val="00A86212"/>
    <w:rsid w:val="00A86259"/>
    <w:rsid w:val="00A868B8"/>
    <w:rsid w:val="00A86BC0"/>
    <w:rsid w:val="00A86BE2"/>
    <w:rsid w:val="00A870B3"/>
    <w:rsid w:val="00A87120"/>
    <w:rsid w:val="00A87303"/>
    <w:rsid w:val="00A87304"/>
    <w:rsid w:val="00A8755B"/>
    <w:rsid w:val="00A877E4"/>
    <w:rsid w:val="00A87E69"/>
    <w:rsid w:val="00A90063"/>
    <w:rsid w:val="00A902B3"/>
    <w:rsid w:val="00A90450"/>
    <w:rsid w:val="00A908C9"/>
    <w:rsid w:val="00A90C2E"/>
    <w:rsid w:val="00A90CE5"/>
    <w:rsid w:val="00A90D3C"/>
    <w:rsid w:val="00A916D7"/>
    <w:rsid w:val="00A91740"/>
    <w:rsid w:val="00A91918"/>
    <w:rsid w:val="00A91928"/>
    <w:rsid w:val="00A91AF3"/>
    <w:rsid w:val="00A91D84"/>
    <w:rsid w:val="00A92137"/>
    <w:rsid w:val="00A92212"/>
    <w:rsid w:val="00A92330"/>
    <w:rsid w:val="00A92A1F"/>
    <w:rsid w:val="00A92C9A"/>
    <w:rsid w:val="00A92DB8"/>
    <w:rsid w:val="00A92DEF"/>
    <w:rsid w:val="00A93272"/>
    <w:rsid w:val="00A935BD"/>
    <w:rsid w:val="00A9383D"/>
    <w:rsid w:val="00A943BC"/>
    <w:rsid w:val="00A9485D"/>
    <w:rsid w:val="00A94CA6"/>
    <w:rsid w:val="00A94EA4"/>
    <w:rsid w:val="00A9503E"/>
    <w:rsid w:val="00A95156"/>
    <w:rsid w:val="00A956C7"/>
    <w:rsid w:val="00A958B3"/>
    <w:rsid w:val="00A95B6D"/>
    <w:rsid w:val="00A95BA7"/>
    <w:rsid w:val="00A96134"/>
    <w:rsid w:val="00A96153"/>
    <w:rsid w:val="00A961E2"/>
    <w:rsid w:val="00A96404"/>
    <w:rsid w:val="00A96632"/>
    <w:rsid w:val="00A969E1"/>
    <w:rsid w:val="00A96F3B"/>
    <w:rsid w:val="00A96FF4"/>
    <w:rsid w:val="00A9706C"/>
    <w:rsid w:val="00A9753A"/>
    <w:rsid w:val="00A9760C"/>
    <w:rsid w:val="00A97C66"/>
    <w:rsid w:val="00A97D87"/>
    <w:rsid w:val="00AA006E"/>
    <w:rsid w:val="00AA008E"/>
    <w:rsid w:val="00AA0103"/>
    <w:rsid w:val="00AA0274"/>
    <w:rsid w:val="00AA0297"/>
    <w:rsid w:val="00AA0599"/>
    <w:rsid w:val="00AA0673"/>
    <w:rsid w:val="00AA070E"/>
    <w:rsid w:val="00AA0CF4"/>
    <w:rsid w:val="00AA0F41"/>
    <w:rsid w:val="00AA0FB5"/>
    <w:rsid w:val="00AA12EA"/>
    <w:rsid w:val="00AA1CEC"/>
    <w:rsid w:val="00AA1D3F"/>
    <w:rsid w:val="00AA1F21"/>
    <w:rsid w:val="00AA2B14"/>
    <w:rsid w:val="00AA2B79"/>
    <w:rsid w:val="00AA3359"/>
    <w:rsid w:val="00AA3746"/>
    <w:rsid w:val="00AA3802"/>
    <w:rsid w:val="00AA3833"/>
    <w:rsid w:val="00AA3857"/>
    <w:rsid w:val="00AA3B59"/>
    <w:rsid w:val="00AA3B8E"/>
    <w:rsid w:val="00AA3D26"/>
    <w:rsid w:val="00AA49DF"/>
    <w:rsid w:val="00AA5305"/>
    <w:rsid w:val="00AA534B"/>
    <w:rsid w:val="00AA535B"/>
    <w:rsid w:val="00AA54F2"/>
    <w:rsid w:val="00AA6426"/>
    <w:rsid w:val="00AA674D"/>
    <w:rsid w:val="00AA6A38"/>
    <w:rsid w:val="00AA6CEC"/>
    <w:rsid w:val="00AA6F5B"/>
    <w:rsid w:val="00AA742C"/>
    <w:rsid w:val="00AA7B4F"/>
    <w:rsid w:val="00AA7BF3"/>
    <w:rsid w:val="00AA7F7C"/>
    <w:rsid w:val="00AB056A"/>
    <w:rsid w:val="00AB0A84"/>
    <w:rsid w:val="00AB0B75"/>
    <w:rsid w:val="00AB0D2C"/>
    <w:rsid w:val="00AB0D7E"/>
    <w:rsid w:val="00AB126C"/>
    <w:rsid w:val="00AB137A"/>
    <w:rsid w:val="00AB13FC"/>
    <w:rsid w:val="00AB150C"/>
    <w:rsid w:val="00AB151C"/>
    <w:rsid w:val="00AB170C"/>
    <w:rsid w:val="00AB1976"/>
    <w:rsid w:val="00AB2772"/>
    <w:rsid w:val="00AB2A3F"/>
    <w:rsid w:val="00AB31B9"/>
    <w:rsid w:val="00AB3301"/>
    <w:rsid w:val="00AB3774"/>
    <w:rsid w:val="00AB3A9E"/>
    <w:rsid w:val="00AB3DB8"/>
    <w:rsid w:val="00AB3E6C"/>
    <w:rsid w:val="00AB47A7"/>
    <w:rsid w:val="00AB504F"/>
    <w:rsid w:val="00AB556E"/>
    <w:rsid w:val="00AB5608"/>
    <w:rsid w:val="00AB58D8"/>
    <w:rsid w:val="00AB5C2C"/>
    <w:rsid w:val="00AB6A26"/>
    <w:rsid w:val="00AB6F0A"/>
    <w:rsid w:val="00AB6F8F"/>
    <w:rsid w:val="00AB71C9"/>
    <w:rsid w:val="00AB74FF"/>
    <w:rsid w:val="00AB7AFE"/>
    <w:rsid w:val="00AC034D"/>
    <w:rsid w:val="00AC042A"/>
    <w:rsid w:val="00AC061B"/>
    <w:rsid w:val="00AC073E"/>
    <w:rsid w:val="00AC07A6"/>
    <w:rsid w:val="00AC0E76"/>
    <w:rsid w:val="00AC1880"/>
    <w:rsid w:val="00AC1922"/>
    <w:rsid w:val="00AC1C28"/>
    <w:rsid w:val="00AC1D21"/>
    <w:rsid w:val="00AC256B"/>
    <w:rsid w:val="00AC2630"/>
    <w:rsid w:val="00AC279B"/>
    <w:rsid w:val="00AC2C73"/>
    <w:rsid w:val="00AC2F6B"/>
    <w:rsid w:val="00AC3599"/>
    <w:rsid w:val="00AC38A1"/>
    <w:rsid w:val="00AC396B"/>
    <w:rsid w:val="00AC3BA3"/>
    <w:rsid w:val="00AC3C1D"/>
    <w:rsid w:val="00AC40ED"/>
    <w:rsid w:val="00AC471E"/>
    <w:rsid w:val="00AC4750"/>
    <w:rsid w:val="00AC4825"/>
    <w:rsid w:val="00AC482F"/>
    <w:rsid w:val="00AC4925"/>
    <w:rsid w:val="00AC49F8"/>
    <w:rsid w:val="00AC4C3D"/>
    <w:rsid w:val="00AC4CA7"/>
    <w:rsid w:val="00AC5227"/>
    <w:rsid w:val="00AC5889"/>
    <w:rsid w:val="00AC5E7D"/>
    <w:rsid w:val="00AC6361"/>
    <w:rsid w:val="00AC6730"/>
    <w:rsid w:val="00AC6ACC"/>
    <w:rsid w:val="00AC782B"/>
    <w:rsid w:val="00AC7F35"/>
    <w:rsid w:val="00AD0462"/>
    <w:rsid w:val="00AD0A3A"/>
    <w:rsid w:val="00AD0ACD"/>
    <w:rsid w:val="00AD0B29"/>
    <w:rsid w:val="00AD0C20"/>
    <w:rsid w:val="00AD0FE9"/>
    <w:rsid w:val="00AD16CA"/>
    <w:rsid w:val="00AD1758"/>
    <w:rsid w:val="00AD18A7"/>
    <w:rsid w:val="00AD1B46"/>
    <w:rsid w:val="00AD2101"/>
    <w:rsid w:val="00AD24A2"/>
    <w:rsid w:val="00AD262B"/>
    <w:rsid w:val="00AD301E"/>
    <w:rsid w:val="00AD322D"/>
    <w:rsid w:val="00AD34B6"/>
    <w:rsid w:val="00AD351A"/>
    <w:rsid w:val="00AD35A2"/>
    <w:rsid w:val="00AD3A3E"/>
    <w:rsid w:val="00AD3B8B"/>
    <w:rsid w:val="00AD3BF1"/>
    <w:rsid w:val="00AD443B"/>
    <w:rsid w:val="00AD49DD"/>
    <w:rsid w:val="00AD4E64"/>
    <w:rsid w:val="00AD4F26"/>
    <w:rsid w:val="00AD50B5"/>
    <w:rsid w:val="00AD51BB"/>
    <w:rsid w:val="00AD51EB"/>
    <w:rsid w:val="00AD5644"/>
    <w:rsid w:val="00AD5765"/>
    <w:rsid w:val="00AD5C23"/>
    <w:rsid w:val="00AD5CFB"/>
    <w:rsid w:val="00AD6562"/>
    <w:rsid w:val="00AD6590"/>
    <w:rsid w:val="00AD66CB"/>
    <w:rsid w:val="00AD71B6"/>
    <w:rsid w:val="00AD7200"/>
    <w:rsid w:val="00AD7309"/>
    <w:rsid w:val="00AD77B6"/>
    <w:rsid w:val="00AD782C"/>
    <w:rsid w:val="00AD7899"/>
    <w:rsid w:val="00AD789D"/>
    <w:rsid w:val="00AD7919"/>
    <w:rsid w:val="00AD7A57"/>
    <w:rsid w:val="00AD7AF6"/>
    <w:rsid w:val="00AD7C9B"/>
    <w:rsid w:val="00AE0099"/>
    <w:rsid w:val="00AE0294"/>
    <w:rsid w:val="00AE02F2"/>
    <w:rsid w:val="00AE058C"/>
    <w:rsid w:val="00AE07B8"/>
    <w:rsid w:val="00AE0973"/>
    <w:rsid w:val="00AE0BA3"/>
    <w:rsid w:val="00AE0E09"/>
    <w:rsid w:val="00AE130D"/>
    <w:rsid w:val="00AE1531"/>
    <w:rsid w:val="00AE1A47"/>
    <w:rsid w:val="00AE1A58"/>
    <w:rsid w:val="00AE1BB4"/>
    <w:rsid w:val="00AE1DA9"/>
    <w:rsid w:val="00AE2662"/>
    <w:rsid w:val="00AE2761"/>
    <w:rsid w:val="00AE28E8"/>
    <w:rsid w:val="00AE2AA7"/>
    <w:rsid w:val="00AE2AC4"/>
    <w:rsid w:val="00AE2BB7"/>
    <w:rsid w:val="00AE2FDC"/>
    <w:rsid w:val="00AE3137"/>
    <w:rsid w:val="00AE3632"/>
    <w:rsid w:val="00AE3BF9"/>
    <w:rsid w:val="00AE3CC2"/>
    <w:rsid w:val="00AE3FF9"/>
    <w:rsid w:val="00AE43CD"/>
    <w:rsid w:val="00AE451B"/>
    <w:rsid w:val="00AE45B1"/>
    <w:rsid w:val="00AE4CAB"/>
    <w:rsid w:val="00AE4E09"/>
    <w:rsid w:val="00AE5044"/>
    <w:rsid w:val="00AE5204"/>
    <w:rsid w:val="00AE528C"/>
    <w:rsid w:val="00AE5559"/>
    <w:rsid w:val="00AE6AAC"/>
    <w:rsid w:val="00AE6F42"/>
    <w:rsid w:val="00AE6FD1"/>
    <w:rsid w:val="00AE717C"/>
    <w:rsid w:val="00AE721C"/>
    <w:rsid w:val="00AE7475"/>
    <w:rsid w:val="00AE7521"/>
    <w:rsid w:val="00AE7673"/>
    <w:rsid w:val="00AE7CF9"/>
    <w:rsid w:val="00AE7F80"/>
    <w:rsid w:val="00AF044F"/>
    <w:rsid w:val="00AF176B"/>
    <w:rsid w:val="00AF184E"/>
    <w:rsid w:val="00AF1ACA"/>
    <w:rsid w:val="00AF1AE0"/>
    <w:rsid w:val="00AF1B1F"/>
    <w:rsid w:val="00AF1BD1"/>
    <w:rsid w:val="00AF2515"/>
    <w:rsid w:val="00AF277B"/>
    <w:rsid w:val="00AF27C5"/>
    <w:rsid w:val="00AF2957"/>
    <w:rsid w:val="00AF2B74"/>
    <w:rsid w:val="00AF2E69"/>
    <w:rsid w:val="00AF309D"/>
    <w:rsid w:val="00AF3461"/>
    <w:rsid w:val="00AF3A68"/>
    <w:rsid w:val="00AF3C4C"/>
    <w:rsid w:val="00AF3DA8"/>
    <w:rsid w:val="00AF3FC2"/>
    <w:rsid w:val="00AF43E4"/>
    <w:rsid w:val="00AF47E6"/>
    <w:rsid w:val="00AF4A4D"/>
    <w:rsid w:val="00AF4B2A"/>
    <w:rsid w:val="00AF4DCE"/>
    <w:rsid w:val="00AF51F9"/>
    <w:rsid w:val="00AF5491"/>
    <w:rsid w:val="00AF5569"/>
    <w:rsid w:val="00AF57A3"/>
    <w:rsid w:val="00AF5E51"/>
    <w:rsid w:val="00AF645C"/>
    <w:rsid w:val="00AF679E"/>
    <w:rsid w:val="00AF6ACB"/>
    <w:rsid w:val="00AF6BA8"/>
    <w:rsid w:val="00AF7238"/>
    <w:rsid w:val="00B00207"/>
    <w:rsid w:val="00B00B7B"/>
    <w:rsid w:val="00B01030"/>
    <w:rsid w:val="00B011F3"/>
    <w:rsid w:val="00B0150A"/>
    <w:rsid w:val="00B01620"/>
    <w:rsid w:val="00B016AB"/>
    <w:rsid w:val="00B0207D"/>
    <w:rsid w:val="00B02262"/>
    <w:rsid w:val="00B02392"/>
    <w:rsid w:val="00B0252D"/>
    <w:rsid w:val="00B0340A"/>
    <w:rsid w:val="00B035B6"/>
    <w:rsid w:val="00B03696"/>
    <w:rsid w:val="00B03DAC"/>
    <w:rsid w:val="00B042E5"/>
    <w:rsid w:val="00B0463C"/>
    <w:rsid w:val="00B04B3D"/>
    <w:rsid w:val="00B04E10"/>
    <w:rsid w:val="00B05130"/>
    <w:rsid w:val="00B05199"/>
    <w:rsid w:val="00B05398"/>
    <w:rsid w:val="00B0618C"/>
    <w:rsid w:val="00B0633A"/>
    <w:rsid w:val="00B069B5"/>
    <w:rsid w:val="00B06B49"/>
    <w:rsid w:val="00B06F68"/>
    <w:rsid w:val="00B06FBF"/>
    <w:rsid w:val="00B074C4"/>
    <w:rsid w:val="00B0794F"/>
    <w:rsid w:val="00B0796A"/>
    <w:rsid w:val="00B07BBA"/>
    <w:rsid w:val="00B07F22"/>
    <w:rsid w:val="00B10097"/>
    <w:rsid w:val="00B10432"/>
    <w:rsid w:val="00B10CBB"/>
    <w:rsid w:val="00B10CE8"/>
    <w:rsid w:val="00B11183"/>
    <w:rsid w:val="00B115C0"/>
    <w:rsid w:val="00B1178A"/>
    <w:rsid w:val="00B119FA"/>
    <w:rsid w:val="00B11A96"/>
    <w:rsid w:val="00B11B70"/>
    <w:rsid w:val="00B11CE2"/>
    <w:rsid w:val="00B11D58"/>
    <w:rsid w:val="00B11DF8"/>
    <w:rsid w:val="00B11FA5"/>
    <w:rsid w:val="00B11FCC"/>
    <w:rsid w:val="00B121C3"/>
    <w:rsid w:val="00B12613"/>
    <w:rsid w:val="00B1290C"/>
    <w:rsid w:val="00B12CD9"/>
    <w:rsid w:val="00B12DA7"/>
    <w:rsid w:val="00B12E93"/>
    <w:rsid w:val="00B13239"/>
    <w:rsid w:val="00B13318"/>
    <w:rsid w:val="00B1358C"/>
    <w:rsid w:val="00B1363D"/>
    <w:rsid w:val="00B136DA"/>
    <w:rsid w:val="00B136DC"/>
    <w:rsid w:val="00B13BFC"/>
    <w:rsid w:val="00B13C0F"/>
    <w:rsid w:val="00B13FED"/>
    <w:rsid w:val="00B14182"/>
    <w:rsid w:val="00B142EE"/>
    <w:rsid w:val="00B1452B"/>
    <w:rsid w:val="00B145BC"/>
    <w:rsid w:val="00B14E15"/>
    <w:rsid w:val="00B14EA3"/>
    <w:rsid w:val="00B150CA"/>
    <w:rsid w:val="00B153F8"/>
    <w:rsid w:val="00B15826"/>
    <w:rsid w:val="00B15883"/>
    <w:rsid w:val="00B15ECB"/>
    <w:rsid w:val="00B16383"/>
    <w:rsid w:val="00B1646F"/>
    <w:rsid w:val="00B164D6"/>
    <w:rsid w:val="00B1654A"/>
    <w:rsid w:val="00B167BB"/>
    <w:rsid w:val="00B169D6"/>
    <w:rsid w:val="00B16AFD"/>
    <w:rsid w:val="00B16B8C"/>
    <w:rsid w:val="00B1729D"/>
    <w:rsid w:val="00B1742E"/>
    <w:rsid w:val="00B174B5"/>
    <w:rsid w:val="00B1765E"/>
    <w:rsid w:val="00B17827"/>
    <w:rsid w:val="00B17A6D"/>
    <w:rsid w:val="00B17D5F"/>
    <w:rsid w:val="00B20385"/>
    <w:rsid w:val="00B206CA"/>
    <w:rsid w:val="00B209A4"/>
    <w:rsid w:val="00B209C9"/>
    <w:rsid w:val="00B20AD4"/>
    <w:rsid w:val="00B20D3B"/>
    <w:rsid w:val="00B20E9C"/>
    <w:rsid w:val="00B2110D"/>
    <w:rsid w:val="00B21265"/>
    <w:rsid w:val="00B21355"/>
    <w:rsid w:val="00B213B6"/>
    <w:rsid w:val="00B217BE"/>
    <w:rsid w:val="00B219DF"/>
    <w:rsid w:val="00B22155"/>
    <w:rsid w:val="00B22505"/>
    <w:rsid w:val="00B226D1"/>
    <w:rsid w:val="00B226DC"/>
    <w:rsid w:val="00B232B6"/>
    <w:rsid w:val="00B235CD"/>
    <w:rsid w:val="00B235F1"/>
    <w:rsid w:val="00B236C2"/>
    <w:rsid w:val="00B23780"/>
    <w:rsid w:val="00B23D6D"/>
    <w:rsid w:val="00B23DC9"/>
    <w:rsid w:val="00B24176"/>
    <w:rsid w:val="00B24225"/>
    <w:rsid w:val="00B243B9"/>
    <w:rsid w:val="00B24600"/>
    <w:rsid w:val="00B24709"/>
    <w:rsid w:val="00B2556E"/>
    <w:rsid w:val="00B2595B"/>
    <w:rsid w:val="00B25F51"/>
    <w:rsid w:val="00B261B4"/>
    <w:rsid w:val="00B261D4"/>
    <w:rsid w:val="00B261E3"/>
    <w:rsid w:val="00B266C9"/>
    <w:rsid w:val="00B269B3"/>
    <w:rsid w:val="00B26C08"/>
    <w:rsid w:val="00B26DAB"/>
    <w:rsid w:val="00B26E54"/>
    <w:rsid w:val="00B26EA3"/>
    <w:rsid w:val="00B26F7A"/>
    <w:rsid w:val="00B277AB"/>
    <w:rsid w:val="00B2793A"/>
    <w:rsid w:val="00B27D72"/>
    <w:rsid w:val="00B27FF0"/>
    <w:rsid w:val="00B30289"/>
    <w:rsid w:val="00B3050A"/>
    <w:rsid w:val="00B305A4"/>
    <w:rsid w:val="00B305B4"/>
    <w:rsid w:val="00B30A86"/>
    <w:rsid w:val="00B311E8"/>
    <w:rsid w:val="00B313C6"/>
    <w:rsid w:val="00B315B5"/>
    <w:rsid w:val="00B31FED"/>
    <w:rsid w:val="00B32B90"/>
    <w:rsid w:val="00B32C2D"/>
    <w:rsid w:val="00B33268"/>
    <w:rsid w:val="00B33577"/>
    <w:rsid w:val="00B33A71"/>
    <w:rsid w:val="00B33DB3"/>
    <w:rsid w:val="00B33DF4"/>
    <w:rsid w:val="00B34098"/>
    <w:rsid w:val="00B34249"/>
    <w:rsid w:val="00B343A0"/>
    <w:rsid w:val="00B3466A"/>
    <w:rsid w:val="00B3468E"/>
    <w:rsid w:val="00B34763"/>
    <w:rsid w:val="00B351E1"/>
    <w:rsid w:val="00B35487"/>
    <w:rsid w:val="00B35746"/>
    <w:rsid w:val="00B359EE"/>
    <w:rsid w:val="00B35A9B"/>
    <w:rsid w:val="00B35AE9"/>
    <w:rsid w:val="00B35B9F"/>
    <w:rsid w:val="00B36050"/>
    <w:rsid w:val="00B36179"/>
    <w:rsid w:val="00B362A6"/>
    <w:rsid w:val="00B36585"/>
    <w:rsid w:val="00B36938"/>
    <w:rsid w:val="00B369B3"/>
    <w:rsid w:val="00B36AD6"/>
    <w:rsid w:val="00B36E33"/>
    <w:rsid w:val="00B36F0E"/>
    <w:rsid w:val="00B37D6B"/>
    <w:rsid w:val="00B37E9D"/>
    <w:rsid w:val="00B37F63"/>
    <w:rsid w:val="00B37FE9"/>
    <w:rsid w:val="00B4046B"/>
    <w:rsid w:val="00B4078B"/>
    <w:rsid w:val="00B40C50"/>
    <w:rsid w:val="00B40FD8"/>
    <w:rsid w:val="00B410A7"/>
    <w:rsid w:val="00B41428"/>
    <w:rsid w:val="00B416D9"/>
    <w:rsid w:val="00B41787"/>
    <w:rsid w:val="00B418E1"/>
    <w:rsid w:val="00B419F3"/>
    <w:rsid w:val="00B41A30"/>
    <w:rsid w:val="00B41BFA"/>
    <w:rsid w:val="00B41CBB"/>
    <w:rsid w:val="00B41E40"/>
    <w:rsid w:val="00B41FEA"/>
    <w:rsid w:val="00B423BF"/>
    <w:rsid w:val="00B428F3"/>
    <w:rsid w:val="00B42DC9"/>
    <w:rsid w:val="00B43359"/>
    <w:rsid w:val="00B43892"/>
    <w:rsid w:val="00B43A29"/>
    <w:rsid w:val="00B43C3A"/>
    <w:rsid w:val="00B43D48"/>
    <w:rsid w:val="00B4410E"/>
    <w:rsid w:val="00B44159"/>
    <w:rsid w:val="00B44681"/>
    <w:rsid w:val="00B449A8"/>
    <w:rsid w:val="00B449D2"/>
    <w:rsid w:val="00B44A3C"/>
    <w:rsid w:val="00B44B66"/>
    <w:rsid w:val="00B44D86"/>
    <w:rsid w:val="00B4532E"/>
    <w:rsid w:val="00B45363"/>
    <w:rsid w:val="00B45659"/>
    <w:rsid w:val="00B4575F"/>
    <w:rsid w:val="00B4581F"/>
    <w:rsid w:val="00B45CAA"/>
    <w:rsid w:val="00B46061"/>
    <w:rsid w:val="00B46636"/>
    <w:rsid w:val="00B467A7"/>
    <w:rsid w:val="00B469C9"/>
    <w:rsid w:val="00B46A0A"/>
    <w:rsid w:val="00B46C9F"/>
    <w:rsid w:val="00B47004"/>
    <w:rsid w:val="00B4715F"/>
    <w:rsid w:val="00B47264"/>
    <w:rsid w:val="00B47279"/>
    <w:rsid w:val="00B4731C"/>
    <w:rsid w:val="00B47574"/>
    <w:rsid w:val="00B476E3"/>
    <w:rsid w:val="00B47801"/>
    <w:rsid w:val="00B478B9"/>
    <w:rsid w:val="00B47927"/>
    <w:rsid w:val="00B4795C"/>
    <w:rsid w:val="00B4795D"/>
    <w:rsid w:val="00B47988"/>
    <w:rsid w:val="00B47F8B"/>
    <w:rsid w:val="00B500C8"/>
    <w:rsid w:val="00B500E4"/>
    <w:rsid w:val="00B5031A"/>
    <w:rsid w:val="00B5066D"/>
    <w:rsid w:val="00B506FF"/>
    <w:rsid w:val="00B50821"/>
    <w:rsid w:val="00B50B57"/>
    <w:rsid w:val="00B50BE2"/>
    <w:rsid w:val="00B50EB5"/>
    <w:rsid w:val="00B51511"/>
    <w:rsid w:val="00B5155C"/>
    <w:rsid w:val="00B51649"/>
    <w:rsid w:val="00B51653"/>
    <w:rsid w:val="00B527B0"/>
    <w:rsid w:val="00B5287A"/>
    <w:rsid w:val="00B5290D"/>
    <w:rsid w:val="00B529FA"/>
    <w:rsid w:val="00B52A87"/>
    <w:rsid w:val="00B52D39"/>
    <w:rsid w:val="00B52E37"/>
    <w:rsid w:val="00B52E5B"/>
    <w:rsid w:val="00B53A5F"/>
    <w:rsid w:val="00B53C1B"/>
    <w:rsid w:val="00B53EB0"/>
    <w:rsid w:val="00B547C8"/>
    <w:rsid w:val="00B54FF2"/>
    <w:rsid w:val="00B5580E"/>
    <w:rsid w:val="00B5590D"/>
    <w:rsid w:val="00B55EDD"/>
    <w:rsid w:val="00B564BC"/>
    <w:rsid w:val="00B564C1"/>
    <w:rsid w:val="00B56657"/>
    <w:rsid w:val="00B56949"/>
    <w:rsid w:val="00B56A6C"/>
    <w:rsid w:val="00B56B97"/>
    <w:rsid w:val="00B56CCD"/>
    <w:rsid w:val="00B56DB1"/>
    <w:rsid w:val="00B56E1D"/>
    <w:rsid w:val="00B57309"/>
    <w:rsid w:val="00B57738"/>
    <w:rsid w:val="00B57835"/>
    <w:rsid w:val="00B57C28"/>
    <w:rsid w:val="00B57C70"/>
    <w:rsid w:val="00B57D66"/>
    <w:rsid w:val="00B6032A"/>
    <w:rsid w:val="00B6068C"/>
    <w:rsid w:val="00B60735"/>
    <w:rsid w:val="00B6074C"/>
    <w:rsid w:val="00B6097D"/>
    <w:rsid w:val="00B621E6"/>
    <w:rsid w:val="00B6225A"/>
    <w:rsid w:val="00B62A5B"/>
    <w:rsid w:val="00B62C55"/>
    <w:rsid w:val="00B62CD7"/>
    <w:rsid w:val="00B62D93"/>
    <w:rsid w:val="00B62ED6"/>
    <w:rsid w:val="00B62F0D"/>
    <w:rsid w:val="00B632D6"/>
    <w:rsid w:val="00B63B45"/>
    <w:rsid w:val="00B63BB0"/>
    <w:rsid w:val="00B640CE"/>
    <w:rsid w:val="00B6421E"/>
    <w:rsid w:val="00B642A3"/>
    <w:rsid w:val="00B64736"/>
    <w:rsid w:val="00B64FA6"/>
    <w:rsid w:val="00B64FB1"/>
    <w:rsid w:val="00B65018"/>
    <w:rsid w:val="00B6520D"/>
    <w:rsid w:val="00B6545F"/>
    <w:rsid w:val="00B65924"/>
    <w:rsid w:val="00B65CD2"/>
    <w:rsid w:val="00B65D00"/>
    <w:rsid w:val="00B65E05"/>
    <w:rsid w:val="00B65ECC"/>
    <w:rsid w:val="00B66743"/>
    <w:rsid w:val="00B667EA"/>
    <w:rsid w:val="00B66927"/>
    <w:rsid w:val="00B6698E"/>
    <w:rsid w:val="00B66F4F"/>
    <w:rsid w:val="00B67121"/>
    <w:rsid w:val="00B67144"/>
    <w:rsid w:val="00B6715E"/>
    <w:rsid w:val="00B67206"/>
    <w:rsid w:val="00B672DB"/>
    <w:rsid w:val="00B677BA"/>
    <w:rsid w:val="00B67983"/>
    <w:rsid w:val="00B67D3F"/>
    <w:rsid w:val="00B67D67"/>
    <w:rsid w:val="00B67EEC"/>
    <w:rsid w:val="00B7048E"/>
    <w:rsid w:val="00B70607"/>
    <w:rsid w:val="00B70674"/>
    <w:rsid w:val="00B70753"/>
    <w:rsid w:val="00B70784"/>
    <w:rsid w:val="00B70B77"/>
    <w:rsid w:val="00B70BC5"/>
    <w:rsid w:val="00B70C6C"/>
    <w:rsid w:val="00B710B7"/>
    <w:rsid w:val="00B711D1"/>
    <w:rsid w:val="00B71509"/>
    <w:rsid w:val="00B71AE5"/>
    <w:rsid w:val="00B71B4F"/>
    <w:rsid w:val="00B7279F"/>
    <w:rsid w:val="00B7315C"/>
    <w:rsid w:val="00B73334"/>
    <w:rsid w:val="00B73378"/>
    <w:rsid w:val="00B7347F"/>
    <w:rsid w:val="00B734A0"/>
    <w:rsid w:val="00B73594"/>
    <w:rsid w:val="00B73724"/>
    <w:rsid w:val="00B73B2D"/>
    <w:rsid w:val="00B741FF"/>
    <w:rsid w:val="00B7469D"/>
    <w:rsid w:val="00B74901"/>
    <w:rsid w:val="00B74A58"/>
    <w:rsid w:val="00B74AD1"/>
    <w:rsid w:val="00B74E9A"/>
    <w:rsid w:val="00B75450"/>
    <w:rsid w:val="00B75615"/>
    <w:rsid w:val="00B757C6"/>
    <w:rsid w:val="00B75BC3"/>
    <w:rsid w:val="00B76126"/>
    <w:rsid w:val="00B763BC"/>
    <w:rsid w:val="00B764AF"/>
    <w:rsid w:val="00B76D5C"/>
    <w:rsid w:val="00B76E64"/>
    <w:rsid w:val="00B76EA0"/>
    <w:rsid w:val="00B77010"/>
    <w:rsid w:val="00B774AE"/>
    <w:rsid w:val="00B776F2"/>
    <w:rsid w:val="00B7773C"/>
    <w:rsid w:val="00B77812"/>
    <w:rsid w:val="00B77ACB"/>
    <w:rsid w:val="00B77E23"/>
    <w:rsid w:val="00B77FF8"/>
    <w:rsid w:val="00B8042E"/>
    <w:rsid w:val="00B8074A"/>
    <w:rsid w:val="00B8080D"/>
    <w:rsid w:val="00B80944"/>
    <w:rsid w:val="00B80945"/>
    <w:rsid w:val="00B80A1D"/>
    <w:rsid w:val="00B80B8D"/>
    <w:rsid w:val="00B80BDF"/>
    <w:rsid w:val="00B80ED4"/>
    <w:rsid w:val="00B80EFB"/>
    <w:rsid w:val="00B818C4"/>
    <w:rsid w:val="00B822AF"/>
    <w:rsid w:val="00B827A4"/>
    <w:rsid w:val="00B82AEC"/>
    <w:rsid w:val="00B82D09"/>
    <w:rsid w:val="00B82DC3"/>
    <w:rsid w:val="00B82FCB"/>
    <w:rsid w:val="00B831AE"/>
    <w:rsid w:val="00B8347D"/>
    <w:rsid w:val="00B83734"/>
    <w:rsid w:val="00B8389E"/>
    <w:rsid w:val="00B83B5A"/>
    <w:rsid w:val="00B8446B"/>
    <w:rsid w:val="00B84632"/>
    <w:rsid w:val="00B84E71"/>
    <w:rsid w:val="00B84F08"/>
    <w:rsid w:val="00B8507E"/>
    <w:rsid w:val="00B8538A"/>
    <w:rsid w:val="00B8556F"/>
    <w:rsid w:val="00B85756"/>
    <w:rsid w:val="00B8594C"/>
    <w:rsid w:val="00B85C79"/>
    <w:rsid w:val="00B86046"/>
    <w:rsid w:val="00B861FA"/>
    <w:rsid w:val="00B867DE"/>
    <w:rsid w:val="00B86B56"/>
    <w:rsid w:val="00B86CEE"/>
    <w:rsid w:val="00B86E24"/>
    <w:rsid w:val="00B86EC6"/>
    <w:rsid w:val="00B87B6B"/>
    <w:rsid w:val="00B87C14"/>
    <w:rsid w:val="00B87C90"/>
    <w:rsid w:val="00B87D30"/>
    <w:rsid w:val="00B87F71"/>
    <w:rsid w:val="00B900E9"/>
    <w:rsid w:val="00B90511"/>
    <w:rsid w:val="00B90643"/>
    <w:rsid w:val="00B90A89"/>
    <w:rsid w:val="00B9158C"/>
    <w:rsid w:val="00B91621"/>
    <w:rsid w:val="00B9188F"/>
    <w:rsid w:val="00B91979"/>
    <w:rsid w:val="00B91C7C"/>
    <w:rsid w:val="00B91D70"/>
    <w:rsid w:val="00B91F45"/>
    <w:rsid w:val="00B9260E"/>
    <w:rsid w:val="00B92C66"/>
    <w:rsid w:val="00B92D16"/>
    <w:rsid w:val="00B93586"/>
    <w:rsid w:val="00B9367C"/>
    <w:rsid w:val="00B93850"/>
    <w:rsid w:val="00B93BF5"/>
    <w:rsid w:val="00B94313"/>
    <w:rsid w:val="00B951F6"/>
    <w:rsid w:val="00B953EE"/>
    <w:rsid w:val="00B95535"/>
    <w:rsid w:val="00B955CA"/>
    <w:rsid w:val="00B9565E"/>
    <w:rsid w:val="00B95CD1"/>
    <w:rsid w:val="00B96071"/>
    <w:rsid w:val="00B96179"/>
    <w:rsid w:val="00B963E1"/>
    <w:rsid w:val="00B966D6"/>
    <w:rsid w:val="00B966F8"/>
    <w:rsid w:val="00B9673C"/>
    <w:rsid w:val="00B967B2"/>
    <w:rsid w:val="00B967F8"/>
    <w:rsid w:val="00B968F5"/>
    <w:rsid w:val="00B969F8"/>
    <w:rsid w:val="00B96AC2"/>
    <w:rsid w:val="00B96BDB"/>
    <w:rsid w:val="00B96F7A"/>
    <w:rsid w:val="00B96FF4"/>
    <w:rsid w:val="00B9706E"/>
    <w:rsid w:val="00B9745E"/>
    <w:rsid w:val="00B978E9"/>
    <w:rsid w:val="00B97958"/>
    <w:rsid w:val="00BA0010"/>
    <w:rsid w:val="00BA0210"/>
    <w:rsid w:val="00BA0BF6"/>
    <w:rsid w:val="00BA0E8A"/>
    <w:rsid w:val="00BA10E3"/>
    <w:rsid w:val="00BA16AD"/>
    <w:rsid w:val="00BA18A1"/>
    <w:rsid w:val="00BA18F5"/>
    <w:rsid w:val="00BA1F67"/>
    <w:rsid w:val="00BA2010"/>
    <w:rsid w:val="00BA20A7"/>
    <w:rsid w:val="00BA2B24"/>
    <w:rsid w:val="00BA2B3A"/>
    <w:rsid w:val="00BA2BDF"/>
    <w:rsid w:val="00BA2E07"/>
    <w:rsid w:val="00BA2FC7"/>
    <w:rsid w:val="00BA31BE"/>
    <w:rsid w:val="00BA3810"/>
    <w:rsid w:val="00BA39D7"/>
    <w:rsid w:val="00BA3C48"/>
    <w:rsid w:val="00BA3CC0"/>
    <w:rsid w:val="00BA3EE6"/>
    <w:rsid w:val="00BA3F61"/>
    <w:rsid w:val="00BA469F"/>
    <w:rsid w:val="00BA4723"/>
    <w:rsid w:val="00BA49EC"/>
    <w:rsid w:val="00BA4E1E"/>
    <w:rsid w:val="00BA542C"/>
    <w:rsid w:val="00BA5616"/>
    <w:rsid w:val="00BA59DD"/>
    <w:rsid w:val="00BA5A9E"/>
    <w:rsid w:val="00BA5C1D"/>
    <w:rsid w:val="00BA602E"/>
    <w:rsid w:val="00BA624D"/>
    <w:rsid w:val="00BA641A"/>
    <w:rsid w:val="00BA6BBD"/>
    <w:rsid w:val="00BA6F76"/>
    <w:rsid w:val="00BA7181"/>
    <w:rsid w:val="00BA764D"/>
    <w:rsid w:val="00BA765F"/>
    <w:rsid w:val="00BA7706"/>
    <w:rsid w:val="00BA78D9"/>
    <w:rsid w:val="00BA7A85"/>
    <w:rsid w:val="00BA7AF1"/>
    <w:rsid w:val="00BA7D79"/>
    <w:rsid w:val="00BA7F31"/>
    <w:rsid w:val="00BB006A"/>
    <w:rsid w:val="00BB0073"/>
    <w:rsid w:val="00BB00A7"/>
    <w:rsid w:val="00BB01A8"/>
    <w:rsid w:val="00BB074D"/>
    <w:rsid w:val="00BB0EE3"/>
    <w:rsid w:val="00BB123A"/>
    <w:rsid w:val="00BB1586"/>
    <w:rsid w:val="00BB1673"/>
    <w:rsid w:val="00BB18A7"/>
    <w:rsid w:val="00BB1A9E"/>
    <w:rsid w:val="00BB1B76"/>
    <w:rsid w:val="00BB1DEC"/>
    <w:rsid w:val="00BB1E50"/>
    <w:rsid w:val="00BB24C4"/>
    <w:rsid w:val="00BB2657"/>
    <w:rsid w:val="00BB29DD"/>
    <w:rsid w:val="00BB2A60"/>
    <w:rsid w:val="00BB3083"/>
    <w:rsid w:val="00BB31BE"/>
    <w:rsid w:val="00BB3612"/>
    <w:rsid w:val="00BB39A9"/>
    <w:rsid w:val="00BB3D6B"/>
    <w:rsid w:val="00BB4A06"/>
    <w:rsid w:val="00BB4A7F"/>
    <w:rsid w:val="00BB4B49"/>
    <w:rsid w:val="00BB4C2E"/>
    <w:rsid w:val="00BB4CF2"/>
    <w:rsid w:val="00BB54CC"/>
    <w:rsid w:val="00BB5949"/>
    <w:rsid w:val="00BB5B61"/>
    <w:rsid w:val="00BB63AE"/>
    <w:rsid w:val="00BB6439"/>
    <w:rsid w:val="00BB64DD"/>
    <w:rsid w:val="00BB682B"/>
    <w:rsid w:val="00BB68D2"/>
    <w:rsid w:val="00BB6AA1"/>
    <w:rsid w:val="00BB71C1"/>
    <w:rsid w:val="00BB750A"/>
    <w:rsid w:val="00BB753C"/>
    <w:rsid w:val="00BB7735"/>
    <w:rsid w:val="00BB7A2F"/>
    <w:rsid w:val="00BB7D41"/>
    <w:rsid w:val="00BB7DDB"/>
    <w:rsid w:val="00BB7EA6"/>
    <w:rsid w:val="00BB7EEB"/>
    <w:rsid w:val="00BB7FB0"/>
    <w:rsid w:val="00BC00CA"/>
    <w:rsid w:val="00BC0420"/>
    <w:rsid w:val="00BC0728"/>
    <w:rsid w:val="00BC0845"/>
    <w:rsid w:val="00BC08A2"/>
    <w:rsid w:val="00BC0A78"/>
    <w:rsid w:val="00BC0CC4"/>
    <w:rsid w:val="00BC0DB8"/>
    <w:rsid w:val="00BC16B8"/>
    <w:rsid w:val="00BC174A"/>
    <w:rsid w:val="00BC21F7"/>
    <w:rsid w:val="00BC23DB"/>
    <w:rsid w:val="00BC262C"/>
    <w:rsid w:val="00BC2836"/>
    <w:rsid w:val="00BC2C40"/>
    <w:rsid w:val="00BC2E6E"/>
    <w:rsid w:val="00BC430E"/>
    <w:rsid w:val="00BC44DE"/>
    <w:rsid w:val="00BC4782"/>
    <w:rsid w:val="00BC4A76"/>
    <w:rsid w:val="00BC4A78"/>
    <w:rsid w:val="00BC4B84"/>
    <w:rsid w:val="00BC5194"/>
    <w:rsid w:val="00BC5970"/>
    <w:rsid w:val="00BC59EA"/>
    <w:rsid w:val="00BC5BE7"/>
    <w:rsid w:val="00BC5CF2"/>
    <w:rsid w:val="00BC6206"/>
    <w:rsid w:val="00BC6481"/>
    <w:rsid w:val="00BC65E5"/>
    <w:rsid w:val="00BC6640"/>
    <w:rsid w:val="00BC66D6"/>
    <w:rsid w:val="00BC684A"/>
    <w:rsid w:val="00BC6854"/>
    <w:rsid w:val="00BC6BAD"/>
    <w:rsid w:val="00BC6F62"/>
    <w:rsid w:val="00BC72C1"/>
    <w:rsid w:val="00BC76ED"/>
    <w:rsid w:val="00BC7A46"/>
    <w:rsid w:val="00BC7BB3"/>
    <w:rsid w:val="00BC7F6D"/>
    <w:rsid w:val="00BD0088"/>
    <w:rsid w:val="00BD01F4"/>
    <w:rsid w:val="00BD06CA"/>
    <w:rsid w:val="00BD07E9"/>
    <w:rsid w:val="00BD086C"/>
    <w:rsid w:val="00BD0DD5"/>
    <w:rsid w:val="00BD111E"/>
    <w:rsid w:val="00BD14B4"/>
    <w:rsid w:val="00BD16E3"/>
    <w:rsid w:val="00BD18C9"/>
    <w:rsid w:val="00BD1D4F"/>
    <w:rsid w:val="00BD20F4"/>
    <w:rsid w:val="00BD21EB"/>
    <w:rsid w:val="00BD2200"/>
    <w:rsid w:val="00BD242C"/>
    <w:rsid w:val="00BD266C"/>
    <w:rsid w:val="00BD2A3B"/>
    <w:rsid w:val="00BD2A70"/>
    <w:rsid w:val="00BD2AD5"/>
    <w:rsid w:val="00BD2AD6"/>
    <w:rsid w:val="00BD2B5E"/>
    <w:rsid w:val="00BD2F70"/>
    <w:rsid w:val="00BD32B0"/>
    <w:rsid w:val="00BD3458"/>
    <w:rsid w:val="00BD389B"/>
    <w:rsid w:val="00BD392E"/>
    <w:rsid w:val="00BD3CCC"/>
    <w:rsid w:val="00BD3CF9"/>
    <w:rsid w:val="00BD43F8"/>
    <w:rsid w:val="00BD454E"/>
    <w:rsid w:val="00BD457B"/>
    <w:rsid w:val="00BD4BD7"/>
    <w:rsid w:val="00BD4FE6"/>
    <w:rsid w:val="00BD59C3"/>
    <w:rsid w:val="00BD5B28"/>
    <w:rsid w:val="00BD5BAB"/>
    <w:rsid w:val="00BD619F"/>
    <w:rsid w:val="00BD620D"/>
    <w:rsid w:val="00BD624B"/>
    <w:rsid w:val="00BD6487"/>
    <w:rsid w:val="00BD648E"/>
    <w:rsid w:val="00BD6D11"/>
    <w:rsid w:val="00BD6D3B"/>
    <w:rsid w:val="00BD6F03"/>
    <w:rsid w:val="00BD760A"/>
    <w:rsid w:val="00BD7649"/>
    <w:rsid w:val="00BD765E"/>
    <w:rsid w:val="00BD7755"/>
    <w:rsid w:val="00BD7830"/>
    <w:rsid w:val="00BD7C13"/>
    <w:rsid w:val="00BD7EDA"/>
    <w:rsid w:val="00BE0228"/>
    <w:rsid w:val="00BE032C"/>
    <w:rsid w:val="00BE03B1"/>
    <w:rsid w:val="00BE0500"/>
    <w:rsid w:val="00BE0710"/>
    <w:rsid w:val="00BE0B13"/>
    <w:rsid w:val="00BE0B40"/>
    <w:rsid w:val="00BE0D59"/>
    <w:rsid w:val="00BE1244"/>
    <w:rsid w:val="00BE1886"/>
    <w:rsid w:val="00BE1D1B"/>
    <w:rsid w:val="00BE223A"/>
    <w:rsid w:val="00BE23FE"/>
    <w:rsid w:val="00BE26B7"/>
    <w:rsid w:val="00BE29EA"/>
    <w:rsid w:val="00BE31A2"/>
    <w:rsid w:val="00BE31FC"/>
    <w:rsid w:val="00BE331D"/>
    <w:rsid w:val="00BE3A21"/>
    <w:rsid w:val="00BE3A73"/>
    <w:rsid w:val="00BE3DAC"/>
    <w:rsid w:val="00BE467B"/>
    <w:rsid w:val="00BE4911"/>
    <w:rsid w:val="00BE4DE4"/>
    <w:rsid w:val="00BE5116"/>
    <w:rsid w:val="00BE5994"/>
    <w:rsid w:val="00BE5C18"/>
    <w:rsid w:val="00BE5F49"/>
    <w:rsid w:val="00BE6039"/>
    <w:rsid w:val="00BE63AA"/>
    <w:rsid w:val="00BE6A38"/>
    <w:rsid w:val="00BE6B95"/>
    <w:rsid w:val="00BE73C3"/>
    <w:rsid w:val="00BE7439"/>
    <w:rsid w:val="00BE7AD0"/>
    <w:rsid w:val="00BF0062"/>
    <w:rsid w:val="00BF0103"/>
    <w:rsid w:val="00BF04B1"/>
    <w:rsid w:val="00BF056A"/>
    <w:rsid w:val="00BF0583"/>
    <w:rsid w:val="00BF05B4"/>
    <w:rsid w:val="00BF0CC0"/>
    <w:rsid w:val="00BF0D4B"/>
    <w:rsid w:val="00BF1015"/>
    <w:rsid w:val="00BF11BF"/>
    <w:rsid w:val="00BF1BC9"/>
    <w:rsid w:val="00BF1E25"/>
    <w:rsid w:val="00BF1E98"/>
    <w:rsid w:val="00BF1F4D"/>
    <w:rsid w:val="00BF2101"/>
    <w:rsid w:val="00BF229B"/>
    <w:rsid w:val="00BF2320"/>
    <w:rsid w:val="00BF27D1"/>
    <w:rsid w:val="00BF28D4"/>
    <w:rsid w:val="00BF2B4B"/>
    <w:rsid w:val="00BF34B6"/>
    <w:rsid w:val="00BF378C"/>
    <w:rsid w:val="00BF3E5F"/>
    <w:rsid w:val="00BF3E76"/>
    <w:rsid w:val="00BF4B5F"/>
    <w:rsid w:val="00BF4CB8"/>
    <w:rsid w:val="00BF4D07"/>
    <w:rsid w:val="00BF4F96"/>
    <w:rsid w:val="00BF54F1"/>
    <w:rsid w:val="00BF5511"/>
    <w:rsid w:val="00BF5849"/>
    <w:rsid w:val="00BF5B76"/>
    <w:rsid w:val="00BF600D"/>
    <w:rsid w:val="00BF643D"/>
    <w:rsid w:val="00BF68F8"/>
    <w:rsid w:val="00BF6A17"/>
    <w:rsid w:val="00BF6EA9"/>
    <w:rsid w:val="00BF6F3A"/>
    <w:rsid w:val="00BF7569"/>
    <w:rsid w:val="00BF7808"/>
    <w:rsid w:val="00BF79F4"/>
    <w:rsid w:val="00BF7E3A"/>
    <w:rsid w:val="00BF7E4A"/>
    <w:rsid w:val="00BF7EB3"/>
    <w:rsid w:val="00C000EB"/>
    <w:rsid w:val="00C00237"/>
    <w:rsid w:val="00C00537"/>
    <w:rsid w:val="00C0057B"/>
    <w:rsid w:val="00C00CD2"/>
    <w:rsid w:val="00C00D5C"/>
    <w:rsid w:val="00C00F93"/>
    <w:rsid w:val="00C0136A"/>
    <w:rsid w:val="00C01886"/>
    <w:rsid w:val="00C0196E"/>
    <w:rsid w:val="00C019FB"/>
    <w:rsid w:val="00C01FD0"/>
    <w:rsid w:val="00C02363"/>
    <w:rsid w:val="00C02609"/>
    <w:rsid w:val="00C02D83"/>
    <w:rsid w:val="00C02EB8"/>
    <w:rsid w:val="00C0310A"/>
    <w:rsid w:val="00C03878"/>
    <w:rsid w:val="00C04010"/>
    <w:rsid w:val="00C0403B"/>
    <w:rsid w:val="00C0428D"/>
    <w:rsid w:val="00C046CD"/>
    <w:rsid w:val="00C047C5"/>
    <w:rsid w:val="00C04EA5"/>
    <w:rsid w:val="00C05112"/>
    <w:rsid w:val="00C057CD"/>
    <w:rsid w:val="00C0609C"/>
    <w:rsid w:val="00C06304"/>
    <w:rsid w:val="00C0643B"/>
    <w:rsid w:val="00C0649E"/>
    <w:rsid w:val="00C068A9"/>
    <w:rsid w:val="00C06ADD"/>
    <w:rsid w:val="00C06BD6"/>
    <w:rsid w:val="00C06FF1"/>
    <w:rsid w:val="00C07500"/>
    <w:rsid w:val="00C07D73"/>
    <w:rsid w:val="00C07DCE"/>
    <w:rsid w:val="00C07FEC"/>
    <w:rsid w:val="00C07FF5"/>
    <w:rsid w:val="00C100B9"/>
    <w:rsid w:val="00C101A8"/>
    <w:rsid w:val="00C104E2"/>
    <w:rsid w:val="00C1095D"/>
    <w:rsid w:val="00C10CFC"/>
    <w:rsid w:val="00C10FE0"/>
    <w:rsid w:val="00C113AC"/>
    <w:rsid w:val="00C11421"/>
    <w:rsid w:val="00C1182F"/>
    <w:rsid w:val="00C119CA"/>
    <w:rsid w:val="00C11D76"/>
    <w:rsid w:val="00C11EA3"/>
    <w:rsid w:val="00C12150"/>
    <w:rsid w:val="00C12576"/>
    <w:rsid w:val="00C128E9"/>
    <w:rsid w:val="00C13478"/>
    <w:rsid w:val="00C146B4"/>
    <w:rsid w:val="00C14B2A"/>
    <w:rsid w:val="00C14FB4"/>
    <w:rsid w:val="00C1535C"/>
    <w:rsid w:val="00C155BF"/>
    <w:rsid w:val="00C159FA"/>
    <w:rsid w:val="00C15D72"/>
    <w:rsid w:val="00C16487"/>
    <w:rsid w:val="00C165CD"/>
    <w:rsid w:val="00C16631"/>
    <w:rsid w:val="00C166BF"/>
    <w:rsid w:val="00C16771"/>
    <w:rsid w:val="00C16844"/>
    <w:rsid w:val="00C16A9E"/>
    <w:rsid w:val="00C16D85"/>
    <w:rsid w:val="00C17106"/>
    <w:rsid w:val="00C17B61"/>
    <w:rsid w:val="00C17D44"/>
    <w:rsid w:val="00C2004E"/>
    <w:rsid w:val="00C20186"/>
    <w:rsid w:val="00C2098A"/>
    <w:rsid w:val="00C21306"/>
    <w:rsid w:val="00C213A9"/>
    <w:rsid w:val="00C216BF"/>
    <w:rsid w:val="00C2183C"/>
    <w:rsid w:val="00C219ED"/>
    <w:rsid w:val="00C21AAF"/>
    <w:rsid w:val="00C21D41"/>
    <w:rsid w:val="00C21DAA"/>
    <w:rsid w:val="00C223EB"/>
    <w:rsid w:val="00C22485"/>
    <w:rsid w:val="00C224FD"/>
    <w:rsid w:val="00C22A54"/>
    <w:rsid w:val="00C22A76"/>
    <w:rsid w:val="00C22BD2"/>
    <w:rsid w:val="00C22EF1"/>
    <w:rsid w:val="00C22F4B"/>
    <w:rsid w:val="00C230FC"/>
    <w:rsid w:val="00C23510"/>
    <w:rsid w:val="00C23515"/>
    <w:rsid w:val="00C23573"/>
    <w:rsid w:val="00C23828"/>
    <w:rsid w:val="00C239B0"/>
    <w:rsid w:val="00C23E07"/>
    <w:rsid w:val="00C23E27"/>
    <w:rsid w:val="00C23F53"/>
    <w:rsid w:val="00C23F61"/>
    <w:rsid w:val="00C23F66"/>
    <w:rsid w:val="00C23FF8"/>
    <w:rsid w:val="00C240DE"/>
    <w:rsid w:val="00C24BDE"/>
    <w:rsid w:val="00C24DA5"/>
    <w:rsid w:val="00C2555C"/>
    <w:rsid w:val="00C256FC"/>
    <w:rsid w:val="00C25889"/>
    <w:rsid w:val="00C25F73"/>
    <w:rsid w:val="00C25FB0"/>
    <w:rsid w:val="00C261CE"/>
    <w:rsid w:val="00C26469"/>
    <w:rsid w:val="00C265BC"/>
    <w:rsid w:val="00C268A1"/>
    <w:rsid w:val="00C26D5D"/>
    <w:rsid w:val="00C2764F"/>
    <w:rsid w:val="00C27763"/>
    <w:rsid w:val="00C277BD"/>
    <w:rsid w:val="00C27BA6"/>
    <w:rsid w:val="00C27C04"/>
    <w:rsid w:val="00C27F5F"/>
    <w:rsid w:val="00C30211"/>
    <w:rsid w:val="00C3069E"/>
    <w:rsid w:val="00C306E2"/>
    <w:rsid w:val="00C309BD"/>
    <w:rsid w:val="00C30BFB"/>
    <w:rsid w:val="00C30CE0"/>
    <w:rsid w:val="00C311FF"/>
    <w:rsid w:val="00C31486"/>
    <w:rsid w:val="00C31492"/>
    <w:rsid w:val="00C31799"/>
    <w:rsid w:val="00C3236C"/>
    <w:rsid w:val="00C3349E"/>
    <w:rsid w:val="00C334DA"/>
    <w:rsid w:val="00C334F0"/>
    <w:rsid w:val="00C3372B"/>
    <w:rsid w:val="00C343FA"/>
    <w:rsid w:val="00C347B2"/>
    <w:rsid w:val="00C34877"/>
    <w:rsid w:val="00C34BE2"/>
    <w:rsid w:val="00C34E2E"/>
    <w:rsid w:val="00C352CE"/>
    <w:rsid w:val="00C35724"/>
    <w:rsid w:val="00C35FF3"/>
    <w:rsid w:val="00C362A0"/>
    <w:rsid w:val="00C363EE"/>
    <w:rsid w:val="00C36825"/>
    <w:rsid w:val="00C36C43"/>
    <w:rsid w:val="00C36DDD"/>
    <w:rsid w:val="00C36F39"/>
    <w:rsid w:val="00C36F8C"/>
    <w:rsid w:val="00C374CE"/>
    <w:rsid w:val="00C3773E"/>
    <w:rsid w:val="00C37A38"/>
    <w:rsid w:val="00C37B35"/>
    <w:rsid w:val="00C37D98"/>
    <w:rsid w:val="00C37EF5"/>
    <w:rsid w:val="00C404B0"/>
    <w:rsid w:val="00C405B9"/>
    <w:rsid w:val="00C405CD"/>
    <w:rsid w:val="00C40607"/>
    <w:rsid w:val="00C4087B"/>
    <w:rsid w:val="00C40B1F"/>
    <w:rsid w:val="00C41169"/>
    <w:rsid w:val="00C4171F"/>
    <w:rsid w:val="00C41B57"/>
    <w:rsid w:val="00C42323"/>
    <w:rsid w:val="00C426D1"/>
    <w:rsid w:val="00C428F3"/>
    <w:rsid w:val="00C42D89"/>
    <w:rsid w:val="00C436CE"/>
    <w:rsid w:val="00C43CA6"/>
    <w:rsid w:val="00C4406F"/>
    <w:rsid w:val="00C44306"/>
    <w:rsid w:val="00C444AA"/>
    <w:rsid w:val="00C4462A"/>
    <w:rsid w:val="00C449CE"/>
    <w:rsid w:val="00C44DF2"/>
    <w:rsid w:val="00C450F8"/>
    <w:rsid w:val="00C45117"/>
    <w:rsid w:val="00C45503"/>
    <w:rsid w:val="00C456CB"/>
    <w:rsid w:val="00C45829"/>
    <w:rsid w:val="00C45BBC"/>
    <w:rsid w:val="00C45FC0"/>
    <w:rsid w:val="00C460B6"/>
    <w:rsid w:val="00C463B9"/>
    <w:rsid w:val="00C4699A"/>
    <w:rsid w:val="00C469BB"/>
    <w:rsid w:val="00C46D21"/>
    <w:rsid w:val="00C46E1B"/>
    <w:rsid w:val="00C47482"/>
    <w:rsid w:val="00C47493"/>
    <w:rsid w:val="00C475D4"/>
    <w:rsid w:val="00C47A62"/>
    <w:rsid w:val="00C47BFD"/>
    <w:rsid w:val="00C47C12"/>
    <w:rsid w:val="00C47F33"/>
    <w:rsid w:val="00C500E6"/>
    <w:rsid w:val="00C501AE"/>
    <w:rsid w:val="00C50433"/>
    <w:rsid w:val="00C5056F"/>
    <w:rsid w:val="00C50766"/>
    <w:rsid w:val="00C50E18"/>
    <w:rsid w:val="00C50F05"/>
    <w:rsid w:val="00C51298"/>
    <w:rsid w:val="00C51913"/>
    <w:rsid w:val="00C51F37"/>
    <w:rsid w:val="00C51F97"/>
    <w:rsid w:val="00C523A9"/>
    <w:rsid w:val="00C52664"/>
    <w:rsid w:val="00C52751"/>
    <w:rsid w:val="00C527E1"/>
    <w:rsid w:val="00C52A1F"/>
    <w:rsid w:val="00C53261"/>
    <w:rsid w:val="00C534E2"/>
    <w:rsid w:val="00C53546"/>
    <w:rsid w:val="00C538EE"/>
    <w:rsid w:val="00C53FDB"/>
    <w:rsid w:val="00C544AD"/>
    <w:rsid w:val="00C54A5E"/>
    <w:rsid w:val="00C54CCE"/>
    <w:rsid w:val="00C54E36"/>
    <w:rsid w:val="00C553AA"/>
    <w:rsid w:val="00C5546D"/>
    <w:rsid w:val="00C5572D"/>
    <w:rsid w:val="00C559BB"/>
    <w:rsid w:val="00C560DF"/>
    <w:rsid w:val="00C56566"/>
    <w:rsid w:val="00C566FD"/>
    <w:rsid w:val="00C56C3F"/>
    <w:rsid w:val="00C56CC1"/>
    <w:rsid w:val="00C56F80"/>
    <w:rsid w:val="00C56FB4"/>
    <w:rsid w:val="00C57513"/>
    <w:rsid w:val="00C576E8"/>
    <w:rsid w:val="00C57701"/>
    <w:rsid w:val="00C57D19"/>
    <w:rsid w:val="00C57E51"/>
    <w:rsid w:val="00C57F03"/>
    <w:rsid w:val="00C60751"/>
    <w:rsid w:val="00C607C9"/>
    <w:rsid w:val="00C608AA"/>
    <w:rsid w:val="00C60B84"/>
    <w:rsid w:val="00C60E0F"/>
    <w:rsid w:val="00C60EF8"/>
    <w:rsid w:val="00C60F09"/>
    <w:rsid w:val="00C60F1D"/>
    <w:rsid w:val="00C61382"/>
    <w:rsid w:val="00C614C1"/>
    <w:rsid w:val="00C6190E"/>
    <w:rsid w:val="00C61C5D"/>
    <w:rsid w:val="00C61E64"/>
    <w:rsid w:val="00C62419"/>
    <w:rsid w:val="00C6295B"/>
    <w:rsid w:val="00C62970"/>
    <w:rsid w:val="00C629D4"/>
    <w:rsid w:val="00C62DD1"/>
    <w:rsid w:val="00C630FC"/>
    <w:rsid w:val="00C63219"/>
    <w:rsid w:val="00C638F0"/>
    <w:rsid w:val="00C63BA5"/>
    <w:rsid w:val="00C63C39"/>
    <w:rsid w:val="00C63CDC"/>
    <w:rsid w:val="00C63F20"/>
    <w:rsid w:val="00C64220"/>
    <w:rsid w:val="00C642DE"/>
    <w:rsid w:val="00C6431F"/>
    <w:rsid w:val="00C645B8"/>
    <w:rsid w:val="00C64896"/>
    <w:rsid w:val="00C64D02"/>
    <w:rsid w:val="00C64D9C"/>
    <w:rsid w:val="00C652E3"/>
    <w:rsid w:val="00C6532C"/>
    <w:rsid w:val="00C6534E"/>
    <w:rsid w:val="00C6585C"/>
    <w:rsid w:val="00C658ED"/>
    <w:rsid w:val="00C659B6"/>
    <w:rsid w:val="00C65ACF"/>
    <w:rsid w:val="00C65CCA"/>
    <w:rsid w:val="00C6633A"/>
    <w:rsid w:val="00C668A6"/>
    <w:rsid w:val="00C669DE"/>
    <w:rsid w:val="00C6758E"/>
    <w:rsid w:val="00C67839"/>
    <w:rsid w:val="00C7007F"/>
    <w:rsid w:val="00C7039F"/>
    <w:rsid w:val="00C7076B"/>
    <w:rsid w:val="00C70D16"/>
    <w:rsid w:val="00C70F1B"/>
    <w:rsid w:val="00C70F78"/>
    <w:rsid w:val="00C71036"/>
    <w:rsid w:val="00C713F4"/>
    <w:rsid w:val="00C71462"/>
    <w:rsid w:val="00C71B82"/>
    <w:rsid w:val="00C71FE2"/>
    <w:rsid w:val="00C72036"/>
    <w:rsid w:val="00C72070"/>
    <w:rsid w:val="00C72D5D"/>
    <w:rsid w:val="00C72E00"/>
    <w:rsid w:val="00C72E9C"/>
    <w:rsid w:val="00C730DF"/>
    <w:rsid w:val="00C73260"/>
    <w:rsid w:val="00C73486"/>
    <w:rsid w:val="00C7355A"/>
    <w:rsid w:val="00C737AD"/>
    <w:rsid w:val="00C73822"/>
    <w:rsid w:val="00C73895"/>
    <w:rsid w:val="00C73A07"/>
    <w:rsid w:val="00C73ADC"/>
    <w:rsid w:val="00C73D17"/>
    <w:rsid w:val="00C73E61"/>
    <w:rsid w:val="00C73EF9"/>
    <w:rsid w:val="00C74040"/>
    <w:rsid w:val="00C7405D"/>
    <w:rsid w:val="00C74155"/>
    <w:rsid w:val="00C741CE"/>
    <w:rsid w:val="00C741E9"/>
    <w:rsid w:val="00C7421C"/>
    <w:rsid w:val="00C7464B"/>
    <w:rsid w:val="00C7464F"/>
    <w:rsid w:val="00C746A2"/>
    <w:rsid w:val="00C74710"/>
    <w:rsid w:val="00C74826"/>
    <w:rsid w:val="00C74B88"/>
    <w:rsid w:val="00C75124"/>
    <w:rsid w:val="00C752C2"/>
    <w:rsid w:val="00C754EC"/>
    <w:rsid w:val="00C75885"/>
    <w:rsid w:val="00C75E7C"/>
    <w:rsid w:val="00C76790"/>
    <w:rsid w:val="00C7679F"/>
    <w:rsid w:val="00C769BA"/>
    <w:rsid w:val="00C769C2"/>
    <w:rsid w:val="00C76A58"/>
    <w:rsid w:val="00C76BE3"/>
    <w:rsid w:val="00C76D88"/>
    <w:rsid w:val="00C76E96"/>
    <w:rsid w:val="00C76EC6"/>
    <w:rsid w:val="00C77431"/>
    <w:rsid w:val="00C77686"/>
    <w:rsid w:val="00C77E3D"/>
    <w:rsid w:val="00C80160"/>
    <w:rsid w:val="00C8027D"/>
    <w:rsid w:val="00C803A3"/>
    <w:rsid w:val="00C80443"/>
    <w:rsid w:val="00C806A7"/>
    <w:rsid w:val="00C80D07"/>
    <w:rsid w:val="00C81052"/>
    <w:rsid w:val="00C8157D"/>
    <w:rsid w:val="00C8165E"/>
    <w:rsid w:val="00C821F8"/>
    <w:rsid w:val="00C8250F"/>
    <w:rsid w:val="00C827DA"/>
    <w:rsid w:val="00C82A36"/>
    <w:rsid w:val="00C82A6E"/>
    <w:rsid w:val="00C830B6"/>
    <w:rsid w:val="00C83420"/>
    <w:rsid w:val="00C838CE"/>
    <w:rsid w:val="00C83B95"/>
    <w:rsid w:val="00C841B2"/>
    <w:rsid w:val="00C84213"/>
    <w:rsid w:val="00C8454E"/>
    <w:rsid w:val="00C84577"/>
    <w:rsid w:val="00C8490C"/>
    <w:rsid w:val="00C84A51"/>
    <w:rsid w:val="00C84C0B"/>
    <w:rsid w:val="00C850F7"/>
    <w:rsid w:val="00C851BB"/>
    <w:rsid w:val="00C8589C"/>
    <w:rsid w:val="00C86032"/>
    <w:rsid w:val="00C863B5"/>
    <w:rsid w:val="00C86AA3"/>
    <w:rsid w:val="00C86C07"/>
    <w:rsid w:val="00C87190"/>
    <w:rsid w:val="00C871DD"/>
    <w:rsid w:val="00C87B68"/>
    <w:rsid w:val="00C87D1F"/>
    <w:rsid w:val="00C90374"/>
    <w:rsid w:val="00C905CD"/>
    <w:rsid w:val="00C90605"/>
    <w:rsid w:val="00C90D37"/>
    <w:rsid w:val="00C90DCA"/>
    <w:rsid w:val="00C90E0D"/>
    <w:rsid w:val="00C90EEB"/>
    <w:rsid w:val="00C9146D"/>
    <w:rsid w:val="00C91854"/>
    <w:rsid w:val="00C920B9"/>
    <w:rsid w:val="00C92170"/>
    <w:rsid w:val="00C922AA"/>
    <w:rsid w:val="00C922E3"/>
    <w:rsid w:val="00C923F7"/>
    <w:rsid w:val="00C92B70"/>
    <w:rsid w:val="00C92CB2"/>
    <w:rsid w:val="00C92F3F"/>
    <w:rsid w:val="00C92F73"/>
    <w:rsid w:val="00C9312A"/>
    <w:rsid w:val="00C93269"/>
    <w:rsid w:val="00C935E4"/>
    <w:rsid w:val="00C936F8"/>
    <w:rsid w:val="00C93E25"/>
    <w:rsid w:val="00C93EFA"/>
    <w:rsid w:val="00C94063"/>
    <w:rsid w:val="00C94265"/>
    <w:rsid w:val="00C9474E"/>
    <w:rsid w:val="00C947F2"/>
    <w:rsid w:val="00C948D3"/>
    <w:rsid w:val="00C94AE2"/>
    <w:rsid w:val="00C95358"/>
    <w:rsid w:val="00C9542A"/>
    <w:rsid w:val="00C95E98"/>
    <w:rsid w:val="00C9643A"/>
    <w:rsid w:val="00C96804"/>
    <w:rsid w:val="00C96B51"/>
    <w:rsid w:val="00C96BFD"/>
    <w:rsid w:val="00C96C0B"/>
    <w:rsid w:val="00C96CF8"/>
    <w:rsid w:val="00C96E82"/>
    <w:rsid w:val="00C9711A"/>
    <w:rsid w:val="00C9768A"/>
    <w:rsid w:val="00C976D8"/>
    <w:rsid w:val="00C979FE"/>
    <w:rsid w:val="00C97DB0"/>
    <w:rsid w:val="00C97E52"/>
    <w:rsid w:val="00CA0069"/>
    <w:rsid w:val="00CA00B1"/>
    <w:rsid w:val="00CA024D"/>
    <w:rsid w:val="00CA02EC"/>
    <w:rsid w:val="00CA03C5"/>
    <w:rsid w:val="00CA07DD"/>
    <w:rsid w:val="00CA0868"/>
    <w:rsid w:val="00CA08F5"/>
    <w:rsid w:val="00CA0A0C"/>
    <w:rsid w:val="00CA0BC4"/>
    <w:rsid w:val="00CA101A"/>
    <w:rsid w:val="00CA10CA"/>
    <w:rsid w:val="00CA1298"/>
    <w:rsid w:val="00CA18CB"/>
    <w:rsid w:val="00CA18E9"/>
    <w:rsid w:val="00CA19BF"/>
    <w:rsid w:val="00CA20B3"/>
    <w:rsid w:val="00CA224D"/>
    <w:rsid w:val="00CA225F"/>
    <w:rsid w:val="00CA271E"/>
    <w:rsid w:val="00CA2A14"/>
    <w:rsid w:val="00CA2A84"/>
    <w:rsid w:val="00CA2C4E"/>
    <w:rsid w:val="00CA2E00"/>
    <w:rsid w:val="00CA311F"/>
    <w:rsid w:val="00CA3298"/>
    <w:rsid w:val="00CA3488"/>
    <w:rsid w:val="00CA355E"/>
    <w:rsid w:val="00CA393F"/>
    <w:rsid w:val="00CA3EE2"/>
    <w:rsid w:val="00CA43FA"/>
    <w:rsid w:val="00CA4A0F"/>
    <w:rsid w:val="00CA4A9C"/>
    <w:rsid w:val="00CA4C22"/>
    <w:rsid w:val="00CA4F4E"/>
    <w:rsid w:val="00CA54AF"/>
    <w:rsid w:val="00CA5551"/>
    <w:rsid w:val="00CA5713"/>
    <w:rsid w:val="00CA5A72"/>
    <w:rsid w:val="00CA5C32"/>
    <w:rsid w:val="00CA5C70"/>
    <w:rsid w:val="00CA5F45"/>
    <w:rsid w:val="00CA61B4"/>
    <w:rsid w:val="00CA624E"/>
    <w:rsid w:val="00CA6398"/>
    <w:rsid w:val="00CA6C27"/>
    <w:rsid w:val="00CA6CA6"/>
    <w:rsid w:val="00CA6D1E"/>
    <w:rsid w:val="00CA7611"/>
    <w:rsid w:val="00CA7B4A"/>
    <w:rsid w:val="00CA7C2E"/>
    <w:rsid w:val="00CB057E"/>
    <w:rsid w:val="00CB07F1"/>
    <w:rsid w:val="00CB1047"/>
    <w:rsid w:val="00CB1B7E"/>
    <w:rsid w:val="00CB213F"/>
    <w:rsid w:val="00CB241F"/>
    <w:rsid w:val="00CB26DD"/>
    <w:rsid w:val="00CB2760"/>
    <w:rsid w:val="00CB292E"/>
    <w:rsid w:val="00CB2E0F"/>
    <w:rsid w:val="00CB2E8D"/>
    <w:rsid w:val="00CB2FDA"/>
    <w:rsid w:val="00CB394A"/>
    <w:rsid w:val="00CB3E1F"/>
    <w:rsid w:val="00CB3EAC"/>
    <w:rsid w:val="00CB4B07"/>
    <w:rsid w:val="00CB4F5F"/>
    <w:rsid w:val="00CB50CF"/>
    <w:rsid w:val="00CB545C"/>
    <w:rsid w:val="00CB55A6"/>
    <w:rsid w:val="00CB5BCB"/>
    <w:rsid w:val="00CB5CD2"/>
    <w:rsid w:val="00CB5F08"/>
    <w:rsid w:val="00CB6040"/>
    <w:rsid w:val="00CB63D2"/>
    <w:rsid w:val="00CB6577"/>
    <w:rsid w:val="00CB671D"/>
    <w:rsid w:val="00CB675C"/>
    <w:rsid w:val="00CB67D4"/>
    <w:rsid w:val="00CB68CC"/>
    <w:rsid w:val="00CB6C0E"/>
    <w:rsid w:val="00CB6C16"/>
    <w:rsid w:val="00CB6CC6"/>
    <w:rsid w:val="00CB6E97"/>
    <w:rsid w:val="00CB7104"/>
    <w:rsid w:val="00CB71C1"/>
    <w:rsid w:val="00CB7314"/>
    <w:rsid w:val="00CB7B1F"/>
    <w:rsid w:val="00CB7CA1"/>
    <w:rsid w:val="00CC0201"/>
    <w:rsid w:val="00CC0927"/>
    <w:rsid w:val="00CC109B"/>
    <w:rsid w:val="00CC1532"/>
    <w:rsid w:val="00CC1706"/>
    <w:rsid w:val="00CC1882"/>
    <w:rsid w:val="00CC1B40"/>
    <w:rsid w:val="00CC1D6D"/>
    <w:rsid w:val="00CC1E6D"/>
    <w:rsid w:val="00CC2045"/>
    <w:rsid w:val="00CC27E9"/>
    <w:rsid w:val="00CC29B9"/>
    <w:rsid w:val="00CC2E07"/>
    <w:rsid w:val="00CC3F5A"/>
    <w:rsid w:val="00CC407D"/>
    <w:rsid w:val="00CC44BC"/>
    <w:rsid w:val="00CC4544"/>
    <w:rsid w:val="00CC4811"/>
    <w:rsid w:val="00CC4E40"/>
    <w:rsid w:val="00CC4FC5"/>
    <w:rsid w:val="00CC5D62"/>
    <w:rsid w:val="00CC5E2C"/>
    <w:rsid w:val="00CC6020"/>
    <w:rsid w:val="00CC602C"/>
    <w:rsid w:val="00CC6100"/>
    <w:rsid w:val="00CC6112"/>
    <w:rsid w:val="00CC640A"/>
    <w:rsid w:val="00CC66D8"/>
    <w:rsid w:val="00CC68CB"/>
    <w:rsid w:val="00CC69C4"/>
    <w:rsid w:val="00CC6C6E"/>
    <w:rsid w:val="00CC6DAE"/>
    <w:rsid w:val="00CC6EB4"/>
    <w:rsid w:val="00CC7357"/>
    <w:rsid w:val="00CC7448"/>
    <w:rsid w:val="00CC76C0"/>
    <w:rsid w:val="00CC7810"/>
    <w:rsid w:val="00CC7A65"/>
    <w:rsid w:val="00CC7B66"/>
    <w:rsid w:val="00CC7B97"/>
    <w:rsid w:val="00CC7D34"/>
    <w:rsid w:val="00CD01D3"/>
    <w:rsid w:val="00CD03E6"/>
    <w:rsid w:val="00CD05B8"/>
    <w:rsid w:val="00CD0D92"/>
    <w:rsid w:val="00CD18AA"/>
    <w:rsid w:val="00CD1BB8"/>
    <w:rsid w:val="00CD1DD2"/>
    <w:rsid w:val="00CD1E5D"/>
    <w:rsid w:val="00CD20B5"/>
    <w:rsid w:val="00CD2641"/>
    <w:rsid w:val="00CD2728"/>
    <w:rsid w:val="00CD2910"/>
    <w:rsid w:val="00CD2D5D"/>
    <w:rsid w:val="00CD2D84"/>
    <w:rsid w:val="00CD3016"/>
    <w:rsid w:val="00CD3091"/>
    <w:rsid w:val="00CD322F"/>
    <w:rsid w:val="00CD36C2"/>
    <w:rsid w:val="00CD3C5B"/>
    <w:rsid w:val="00CD3D2B"/>
    <w:rsid w:val="00CD3E1F"/>
    <w:rsid w:val="00CD3ED8"/>
    <w:rsid w:val="00CD3FB0"/>
    <w:rsid w:val="00CD4537"/>
    <w:rsid w:val="00CD4649"/>
    <w:rsid w:val="00CD46DD"/>
    <w:rsid w:val="00CD4887"/>
    <w:rsid w:val="00CD4B21"/>
    <w:rsid w:val="00CD4D54"/>
    <w:rsid w:val="00CD4EC9"/>
    <w:rsid w:val="00CD4F25"/>
    <w:rsid w:val="00CD5643"/>
    <w:rsid w:val="00CD59A3"/>
    <w:rsid w:val="00CD5ABA"/>
    <w:rsid w:val="00CD5AC8"/>
    <w:rsid w:val="00CD5BBA"/>
    <w:rsid w:val="00CD5E8E"/>
    <w:rsid w:val="00CD5FD9"/>
    <w:rsid w:val="00CD633F"/>
    <w:rsid w:val="00CD6352"/>
    <w:rsid w:val="00CD6361"/>
    <w:rsid w:val="00CD65FC"/>
    <w:rsid w:val="00CD68D9"/>
    <w:rsid w:val="00CD6A7E"/>
    <w:rsid w:val="00CD6C43"/>
    <w:rsid w:val="00CD6C75"/>
    <w:rsid w:val="00CD6CE3"/>
    <w:rsid w:val="00CD7052"/>
    <w:rsid w:val="00CD70A5"/>
    <w:rsid w:val="00CD70F1"/>
    <w:rsid w:val="00CD7472"/>
    <w:rsid w:val="00CD7587"/>
    <w:rsid w:val="00CD7A7F"/>
    <w:rsid w:val="00CE01D2"/>
    <w:rsid w:val="00CE0521"/>
    <w:rsid w:val="00CE0B4E"/>
    <w:rsid w:val="00CE0E33"/>
    <w:rsid w:val="00CE12EB"/>
    <w:rsid w:val="00CE1432"/>
    <w:rsid w:val="00CE1E97"/>
    <w:rsid w:val="00CE1FC4"/>
    <w:rsid w:val="00CE206E"/>
    <w:rsid w:val="00CE21AE"/>
    <w:rsid w:val="00CE223A"/>
    <w:rsid w:val="00CE248B"/>
    <w:rsid w:val="00CE24DB"/>
    <w:rsid w:val="00CE2EBB"/>
    <w:rsid w:val="00CE31A2"/>
    <w:rsid w:val="00CE3426"/>
    <w:rsid w:val="00CE3867"/>
    <w:rsid w:val="00CE413F"/>
    <w:rsid w:val="00CE4510"/>
    <w:rsid w:val="00CE4548"/>
    <w:rsid w:val="00CE466B"/>
    <w:rsid w:val="00CE468B"/>
    <w:rsid w:val="00CE4B5A"/>
    <w:rsid w:val="00CE5191"/>
    <w:rsid w:val="00CE553E"/>
    <w:rsid w:val="00CE559F"/>
    <w:rsid w:val="00CE5858"/>
    <w:rsid w:val="00CE59D9"/>
    <w:rsid w:val="00CE5A31"/>
    <w:rsid w:val="00CE5CF5"/>
    <w:rsid w:val="00CE5E1F"/>
    <w:rsid w:val="00CE6A91"/>
    <w:rsid w:val="00CE6D35"/>
    <w:rsid w:val="00CE6DC7"/>
    <w:rsid w:val="00CE6F46"/>
    <w:rsid w:val="00CE7029"/>
    <w:rsid w:val="00CE71B4"/>
    <w:rsid w:val="00CF04AE"/>
    <w:rsid w:val="00CF074E"/>
    <w:rsid w:val="00CF0806"/>
    <w:rsid w:val="00CF08B3"/>
    <w:rsid w:val="00CF091B"/>
    <w:rsid w:val="00CF0A0B"/>
    <w:rsid w:val="00CF0CB9"/>
    <w:rsid w:val="00CF0F08"/>
    <w:rsid w:val="00CF0F45"/>
    <w:rsid w:val="00CF10D1"/>
    <w:rsid w:val="00CF1277"/>
    <w:rsid w:val="00CF1368"/>
    <w:rsid w:val="00CF13A7"/>
    <w:rsid w:val="00CF19A3"/>
    <w:rsid w:val="00CF1E82"/>
    <w:rsid w:val="00CF1E8C"/>
    <w:rsid w:val="00CF2111"/>
    <w:rsid w:val="00CF2543"/>
    <w:rsid w:val="00CF2925"/>
    <w:rsid w:val="00CF325C"/>
    <w:rsid w:val="00CF3337"/>
    <w:rsid w:val="00CF357E"/>
    <w:rsid w:val="00CF3949"/>
    <w:rsid w:val="00CF40A3"/>
    <w:rsid w:val="00CF430D"/>
    <w:rsid w:val="00CF4377"/>
    <w:rsid w:val="00CF439C"/>
    <w:rsid w:val="00CF4644"/>
    <w:rsid w:val="00CF473E"/>
    <w:rsid w:val="00CF4749"/>
    <w:rsid w:val="00CF489D"/>
    <w:rsid w:val="00CF48E6"/>
    <w:rsid w:val="00CF49E2"/>
    <w:rsid w:val="00CF49EB"/>
    <w:rsid w:val="00CF49EE"/>
    <w:rsid w:val="00CF4FC5"/>
    <w:rsid w:val="00CF502E"/>
    <w:rsid w:val="00CF5316"/>
    <w:rsid w:val="00CF537E"/>
    <w:rsid w:val="00CF5591"/>
    <w:rsid w:val="00CF570D"/>
    <w:rsid w:val="00CF58BD"/>
    <w:rsid w:val="00CF594E"/>
    <w:rsid w:val="00CF5A10"/>
    <w:rsid w:val="00CF5DCB"/>
    <w:rsid w:val="00CF6165"/>
    <w:rsid w:val="00CF6460"/>
    <w:rsid w:val="00CF65F4"/>
    <w:rsid w:val="00CF6782"/>
    <w:rsid w:val="00CF68DF"/>
    <w:rsid w:val="00CF6A70"/>
    <w:rsid w:val="00CF6A7C"/>
    <w:rsid w:val="00CF70A0"/>
    <w:rsid w:val="00CF7347"/>
    <w:rsid w:val="00CF74EA"/>
    <w:rsid w:val="00CF773A"/>
    <w:rsid w:val="00CF7B92"/>
    <w:rsid w:val="00CF7E3A"/>
    <w:rsid w:val="00CF7FCD"/>
    <w:rsid w:val="00D00022"/>
    <w:rsid w:val="00D000B4"/>
    <w:rsid w:val="00D004B4"/>
    <w:rsid w:val="00D0055F"/>
    <w:rsid w:val="00D0058F"/>
    <w:rsid w:val="00D00653"/>
    <w:rsid w:val="00D008B3"/>
    <w:rsid w:val="00D009F5"/>
    <w:rsid w:val="00D00AAD"/>
    <w:rsid w:val="00D00BBB"/>
    <w:rsid w:val="00D00C79"/>
    <w:rsid w:val="00D00C7C"/>
    <w:rsid w:val="00D01AE8"/>
    <w:rsid w:val="00D01CC5"/>
    <w:rsid w:val="00D0210C"/>
    <w:rsid w:val="00D026B6"/>
    <w:rsid w:val="00D02709"/>
    <w:rsid w:val="00D02BAF"/>
    <w:rsid w:val="00D03024"/>
    <w:rsid w:val="00D035F9"/>
    <w:rsid w:val="00D03A81"/>
    <w:rsid w:val="00D03B9C"/>
    <w:rsid w:val="00D03D20"/>
    <w:rsid w:val="00D04508"/>
    <w:rsid w:val="00D048F9"/>
    <w:rsid w:val="00D05115"/>
    <w:rsid w:val="00D0563A"/>
    <w:rsid w:val="00D05A97"/>
    <w:rsid w:val="00D05E25"/>
    <w:rsid w:val="00D0679B"/>
    <w:rsid w:val="00D068CC"/>
    <w:rsid w:val="00D069D7"/>
    <w:rsid w:val="00D06E82"/>
    <w:rsid w:val="00D0787B"/>
    <w:rsid w:val="00D0797F"/>
    <w:rsid w:val="00D079D4"/>
    <w:rsid w:val="00D07A86"/>
    <w:rsid w:val="00D07F3B"/>
    <w:rsid w:val="00D10173"/>
    <w:rsid w:val="00D1028F"/>
    <w:rsid w:val="00D103FB"/>
    <w:rsid w:val="00D10554"/>
    <w:rsid w:val="00D10576"/>
    <w:rsid w:val="00D106B0"/>
    <w:rsid w:val="00D108B0"/>
    <w:rsid w:val="00D10918"/>
    <w:rsid w:val="00D11118"/>
    <w:rsid w:val="00D11165"/>
    <w:rsid w:val="00D11186"/>
    <w:rsid w:val="00D114D4"/>
    <w:rsid w:val="00D11B28"/>
    <w:rsid w:val="00D12227"/>
    <w:rsid w:val="00D122B0"/>
    <w:rsid w:val="00D12824"/>
    <w:rsid w:val="00D12964"/>
    <w:rsid w:val="00D13155"/>
    <w:rsid w:val="00D136F9"/>
    <w:rsid w:val="00D137AE"/>
    <w:rsid w:val="00D13B40"/>
    <w:rsid w:val="00D140F9"/>
    <w:rsid w:val="00D1420D"/>
    <w:rsid w:val="00D153AC"/>
    <w:rsid w:val="00D15516"/>
    <w:rsid w:val="00D158D1"/>
    <w:rsid w:val="00D1593B"/>
    <w:rsid w:val="00D15B27"/>
    <w:rsid w:val="00D15BFB"/>
    <w:rsid w:val="00D15DFF"/>
    <w:rsid w:val="00D16038"/>
    <w:rsid w:val="00D16658"/>
    <w:rsid w:val="00D1685E"/>
    <w:rsid w:val="00D16993"/>
    <w:rsid w:val="00D171BD"/>
    <w:rsid w:val="00D177C4"/>
    <w:rsid w:val="00D17836"/>
    <w:rsid w:val="00D1794F"/>
    <w:rsid w:val="00D179BD"/>
    <w:rsid w:val="00D17EAC"/>
    <w:rsid w:val="00D17EE3"/>
    <w:rsid w:val="00D2034A"/>
    <w:rsid w:val="00D205A5"/>
    <w:rsid w:val="00D20631"/>
    <w:rsid w:val="00D20A54"/>
    <w:rsid w:val="00D20C9E"/>
    <w:rsid w:val="00D20E7D"/>
    <w:rsid w:val="00D2197B"/>
    <w:rsid w:val="00D21B85"/>
    <w:rsid w:val="00D22274"/>
    <w:rsid w:val="00D22303"/>
    <w:rsid w:val="00D22327"/>
    <w:rsid w:val="00D225F6"/>
    <w:rsid w:val="00D22757"/>
    <w:rsid w:val="00D22D97"/>
    <w:rsid w:val="00D2304E"/>
    <w:rsid w:val="00D236E7"/>
    <w:rsid w:val="00D239D2"/>
    <w:rsid w:val="00D23A8F"/>
    <w:rsid w:val="00D23CBF"/>
    <w:rsid w:val="00D23E3B"/>
    <w:rsid w:val="00D23E61"/>
    <w:rsid w:val="00D23E6D"/>
    <w:rsid w:val="00D23EAF"/>
    <w:rsid w:val="00D23FA2"/>
    <w:rsid w:val="00D24020"/>
    <w:rsid w:val="00D24049"/>
    <w:rsid w:val="00D2425E"/>
    <w:rsid w:val="00D244AA"/>
    <w:rsid w:val="00D24561"/>
    <w:rsid w:val="00D24B27"/>
    <w:rsid w:val="00D24B72"/>
    <w:rsid w:val="00D24CD1"/>
    <w:rsid w:val="00D25088"/>
    <w:rsid w:val="00D25303"/>
    <w:rsid w:val="00D25429"/>
    <w:rsid w:val="00D254AE"/>
    <w:rsid w:val="00D254C8"/>
    <w:rsid w:val="00D2572D"/>
    <w:rsid w:val="00D25847"/>
    <w:rsid w:val="00D258F5"/>
    <w:rsid w:val="00D25B20"/>
    <w:rsid w:val="00D25BBB"/>
    <w:rsid w:val="00D25FC0"/>
    <w:rsid w:val="00D260FD"/>
    <w:rsid w:val="00D2612C"/>
    <w:rsid w:val="00D261AC"/>
    <w:rsid w:val="00D262C3"/>
    <w:rsid w:val="00D26657"/>
    <w:rsid w:val="00D26856"/>
    <w:rsid w:val="00D26887"/>
    <w:rsid w:val="00D2689F"/>
    <w:rsid w:val="00D26D7E"/>
    <w:rsid w:val="00D26F5C"/>
    <w:rsid w:val="00D2728D"/>
    <w:rsid w:val="00D2742A"/>
    <w:rsid w:val="00D27642"/>
    <w:rsid w:val="00D2798D"/>
    <w:rsid w:val="00D3027B"/>
    <w:rsid w:val="00D30538"/>
    <w:rsid w:val="00D30966"/>
    <w:rsid w:val="00D30A12"/>
    <w:rsid w:val="00D30BCC"/>
    <w:rsid w:val="00D30C6F"/>
    <w:rsid w:val="00D30E61"/>
    <w:rsid w:val="00D32596"/>
    <w:rsid w:val="00D32653"/>
    <w:rsid w:val="00D3270C"/>
    <w:rsid w:val="00D3273B"/>
    <w:rsid w:val="00D32995"/>
    <w:rsid w:val="00D32B39"/>
    <w:rsid w:val="00D330C3"/>
    <w:rsid w:val="00D33143"/>
    <w:rsid w:val="00D33464"/>
    <w:rsid w:val="00D337D0"/>
    <w:rsid w:val="00D33B02"/>
    <w:rsid w:val="00D33C6E"/>
    <w:rsid w:val="00D33CEB"/>
    <w:rsid w:val="00D33D0A"/>
    <w:rsid w:val="00D3422E"/>
    <w:rsid w:val="00D34810"/>
    <w:rsid w:val="00D35407"/>
    <w:rsid w:val="00D354CE"/>
    <w:rsid w:val="00D358F3"/>
    <w:rsid w:val="00D36BEA"/>
    <w:rsid w:val="00D36D61"/>
    <w:rsid w:val="00D37019"/>
    <w:rsid w:val="00D371AB"/>
    <w:rsid w:val="00D378FA"/>
    <w:rsid w:val="00D37B2B"/>
    <w:rsid w:val="00D37CC6"/>
    <w:rsid w:val="00D37F1D"/>
    <w:rsid w:val="00D37FCD"/>
    <w:rsid w:val="00D400CD"/>
    <w:rsid w:val="00D4054C"/>
    <w:rsid w:val="00D40762"/>
    <w:rsid w:val="00D40B54"/>
    <w:rsid w:val="00D40DF5"/>
    <w:rsid w:val="00D40F24"/>
    <w:rsid w:val="00D4121C"/>
    <w:rsid w:val="00D412CA"/>
    <w:rsid w:val="00D41C70"/>
    <w:rsid w:val="00D41F6B"/>
    <w:rsid w:val="00D42383"/>
    <w:rsid w:val="00D428AB"/>
    <w:rsid w:val="00D42957"/>
    <w:rsid w:val="00D43040"/>
    <w:rsid w:val="00D43108"/>
    <w:rsid w:val="00D432F2"/>
    <w:rsid w:val="00D433D3"/>
    <w:rsid w:val="00D438FA"/>
    <w:rsid w:val="00D43DBF"/>
    <w:rsid w:val="00D44265"/>
    <w:rsid w:val="00D443D7"/>
    <w:rsid w:val="00D44873"/>
    <w:rsid w:val="00D449DC"/>
    <w:rsid w:val="00D44AED"/>
    <w:rsid w:val="00D44F01"/>
    <w:rsid w:val="00D451D4"/>
    <w:rsid w:val="00D4528B"/>
    <w:rsid w:val="00D452DC"/>
    <w:rsid w:val="00D4536D"/>
    <w:rsid w:val="00D453C5"/>
    <w:rsid w:val="00D457C2"/>
    <w:rsid w:val="00D458B0"/>
    <w:rsid w:val="00D45A19"/>
    <w:rsid w:val="00D45C2A"/>
    <w:rsid w:val="00D45C53"/>
    <w:rsid w:val="00D45EFD"/>
    <w:rsid w:val="00D45F2B"/>
    <w:rsid w:val="00D45F9C"/>
    <w:rsid w:val="00D463E2"/>
    <w:rsid w:val="00D46726"/>
    <w:rsid w:val="00D46996"/>
    <w:rsid w:val="00D46AAC"/>
    <w:rsid w:val="00D46FAF"/>
    <w:rsid w:val="00D4701C"/>
    <w:rsid w:val="00D4719E"/>
    <w:rsid w:val="00D478E5"/>
    <w:rsid w:val="00D47B54"/>
    <w:rsid w:val="00D47EBE"/>
    <w:rsid w:val="00D50399"/>
    <w:rsid w:val="00D5088A"/>
    <w:rsid w:val="00D50EB1"/>
    <w:rsid w:val="00D50ECB"/>
    <w:rsid w:val="00D50F56"/>
    <w:rsid w:val="00D5101F"/>
    <w:rsid w:val="00D513AD"/>
    <w:rsid w:val="00D519AB"/>
    <w:rsid w:val="00D519E1"/>
    <w:rsid w:val="00D519F1"/>
    <w:rsid w:val="00D51B30"/>
    <w:rsid w:val="00D52B66"/>
    <w:rsid w:val="00D5308D"/>
    <w:rsid w:val="00D531B8"/>
    <w:rsid w:val="00D53441"/>
    <w:rsid w:val="00D5355C"/>
    <w:rsid w:val="00D5376D"/>
    <w:rsid w:val="00D53A27"/>
    <w:rsid w:val="00D5404A"/>
    <w:rsid w:val="00D5412C"/>
    <w:rsid w:val="00D547F7"/>
    <w:rsid w:val="00D54B71"/>
    <w:rsid w:val="00D54CD7"/>
    <w:rsid w:val="00D54F97"/>
    <w:rsid w:val="00D54FA0"/>
    <w:rsid w:val="00D55EAE"/>
    <w:rsid w:val="00D55FC7"/>
    <w:rsid w:val="00D564F5"/>
    <w:rsid w:val="00D56829"/>
    <w:rsid w:val="00D56E2A"/>
    <w:rsid w:val="00D57010"/>
    <w:rsid w:val="00D57180"/>
    <w:rsid w:val="00D57261"/>
    <w:rsid w:val="00D57327"/>
    <w:rsid w:val="00D57527"/>
    <w:rsid w:val="00D579A7"/>
    <w:rsid w:val="00D57F86"/>
    <w:rsid w:val="00D6014D"/>
    <w:rsid w:val="00D605EB"/>
    <w:rsid w:val="00D608DF"/>
    <w:rsid w:val="00D60EFD"/>
    <w:rsid w:val="00D610A5"/>
    <w:rsid w:val="00D61318"/>
    <w:rsid w:val="00D61439"/>
    <w:rsid w:val="00D61649"/>
    <w:rsid w:val="00D6186C"/>
    <w:rsid w:val="00D61F5A"/>
    <w:rsid w:val="00D625F9"/>
    <w:rsid w:val="00D6265D"/>
    <w:rsid w:val="00D626E9"/>
    <w:rsid w:val="00D62795"/>
    <w:rsid w:val="00D62853"/>
    <w:rsid w:val="00D62914"/>
    <w:rsid w:val="00D629D0"/>
    <w:rsid w:val="00D62AD5"/>
    <w:rsid w:val="00D62C3B"/>
    <w:rsid w:val="00D634EA"/>
    <w:rsid w:val="00D63F6F"/>
    <w:rsid w:val="00D63FE3"/>
    <w:rsid w:val="00D64774"/>
    <w:rsid w:val="00D647E8"/>
    <w:rsid w:val="00D64CC0"/>
    <w:rsid w:val="00D6504C"/>
    <w:rsid w:val="00D65169"/>
    <w:rsid w:val="00D651BB"/>
    <w:rsid w:val="00D653CF"/>
    <w:rsid w:val="00D654E7"/>
    <w:rsid w:val="00D6564F"/>
    <w:rsid w:val="00D658F6"/>
    <w:rsid w:val="00D65BDD"/>
    <w:rsid w:val="00D66BFC"/>
    <w:rsid w:val="00D671B9"/>
    <w:rsid w:val="00D67672"/>
    <w:rsid w:val="00D67914"/>
    <w:rsid w:val="00D67C63"/>
    <w:rsid w:val="00D70423"/>
    <w:rsid w:val="00D7094B"/>
    <w:rsid w:val="00D70A35"/>
    <w:rsid w:val="00D70B04"/>
    <w:rsid w:val="00D70FE1"/>
    <w:rsid w:val="00D71108"/>
    <w:rsid w:val="00D71824"/>
    <w:rsid w:val="00D71BB4"/>
    <w:rsid w:val="00D71E04"/>
    <w:rsid w:val="00D71F8E"/>
    <w:rsid w:val="00D723E5"/>
    <w:rsid w:val="00D725EB"/>
    <w:rsid w:val="00D72F32"/>
    <w:rsid w:val="00D73304"/>
    <w:rsid w:val="00D733DA"/>
    <w:rsid w:val="00D7346C"/>
    <w:rsid w:val="00D7363A"/>
    <w:rsid w:val="00D73757"/>
    <w:rsid w:val="00D738C2"/>
    <w:rsid w:val="00D73D94"/>
    <w:rsid w:val="00D740A8"/>
    <w:rsid w:val="00D74998"/>
    <w:rsid w:val="00D7499F"/>
    <w:rsid w:val="00D749CF"/>
    <w:rsid w:val="00D74CE1"/>
    <w:rsid w:val="00D74D8A"/>
    <w:rsid w:val="00D750B7"/>
    <w:rsid w:val="00D7525E"/>
    <w:rsid w:val="00D75725"/>
    <w:rsid w:val="00D7575E"/>
    <w:rsid w:val="00D75892"/>
    <w:rsid w:val="00D75A38"/>
    <w:rsid w:val="00D75C70"/>
    <w:rsid w:val="00D75EFD"/>
    <w:rsid w:val="00D75FA1"/>
    <w:rsid w:val="00D7606F"/>
    <w:rsid w:val="00D760FD"/>
    <w:rsid w:val="00D761A8"/>
    <w:rsid w:val="00D761DF"/>
    <w:rsid w:val="00D766FF"/>
    <w:rsid w:val="00D767D1"/>
    <w:rsid w:val="00D769CA"/>
    <w:rsid w:val="00D76B2F"/>
    <w:rsid w:val="00D76DB4"/>
    <w:rsid w:val="00D76DCF"/>
    <w:rsid w:val="00D76DD6"/>
    <w:rsid w:val="00D77026"/>
    <w:rsid w:val="00D77275"/>
    <w:rsid w:val="00D77540"/>
    <w:rsid w:val="00D7754D"/>
    <w:rsid w:val="00D776FC"/>
    <w:rsid w:val="00D77784"/>
    <w:rsid w:val="00D77B50"/>
    <w:rsid w:val="00D77C76"/>
    <w:rsid w:val="00D80728"/>
    <w:rsid w:val="00D807A4"/>
    <w:rsid w:val="00D807A9"/>
    <w:rsid w:val="00D808B3"/>
    <w:rsid w:val="00D80A85"/>
    <w:rsid w:val="00D811DF"/>
    <w:rsid w:val="00D81927"/>
    <w:rsid w:val="00D81BA7"/>
    <w:rsid w:val="00D81BD5"/>
    <w:rsid w:val="00D8238B"/>
    <w:rsid w:val="00D82824"/>
    <w:rsid w:val="00D82984"/>
    <w:rsid w:val="00D82BBB"/>
    <w:rsid w:val="00D82E6A"/>
    <w:rsid w:val="00D82EAD"/>
    <w:rsid w:val="00D8318D"/>
    <w:rsid w:val="00D832AE"/>
    <w:rsid w:val="00D83D56"/>
    <w:rsid w:val="00D840A8"/>
    <w:rsid w:val="00D840F5"/>
    <w:rsid w:val="00D84209"/>
    <w:rsid w:val="00D8420F"/>
    <w:rsid w:val="00D843A3"/>
    <w:rsid w:val="00D84422"/>
    <w:rsid w:val="00D845A7"/>
    <w:rsid w:val="00D850F5"/>
    <w:rsid w:val="00D85181"/>
    <w:rsid w:val="00D851A7"/>
    <w:rsid w:val="00D851EB"/>
    <w:rsid w:val="00D854E5"/>
    <w:rsid w:val="00D85EAD"/>
    <w:rsid w:val="00D85EE7"/>
    <w:rsid w:val="00D85F7E"/>
    <w:rsid w:val="00D85F96"/>
    <w:rsid w:val="00D86324"/>
    <w:rsid w:val="00D86409"/>
    <w:rsid w:val="00D86B52"/>
    <w:rsid w:val="00D86CDB"/>
    <w:rsid w:val="00D877B0"/>
    <w:rsid w:val="00D90098"/>
    <w:rsid w:val="00D901FF"/>
    <w:rsid w:val="00D903D6"/>
    <w:rsid w:val="00D90C47"/>
    <w:rsid w:val="00D90C50"/>
    <w:rsid w:val="00D90CB4"/>
    <w:rsid w:val="00D90D3F"/>
    <w:rsid w:val="00D9135D"/>
    <w:rsid w:val="00D91540"/>
    <w:rsid w:val="00D9181A"/>
    <w:rsid w:val="00D919AF"/>
    <w:rsid w:val="00D919D1"/>
    <w:rsid w:val="00D91A1C"/>
    <w:rsid w:val="00D91AC3"/>
    <w:rsid w:val="00D91B15"/>
    <w:rsid w:val="00D91B17"/>
    <w:rsid w:val="00D92082"/>
    <w:rsid w:val="00D921C6"/>
    <w:rsid w:val="00D92574"/>
    <w:rsid w:val="00D92653"/>
    <w:rsid w:val="00D926D4"/>
    <w:rsid w:val="00D92847"/>
    <w:rsid w:val="00D92F32"/>
    <w:rsid w:val="00D92F58"/>
    <w:rsid w:val="00D92F9E"/>
    <w:rsid w:val="00D93242"/>
    <w:rsid w:val="00D933B3"/>
    <w:rsid w:val="00D936A5"/>
    <w:rsid w:val="00D93DB8"/>
    <w:rsid w:val="00D93E11"/>
    <w:rsid w:val="00D940B4"/>
    <w:rsid w:val="00D9410D"/>
    <w:rsid w:val="00D94254"/>
    <w:rsid w:val="00D943D6"/>
    <w:rsid w:val="00D946CE"/>
    <w:rsid w:val="00D94830"/>
    <w:rsid w:val="00D94A77"/>
    <w:rsid w:val="00D94A98"/>
    <w:rsid w:val="00D94D5D"/>
    <w:rsid w:val="00D95487"/>
    <w:rsid w:val="00D95684"/>
    <w:rsid w:val="00D95AD4"/>
    <w:rsid w:val="00D95DFA"/>
    <w:rsid w:val="00D9601E"/>
    <w:rsid w:val="00D96107"/>
    <w:rsid w:val="00D96152"/>
    <w:rsid w:val="00D9644B"/>
    <w:rsid w:val="00D969E0"/>
    <w:rsid w:val="00D96A3E"/>
    <w:rsid w:val="00D96D0F"/>
    <w:rsid w:val="00D96E27"/>
    <w:rsid w:val="00D975D4"/>
    <w:rsid w:val="00D979F6"/>
    <w:rsid w:val="00D97AE6"/>
    <w:rsid w:val="00DA0CDA"/>
    <w:rsid w:val="00DA0F53"/>
    <w:rsid w:val="00DA103B"/>
    <w:rsid w:val="00DA1323"/>
    <w:rsid w:val="00DA1456"/>
    <w:rsid w:val="00DA15B9"/>
    <w:rsid w:val="00DA15F7"/>
    <w:rsid w:val="00DA16AA"/>
    <w:rsid w:val="00DA16E6"/>
    <w:rsid w:val="00DA1844"/>
    <w:rsid w:val="00DA2338"/>
    <w:rsid w:val="00DA23B2"/>
    <w:rsid w:val="00DA2406"/>
    <w:rsid w:val="00DA2761"/>
    <w:rsid w:val="00DA2776"/>
    <w:rsid w:val="00DA27AC"/>
    <w:rsid w:val="00DA2848"/>
    <w:rsid w:val="00DA2A92"/>
    <w:rsid w:val="00DA2A97"/>
    <w:rsid w:val="00DA2D23"/>
    <w:rsid w:val="00DA2E0A"/>
    <w:rsid w:val="00DA2E13"/>
    <w:rsid w:val="00DA305E"/>
    <w:rsid w:val="00DA3526"/>
    <w:rsid w:val="00DA3AA3"/>
    <w:rsid w:val="00DA3BE0"/>
    <w:rsid w:val="00DA3DB1"/>
    <w:rsid w:val="00DA3E52"/>
    <w:rsid w:val="00DA4543"/>
    <w:rsid w:val="00DA45AD"/>
    <w:rsid w:val="00DA4B10"/>
    <w:rsid w:val="00DA4BE2"/>
    <w:rsid w:val="00DA4C79"/>
    <w:rsid w:val="00DA4D0A"/>
    <w:rsid w:val="00DA4D2D"/>
    <w:rsid w:val="00DA4D6E"/>
    <w:rsid w:val="00DA4DC6"/>
    <w:rsid w:val="00DA4F38"/>
    <w:rsid w:val="00DA577B"/>
    <w:rsid w:val="00DA5C23"/>
    <w:rsid w:val="00DA5D11"/>
    <w:rsid w:val="00DA5E19"/>
    <w:rsid w:val="00DA5EED"/>
    <w:rsid w:val="00DA614D"/>
    <w:rsid w:val="00DA6186"/>
    <w:rsid w:val="00DA67A2"/>
    <w:rsid w:val="00DA6A8F"/>
    <w:rsid w:val="00DA6C67"/>
    <w:rsid w:val="00DA6FC4"/>
    <w:rsid w:val="00DA725C"/>
    <w:rsid w:val="00DA72B1"/>
    <w:rsid w:val="00DA7337"/>
    <w:rsid w:val="00DA74BD"/>
    <w:rsid w:val="00DA774E"/>
    <w:rsid w:val="00DA77B6"/>
    <w:rsid w:val="00DA7879"/>
    <w:rsid w:val="00DA7D77"/>
    <w:rsid w:val="00DB007B"/>
    <w:rsid w:val="00DB0330"/>
    <w:rsid w:val="00DB05F0"/>
    <w:rsid w:val="00DB07B2"/>
    <w:rsid w:val="00DB083E"/>
    <w:rsid w:val="00DB0D86"/>
    <w:rsid w:val="00DB0FE8"/>
    <w:rsid w:val="00DB120E"/>
    <w:rsid w:val="00DB13A2"/>
    <w:rsid w:val="00DB14C9"/>
    <w:rsid w:val="00DB1744"/>
    <w:rsid w:val="00DB1765"/>
    <w:rsid w:val="00DB1D56"/>
    <w:rsid w:val="00DB1DDD"/>
    <w:rsid w:val="00DB1E75"/>
    <w:rsid w:val="00DB1F43"/>
    <w:rsid w:val="00DB22B1"/>
    <w:rsid w:val="00DB24C4"/>
    <w:rsid w:val="00DB2573"/>
    <w:rsid w:val="00DB26AE"/>
    <w:rsid w:val="00DB26E0"/>
    <w:rsid w:val="00DB2817"/>
    <w:rsid w:val="00DB28F2"/>
    <w:rsid w:val="00DB2C68"/>
    <w:rsid w:val="00DB2D67"/>
    <w:rsid w:val="00DB2F2C"/>
    <w:rsid w:val="00DB2FA0"/>
    <w:rsid w:val="00DB37BC"/>
    <w:rsid w:val="00DB37F9"/>
    <w:rsid w:val="00DB382A"/>
    <w:rsid w:val="00DB3CF4"/>
    <w:rsid w:val="00DB4119"/>
    <w:rsid w:val="00DB4257"/>
    <w:rsid w:val="00DB434C"/>
    <w:rsid w:val="00DB458C"/>
    <w:rsid w:val="00DB473F"/>
    <w:rsid w:val="00DB4A01"/>
    <w:rsid w:val="00DB4A32"/>
    <w:rsid w:val="00DB4BD2"/>
    <w:rsid w:val="00DB4E25"/>
    <w:rsid w:val="00DB4E27"/>
    <w:rsid w:val="00DB4EDC"/>
    <w:rsid w:val="00DB54AC"/>
    <w:rsid w:val="00DB58EA"/>
    <w:rsid w:val="00DB5ADF"/>
    <w:rsid w:val="00DB5D51"/>
    <w:rsid w:val="00DB5D61"/>
    <w:rsid w:val="00DB5ED2"/>
    <w:rsid w:val="00DB6078"/>
    <w:rsid w:val="00DB63DE"/>
    <w:rsid w:val="00DB6C95"/>
    <w:rsid w:val="00DB6DCA"/>
    <w:rsid w:val="00DB6E45"/>
    <w:rsid w:val="00DB6F54"/>
    <w:rsid w:val="00DB7476"/>
    <w:rsid w:val="00DB74FC"/>
    <w:rsid w:val="00DB7580"/>
    <w:rsid w:val="00DB7A32"/>
    <w:rsid w:val="00DC0197"/>
    <w:rsid w:val="00DC0AAC"/>
    <w:rsid w:val="00DC0FAA"/>
    <w:rsid w:val="00DC1287"/>
    <w:rsid w:val="00DC1596"/>
    <w:rsid w:val="00DC1605"/>
    <w:rsid w:val="00DC18F5"/>
    <w:rsid w:val="00DC1B32"/>
    <w:rsid w:val="00DC1B51"/>
    <w:rsid w:val="00DC2234"/>
    <w:rsid w:val="00DC2939"/>
    <w:rsid w:val="00DC2A35"/>
    <w:rsid w:val="00DC2A4D"/>
    <w:rsid w:val="00DC2D5D"/>
    <w:rsid w:val="00DC2DFF"/>
    <w:rsid w:val="00DC351E"/>
    <w:rsid w:val="00DC38FD"/>
    <w:rsid w:val="00DC3920"/>
    <w:rsid w:val="00DC3D43"/>
    <w:rsid w:val="00DC3E68"/>
    <w:rsid w:val="00DC40AE"/>
    <w:rsid w:val="00DC40C4"/>
    <w:rsid w:val="00DC4197"/>
    <w:rsid w:val="00DC44E7"/>
    <w:rsid w:val="00DC453D"/>
    <w:rsid w:val="00DC48BD"/>
    <w:rsid w:val="00DC493C"/>
    <w:rsid w:val="00DC4A5B"/>
    <w:rsid w:val="00DC4D21"/>
    <w:rsid w:val="00DC4DF5"/>
    <w:rsid w:val="00DC53C7"/>
    <w:rsid w:val="00DC56FF"/>
    <w:rsid w:val="00DC570A"/>
    <w:rsid w:val="00DC5AF6"/>
    <w:rsid w:val="00DC5CE8"/>
    <w:rsid w:val="00DC60FE"/>
    <w:rsid w:val="00DC648D"/>
    <w:rsid w:val="00DC6544"/>
    <w:rsid w:val="00DC6D4D"/>
    <w:rsid w:val="00DC707C"/>
    <w:rsid w:val="00DC70A1"/>
    <w:rsid w:val="00DC7239"/>
    <w:rsid w:val="00DC72D8"/>
    <w:rsid w:val="00DC742A"/>
    <w:rsid w:val="00DC7768"/>
    <w:rsid w:val="00DC79C1"/>
    <w:rsid w:val="00DC7A53"/>
    <w:rsid w:val="00DC7E5F"/>
    <w:rsid w:val="00DC7F39"/>
    <w:rsid w:val="00DC7FC2"/>
    <w:rsid w:val="00DD0081"/>
    <w:rsid w:val="00DD037A"/>
    <w:rsid w:val="00DD06F3"/>
    <w:rsid w:val="00DD0826"/>
    <w:rsid w:val="00DD1321"/>
    <w:rsid w:val="00DD1359"/>
    <w:rsid w:val="00DD1519"/>
    <w:rsid w:val="00DD1623"/>
    <w:rsid w:val="00DD1ACF"/>
    <w:rsid w:val="00DD1C99"/>
    <w:rsid w:val="00DD1D3A"/>
    <w:rsid w:val="00DD1DFF"/>
    <w:rsid w:val="00DD2064"/>
    <w:rsid w:val="00DD2231"/>
    <w:rsid w:val="00DD2483"/>
    <w:rsid w:val="00DD2491"/>
    <w:rsid w:val="00DD26FB"/>
    <w:rsid w:val="00DD2C85"/>
    <w:rsid w:val="00DD3122"/>
    <w:rsid w:val="00DD3238"/>
    <w:rsid w:val="00DD32DF"/>
    <w:rsid w:val="00DD3331"/>
    <w:rsid w:val="00DD36B0"/>
    <w:rsid w:val="00DD36CF"/>
    <w:rsid w:val="00DD391B"/>
    <w:rsid w:val="00DD392D"/>
    <w:rsid w:val="00DD394A"/>
    <w:rsid w:val="00DD3BBE"/>
    <w:rsid w:val="00DD3FE8"/>
    <w:rsid w:val="00DD403E"/>
    <w:rsid w:val="00DD4427"/>
    <w:rsid w:val="00DD45CB"/>
    <w:rsid w:val="00DD474C"/>
    <w:rsid w:val="00DD4856"/>
    <w:rsid w:val="00DD4BF9"/>
    <w:rsid w:val="00DD59C7"/>
    <w:rsid w:val="00DD5CC4"/>
    <w:rsid w:val="00DD5FDE"/>
    <w:rsid w:val="00DD608B"/>
    <w:rsid w:val="00DD6616"/>
    <w:rsid w:val="00DD6636"/>
    <w:rsid w:val="00DD667B"/>
    <w:rsid w:val="00DD6693"/>
    <w:rsid w:val="00DD6E19"/>
    <w:rsid w:val="00DD6EE4"/>
    <w:rsid w:val="00DD7102"/>
    <w:rsid w:val="00DD7183"/>
    <w:rsid w:val="00DD7318"/>
    <w:rsid w:val="00DD7A61"/>
    <w:rsid w:val="00DE00F4"/>
    <w:rsid w:val="00DE01B3"/>
    <w:rsid w:val="00DE039F"/>
    <w:rsid w:val="00DE0CE7"/>
    <w:rsid w:val="00DE0F4A"/>
    <w:rsid w:val="00DE0FC1"/>
    <w:rsid w:val="00DE0FF4"/>
    <w:rsid w:val="00DE112C"/>
    <w:rsid w:val="00DE1665"/>
    <w:rsid w:val="00DE1C5C"/>
    <w:rsid w:val="00DE1EE1"/>
    <w:rsid w:val="00DE1FCB"/>
    <w:rsid w:val="00DE2218"/>
    <w:rsid w:val="00DE2484"/>
    <w:rsid w:val="00DE2564"/>
    <w:rsid w:val="00DE25B2"/>
    <w:rsid w:val="00DE2919"/>
    <w:rsid w:val="00DE3227"/>
    <w:rsid w:val="00DE372D"/>
    <w:rsid w:val="00DE3AD1"/>
    <w:rsid w:val="00DE3CF7"/>
    <w:rsid w:val="00DE3FF0"/>
    <w:rsid w:val="00DE45A3"/>
    <w:rsid w:val="00DE4774"/>
    <w:rsid w:val="00DE47C5"/>
    <w:rsid w:val="00DE50A6"/>
    <w:rsid w:val="00DE54F6"/>
    <w:rsid w:val="00DE5797"/>
    <w:rsid w:val="00DE58A3"/>
    <w:rsid w:val="00DE5A7D"/>
    <w:rsid w:val="00DE5E85"/>
    <w:rsid w:val="00DE6298"/>
    <w:rsid w:val="00DE63C0"/>
    <w:rsid w:val="00DE6473"/>
    <w:rsid w:val="00DE64E7"/>
    <w:rsid w:val="00DE66CE"/>
    <w:rsid w:val="00DE6A8F"/>
    <w:rsid w:val="00DE6B8B"/>
    <w:rsid w:val="00DE6B95"/>
    <w:rsid w:val="00DE6FCA"/>
    <w:rsid w:val="00DE709F"/>
    <w:rsid w:val="00DE70C6"/>
    <w:rsid w:val="00DE7300"/>
    <w:rsid w:val="00DE73D2"/>
    <w:rsid w:val="00DE78DB"/>
    <w:rsid w:val="00DE7910"/>
    <w:rsid w:val="00DE7969"/>
    <w:rsid w:val="00DE7C72"/>
    <w:rsid w:val="00DF0649"/>
    <w:rsid w:val="00DF0744"/>
    <w:rsid w:val="00DF0991"/>
    <w:rsid w:val="00DF0B05"/>
    <w:rsid w:val="00DF0BC2"/>
    <w:rsid w:val="00DF0F53"/>
    <w:rsid w:val="00DF17EC"/>
    <w:rsid w:val="00DF184B"/>
    <w:rsid w:val="00DF1E05"/>
    <w:rsid w:val="00DF2021"/>
    <w:rsid w:val="00DF205D"/>
    <w:rsid w:val="00DF2386"/>
    <w:rsid w:val="00DF24CB"/>
    <w:rsid w:val="00DF252C"/>
    <w:rsid w:val="00DF2684"/>
    <w:rsid w:val="00DF27E8"/>
    <w:rsid w:val="00DF2862"/>
    <w:rsid w:val="00DF29F4"/>
    <w:rsid w:val="00DF304B"/>
    <w:rsid w:val="00DF3325"/>
    <w:rsid w:val="00DF37F6"/>
    <w:rsid w:val="00DF386E"/>
    <w:rsid w:val="00DF38D0"/>
    <w:rsid w:val="00DF4309"/>
    <w:rsid w:val="00DF470F"/>
    <w:rsid w:val="00DF4866"/>
    <w:rsid w:val="00DF4C8F"/>
    <w:rsid w:val="00DF4CD0"/>
    <w:rsid w:val="00DF4FED"/>
    <w:rsid w:val="00DF58A2"/>
    <w:rsid w:val="00DF5AF9"/>
    <w:rsid w:val="00DF5D04"/>
    <w:rsid w:val="00DF6505"/>
    <w:rsid w:val="00DF68E1"/>
    <w:rsid w:val="00DF6AB2"/>
    <w:rsid w:val="00DF70A9"/>
    <w:rsid w:val="00DF714F"/>
    <w:rsid w:val="00DF7353"/>
    <w:rsid w:val="00DF752E"/>
    <w:rsid w:val="00DF7A65"/>
    <w:rsid w:val="00DF7A6F"/>
    <w:rsid w:val="00E0022B"/>
    <w:rsid w:val="00E003A7"/>
    <w:rsid w:val="00E0099E"/>
    <w:rsid w:val="00E01C86"/>
    <w:rsid w:val="00E01CE3"/>
    <w:rsid w:val="00E0216B"/>
    <w:rsid w:val="00E02327"/>
    <w:rsid w:val="00E02DE5"/>
    <w:rsid w:val="00E033CC"/>
    <w:rsid w:val="00E033E1"/>
    <w:rsid w:val="00E03A14"/>
    <w:rsid w:val="00E03E07"/>
    <w:rsid w:val="00E04496"/>
    <w:rsid w:val="00E04922"/>
    <w:rsid w:val="00E04A8A"/>
    <w:rsid w:val="00E04B56"/>
    <w:rsid w:val="00E04C82"/>
    <w:rsid w:val="00E05168"/>
    <w:rsid w:val="00E0586E"/>
    <w:rsid w:val="00E05AC4"/>
    <w:rsid w:val="00E06002"/>
    <w:rsid w:val="00E06547"/>
    <w:rsid w:val="00E06A4F"/>
    <w:rsid w:val="00E06E8D"/>
    <w:rsid w:val="00E06FAE"/>
    <w:rsid w:val="00E07726"/>
    <w:rsid w:val="00E07DDD"/>
    <w:rsid w:val="00E10515"/>
    <w:rsid w:val="00E10844"/>
    <w:rsid w:val="00E10909"/>
    <w:rsid w:val="00E10C3A"/>
    <w:rsid w:val="00E10E6F"/>
    <w:rsid w:val="00E10EC6"/>
    <w:rsid w:val="00E1116B"/>
    <w:rsid w:val="00E1171E"/>
    <w:rsid w:val="00E118A7"/>
    <w:rsid w:val="00E118EB"/>
    <w:rsid w:val="00E11BA9"/>
    <w:rsid w:val="00E11CDF"/>
    <w:rsid w:val="00E11EAC"/>
    <w:rsid w:val="00E1269F"/>
    <w:rsid w:val="00E12741"/>
    <w:rsid w:val="00E12A22"/>
    <w:rsid w:val="00E12D31"/>
    <w:rsid w:val="00E12F59"/>
    <w:rsid w:val="00E130BF"/>
    <w:rsid w:val="00E132A5"/>
    <w:rsid w:val="00E136B3"/>
    <w:rsid w:val="00E1385A"/>
    <w:rsid w:val="00E1388E"/>
    <w:rsid w:val="00E13BDB"/>
    <w:rsid w:val="00E141A1"/>
    <w:rsid w:val="00E141CF"/>
    <w:rsid w:val="00E143AD"/>
    <w:rsid w:val="00E14852"/>
    <w:rsid w:val="00E148F9"/>
    <w:rsid w:val="00E1494D"/>
    <w:rsid w:val="00E14F16"/>
    <w:rsid w:val="00E15550"/>
    <w:rsid w:val="00E15554"/>
    <w:rsid w:val="00E15662"/>
    <w:rsid w:val="00E159F8"/>
    <w:rsid w:val="00E15A81"/>
    <w:rsid w:val="00E15C26"/>
    <w:rsid w:val="00E15D8A"/>
    <w:rsid w:val="00E15E0B"/>
    <w:rsid w:val="00E160DD"/>
    <w:rsid w:val="00E1625C"/>
    <w:rsid w:val="00E16B38"/>
    <w:rsid w:val="00E16E4D"/>
    <w:rsid w:val="00E17151"/>
    <w:rsid w:val="00E17378"/>
    <w:rsid w:val="00E17528"/>
    <w:rsid w:val="00E17614"/>
    <w:rsid w:val="00E17ACE"/>
    <w:rsid w:val="00E17BEC"/>
    <w:rsid w:val="00E17C0E"/>
    <w:rsid w:val="00E17D2B"/>
    <w:rsid w:val="00E17DFF"/>
    <w:rsid w:val="00E200CB"/>
    <w:rsid w:val="00E205BF"/>
    <w:rsid w:val="00E20717"/>
    <w:rsid w:val="00E2084E"/>
    <w:rsid w:val="00E2087B"/>
    <w:rsid w:val="00E20A50"/>
    <w:rsid w:val="00E20BC5"/>
    <w:rsid w:val="00E20F49"/>
    <w:rsid w:val="00E2137F"/>
    <w:rsid w:val="00E213A1"/>
    <w:rsid w:val="00E21B9F"/>
    <w:rsid w:val="00E21C30"/>
    <w:rsid w:val="00E21FC5"/>
    <w:rsid w:val="00E2225A"/>
    <w:rsid w:val="00E22F03"/>
    <w:rsid w:val="00E22FE3"/>
    <w:rsid w:val="00E23174"/>
    <w:rsid w:val="00E23284"/>
    <w:rsid w:val="00E2357F"/>
    <w:rsid w:val="00E23633"/>
    <w:rsid w:val="00E23803"/>
    <w:rsid w:val="00E23A1D"/>
    <w:rsid w:val="00E23AF1"/>
    <w:rsid w:val="00E23CBF"/>
    <w:rsid w:val="00E23E03"/>
    <w:rsid w:val="00E23E4C"/>
    <w:rsid w:val="00E24116"/>
    <w:rsid w:val="00E24279"/>
    <w:rsid w:val="00E2474B"/>
    <w:rsid w:val="00E247C9"/>
    <w:rsid w:val="00E24C00"/>
    <w:rsid w:val="00E24E49"/>
    <w:rsid w:val="00E24F02"/>
    <w:rsid w:val="00E25362"/>
    <w:rsid w:val="00E2538C"/>
    <w:rsid w:val="00E253D2"/>
    <w:rsid w:val="00E25FAE"/>
    <w:rsid w:val="00E2618C"/>
    <w:rsid w:val="00E26C48"/>
    <w:rsid w:val="00E26E2C"/>
    <w:rsid w:val="00E27012"/>
    <w:rsid w:val="00E27273"/>
    <w:rsid w:val="00E27297"/>
    <w:rsid w:val="00E2732E"/>
    <w:rsid w:val="00E273F3"/>
    <w:rsid w:val="00E27679"/>
    <w:rsid w:val="00E2783C"/>
    <w:rsid w:val="00E27AE4"/>
    <w:rsid w:val="00E27C4F"/>
    <w:rsid w:val="00E27C60"/>
    <w:rsid w:val="00E27D1D"/>
    <w:rsid w:val="00E27E19"/>
    <w:rsid w:val="00E27EB0"/>
    <w:rsid w:val="00E27EE0"/>
    <w:rsid w:val="00E27F7F"/>
    <w:rsid w:val="00E301DE"/>
    <w:rsid w:val="00E30384"/>
    <w:rsid w:val="00E303DF"/>
    <w:rsid w:val="00E309A9"/>
    <w:rsid w:val="00E30A60"/>
    <w:rsid w:val="00E30B25"/>
    <w:rsid w:val="00E30ED8"/>
    <w:rsid w:val="00E30F02"/>
    <w:rsid w:val="00E30F03"/>
    <w:rsid w:val="00E30F14"/>
    <w:rsid w:val="00E30FA2"/>
    <w:rsid w:val="00E31110"/>
    <w:rsid w:val="00E312DC"/>
    <w:rsid w:val="00E3159F"/>
    <w:rsid w:val="00E317B6"/>
    <w:rsid w:val="00E31877"/>
    <w:rsid w:val="00E31D20"/>
    <w:rsid w:val="00E31EDD"/>
    <w:rsid w:val="00E32171"/>
    <w:rsid w:val="00E32182"/>
    <w:rsid w:val="00E322A3"/>
    <w:rsid w:val="00E322DB"/>
    <w:rsid w:val="00E323CC"/>
    <w:rsid w:val="00E325BC"/>
    <w:rsid w:val="00E32686"/>
    <w:rsid w:val="00E329D4"/>
    <w:rsid w:val="00E32C55"/>
    <w:rsid w:val="00E32DE4"/>
    <w:rsid w:val="00E32DFC"/>
    <w:rsid w:val="00E3303C"/>
    <w:rsid w:val="00E334C4"/>
    <w:rsid w:val="00E334C7"/>
    <w:rsid w:val="00E33853"/>
    <w:rsid w:val="00E3390A"/>
    <w:rsid w:val="00E341BE"/>
    <w:rsid w:val="00E342B8"/>
    <w:rsid w:val="00E343BE"/>
    <w:rsid w:val="00E34576"/>
    <w:rsid w:val="00E348A4"/>
    <w:rsid w:val="00E34A5B"/>
    <w:rsid w:val="00E34E2F"/>
    <w:rsid w:val="00E34F42"/>
    <w:rsid w:val="00E351F3"/>
    <w:rsid w:val="00E3530A"/>
    <w:rsid w:val="00E3574B"/>
    <w:rsid w:val="00E35BD8"/>
    <w:rsid w:val="00E361FE"/>
    <w:rsid w:val="00E361FF"/>
    <w:rsid w:val="00E362F5"/>
    <w:rsid w:val="00E36B8D"/>
    <w:rsid w:val="00E36E41"/>
    <w:rsid w:val="00E36F0D"/>
    <w:rsid w:val="00E36FD6"/>
    <w:rsid w:val="00E3717C"/>
    <w:rsid w:val="00E3778D"/>
    <w:rsid w:val="00E37983"/>
    <w:rsid w:val="00E37A07"/>
    <w:rsid w:val="00E37A1B"/>
    <w:rsid w:val="00E37A26"/>
    <w:rsid w:val="00E37A80"/>
    <w:rsid w:val="00E37D65"/>
    <w:rsid w:val="00E40208"/>
    <w:rsid w:val="00E40364"/>
    <w:rsid w:val="00E406F8"/>
    <w:rsid w:val="00E40CA6"/>
    <w:rsid w:val="00E40FF3"/>
    <w:rsid w:val="00E412DF"/>
    <w:rsid w:val="00E41482"/>
    <w:rsid w:val="00E4170F"/>
    <w:rsid w:val="00E41712"/>
    <w:rsid w:val="00E419FF"/>
    <w:rsid w:val="00E41A63"/>
    <w:rsid w:val="00E4204B"/>
    <w:rsid w:val="00E420B4"/>
    <w:rsid w:val="00E422DE"/>
    <w:rsid w:val="00E425E9"/>
    <w:rsid w:val="00E42A98"/>
    <w:rsid w:val="00E42BF4"/>
    <w:rsid w:val="00E42D5C"/>
    <w:rsid w:val="00E42D9F"/>
    <w:rsid w:val="00E434A0"/>
    <w:rsid w:val="00E434B4"/>
    <w:rsid w:val="00E43804"/>
    <w:rsid w:val="00E43B15"/>
    <w:rsid w:val="00E43D6F"/>
    <w:rsid w:val="00E442AF"/>
    <w:rsid w:val="00E448C9"/>
    <w:rsid w:val="00E456F7"/>
    <w:rsid w:val="00E45954"/>
    <w:rsid w:val="00E459AF"/>
    <w:rsid w:val="00E45A3F"/>
    <w:rsid w:val="00E45BC8"/>
    <w:rsid w:val="00E4654F"/>
    <w:rsid w:val="00E465D3"/>
    <w:rsid w:val="00E466AF"/>
    <w:rsid w:val="00E467C9"/>
    <w:rsid w:val="00E469FD"/>
    <w:rsid w:val="00E46D6C"/>
    <w:rsid w:val="00E46FF8"/>
    <w:rsid w:val="00E47131"/>
    <w:rsid w:val="00E475E3"/>
    <w:rsid w:val="00E475FB"/>
    <w:rsid w:val="00E478DE"/>
    <w:rsid w:val="00E478F3"/>
    <w:rsid w:val="00E47FD7"/>
    <w:rsid w:val="00E5073D"/>
    <w:rsid w:val="00E5094A"/>
    <w:rsid w:val="00E50978"/>
    <w:rsid w:val="00E509AB"/>
    <w:rsid w:val="00E50C8D"/>
    <w:rsid w:val="00E50CC6"/>
    <w:rsid w:val="00E50DE9"/>
    <w:rsid w:val="00E515BF"/>
    <w:rsid w:val="00E52544"/>
    <w:rsid w:val="00E52796"/>
    <w:rsid w:val="00E52AAE"/>
    <w:rsid w:val="00E52D50"/>
    <w:rsid w:val="00E52F5C"/>
    <w:rsid w:val="00E532CF"/>
    <w:rsid w:val="00E53405"/>
    <w:rsid w:val="00E535E0"/>
    <w:rsid w:val="00E53B8C"/>
    <w:rsid w:val="00E53E48"/>
    <w:rsid w:val="00E53EF2"/>
    <w:rsid w:val="00E54763"/>
    <w:rsid w:val="00E551A3"/>
    <w:rsid w:val="00E55330"/>
    <w:rsid w:val="00E5578A"/>
    <w:rsid w:val="00E55831"/>
    <w:rsid w:val="00E55CC3"/>
    <w:rsid w:val="00E56248"/>
    <w:rsid w:val="00E5624D"/>
    <w:rsid w:val="00E56621"/>
    <w:rsid w:val="00E56654"/>
    <w:rsid w:val="00E56ADC"/>
    <w:rsid w:val="00E57300"/>
    <w:rsid w:val="00E57463"/>
    <w:rsid w:val="00E57AB4"/>
    <w:rsid w:val="00E57C48"/>
    <w:rsid w:val="00E57F9F"/>
    <w:rsid w:val="00E603B2"/>
    <w:rsid w:val="00E604BD"/>
    <w:rsid w:val="00E608DF"/>
    <w:rsid w:val="00E60B76"/>
    <w:rsid w:val="00E60B89"/>
    <w:rsid w:val="00E60B8E"/>
    <w:rsid w:val="00E6146B"/>
    <w:rsid w:val="00E61655"/>
    <w:rsid w:val="00E61938"/>
    <w:rsid w:val="00E61ABF"/>
    <w:rsid w:val="00E61E58"/>
    <w:rsid w:val="00E622C3"/>
    <w:rsid w:val="00E625F2"/>
    <w:rsid w:val="00E62731"/>
    <w:rsid w:val="00E62BF3"/>
    <w:rsid w:val="00E62D05"/>
    <w:rsid w:val="00E62F69"/>
    <w:rsid w:val="00E63293"/>
    <w:rsid w:val="00E63608"/>
    <w:rsid w:val="00E637AE"/>
    <w:rsid w:val="00E63AFE"/>
    <w:rsid w:val="00E63BF8"/>
    <w:rsid w:val="00E6406C"/>
    <w:rsid w:val="00E640D6"/>
    <w:rsid w:val="00E6423F"/>
    <w:rsid w:val="00E645FD"/>
    <w:rsid w:val="00E648C4"/>
    <w:rsid w:val="00E64A4B"/>
    <w:rsid w:val="00E64AEF"/>
    <w:rsid w:val="00E65512"/>
    <w:rsid w:val="00E6555D"/>
    <w:rsid w:val="00E6637A"/>
    <w:rsid w:val="00E6658A"/>
    <w:rsid w:val="00E668A2"/>
    <w:rsid w:val="00E668F3"/>
    <w:rsid w:val="00E66BDA"/>
    <w:rsid w:val="00E66C97"/>
    <w:rsid w:val="00E670A9"/>
    <w:rsid w:val="00E6711D"/>
    <w:rsid w:val="00E671CC"/>
    <w:rsid w:val="00E671EB"/>
    <w:rsid w:val="00E6769E"/>
    <w:rsid w:val="00E677ED"/>
    <w:rsid w:val="00E67AFE"/>
    <w:rsid w:val="00E70269"/>
    <w:rsid w:val="00E7065B"/>
    <w:rsid w:val="00E7083D"/>
    <w:rsid w:val="00E708DB"/>
    <w:rsid w:val="00E70962"/>
    <w:rsid w:val="00E709B2"/>
    <w:rsid w:val="00E70AE7"/>
    <w:rsid w:val="00E70B38"/>
    <w:rsid w:val="00E70D74"/>
    <w:rsid w:val="00E710E6"/>
    <w:rsid w:val="00E71514"/>
    <w:rsid w:val="00E71517"/>
    <w:rsid w:val="00E715DA"/>
    <w:rsid w:val="00E71CC0"/>
    <w:rsid w:val="00E71E22"/>
    <w:rsid w:val="00E721BE"/>
    <w:rsid w:val="00E72207"/>
    <w:rsid w:val="00E722D7"/>
    <w:rsid w:val="00E72FC4"/>
    <w:rsid w:val="00E730BD"/>
    <w:rsid w:val="00E731F5"/>
    <w:rsid w:val="00E735AC"/>
    <w:rsid w:val="00E73AED"/>
    <w:rsid w:val="00E73B90"/>
    <w:rsid w:val="00E73EA6"/>
    <w:rsid w:val="00E742A8"/>
    <w:rsid w:val="00E7488B"/>
    <w:rsid w:val="00E748DB"/>
    <w:rsid w:val="00E74B7F"/>
    <w:rsid w:val="00E74D0E"/>
    <w:rsid w:val="00E74EC6"/>
    <w:rsid w:val="00E74F6A"/>
    <w:rsid w:val="00E7514B"/>
    <w:rsid w:val="00E751A6"/>
    <w:rsid w:val="00E751F9"/>
    <w:rsid w:val="00E7541C"/>
    <w:rsid w:val="00E75CCB"/>
    <w:rsid w:val="00E75DD2"/>
    <w:rsid w:val="00E75F7F"/>
    <w:rsid w:val="00E76303"/>
    <w:rsid w:val="00E765C6"/>
    <w:rsid w:val="00E77322"/>
    <w:rsid w:val="00E77636"/>
    <w:rsid w:val="00E77B89"/>
    <w:rsid w:val="00E8003C"/>
    <w:rsid w:val="00E80132"/>
    <w:rsid w:val="00E805F5"/>
    <w:rsid w:val="00E8093B"/>
    <w:rsid w:val="00E809A1"/>
    <w:rsid w:val="00E80AFE"/>
    <w:rsid w:val="00E80B57"/>
    <w:rsid w:val="00E80F0F"/>
    <w:rsid w:val="00E817F2"/>
    <w:rsid w:val="00E8186C"/>
    <w:rsid w:val="00E819E8"/>
    <w:rsid w:val="00E81A2E"/>
    <w:rsid w:val="00E81A9F"/>
    <w:rsid w:val="00E81AB6"/>
    <w:rsid w:val="00E81CC3"/>
    <w:rsid w:val="00E82232"/>
    <w:rsid w:val="00E82642"/>
    <w:rsid w:val="00E82732"/>
    <w:rsid w:val="00E82926"/>
    <w:rsid w:val="00E82B33"/>
    <w:rsid w:val="00E82CF9"/>
    <w:rsid w:val="00E83179"/>
    <w:rsid w:val="00E831BF"/>
    <w:rsid w:val="00E835ED"/>
    <w:rsid w:val="00E836A0"/>
    <w:rsid w:val="00E838F1"/>
    <w:rsid w:val="00E83C75"/>
    <w:rsid w:val="00E83CC7"/>
    <w:rsid w:val="00E841CF"/>
    <w:rsid w:val="00E84261"/>
    <w:rsid w:val="00E846BA"/>
    <w:rsid w:val="00E84993"/>
    <w:rsid w:val="00E84D0C"/>
    <w:rsid w:val="00E8526D"/>
    <w:rsid w:val="00E8530B"/>
    <w:rsid w:val="00E85401"/>
    <w:rsid w:val="00E85BF6"/>
    <w:rsid w:val="00E85CF9"/>
    <w:rsid w:val="00E85F3F"/>
    <w:rsid w:val="00E85F57"/>
    <w:rsid w:val="00E86051"/>
    <w:rsid w:val="00E860DE"/>
    <w:rsid w:val="00E860E4"/>
    <w:rsid w:val="00E860FD"/>
    <w:rsid w:val="00E861AE"/>
    <w:rsid w:val="00E8621C"/>
    <w:rsid w:val="00E86512"/>
    <w:rsid w:val="00E869E0"/>
    <w:rsid w:val="00E86DBB"/>
    <w:rsid w:val="00E86F86"/>
    <w:rsid w:val="00E87740"/>
    <w:rsid w:val="00E87939"/>
    <w:rsid w:val="00E879D6"/>
    <w:rsid w:val="00E87AFF"/>
    <w:rsid w:val="00E87C5C"/>
    <w:rsid w:val="00E87D11"/>
    <w:rsid w:val="00E87E17"/>
    <w:rsid w:val="00E87E5B"/>
    <w:rsid w:val="00E90119"/>
    <w:rsid w:val="00E9028B"/>
    <w:rsid w:val="00E904CA"/>
    <w:rsid w:val="00E907FF"/>
    <w:rsid w:val="00E908C3"/>
    <w:rsid w:val="00E90D1B"/>
    <w:rsid w:val="00E921D5"/>
    <w:rsid w:val="00E927C4"/>
    <w:rsid w:val="00E92988"/>
    <w:rsid w:val="00E92AEC"/>
    <w:rsid w:val="00E92D48"/>
    <w:rsid w:val="00E92E4B"/>
    <w:rsid w:val="00E92EF3"/>
    <w:rsid w:val="00E930D1"/>
    <w:rsid w:val="00E9322F"/>
    <w:rsid w:val="00E935AB"/>
    <w:rsid w:val="00E9363D"/>
    <w:rsid w:val="00E9367D"/>
    <w:rsid w:val="00E9385D"/>
    <w:rsid w:val="00E93A19"/>
    <w:rsid w:val="00E93C62"/>
    <w:rsid w:val="00E93F0F"/>
    <w:rsid w:val="00E93F6C"/>
    <w:rsid w:val="00E93F98"/>
    <w:rsid w:val="00E94189"/>
    <w:rsid w:val="00E942AF"/>
    <w:rsid w:val="00E94303"/>
    <w:rsid w:val="00E94360"/>
    <w:rsid w:val="00E94389"/>
    <w:rsid w:val="00E94392"/>
    <w:rsid w:val="00E94652"/>
    <w:rsid w:val="00E947CE"/>
    <w:rsid w:val="00E94931"/>
    <w:rsid w:val="00E94A59"/>
    <w:rsid w:val="00E94A6C"/>
    <w:rsid w:val="00E94A75"/>
    <w:rsid w:val="00E94F0E"/>
    <w:rsid w:val="00E94FA4"/>
    <w:rsid w:val="00E950B0"/>
    <w:rsid w:val="00E95348"/>
    <w:rsid w:val="00E95537"/>
    <w:rsid w:val="00E9566C"/>
    <w:rsid w:val="00E956B0"/>
    <w:rsid w:val="00E95910"/>
    <w:rsid w:val="00E9595D"/>
    <w:rsid w:val="00E95A3F"/>
    <w:rsid w:val="00E95B24"/>
    <w:rsid w:val="00E95CD3"/>
    <w:rsid w:val="00E95FF6"/>
    <w:rsid w:val="00E96227"/>
    <w:rsid w:val="00E96349"/>
    <w:rsid w:val="00E9637F"/>
    <w:rsid w:val="00E96419"/>
    <w:rsid w:val="00E96493"/>
    <w:rsid w:val="00E966A0"/>
    <w:rsid w:val="00E96940"/>
    <w:rsid w:val="00E96CEA"/>
    <w:rsid w:val="00E96D11"/>
    <w:rsid w:val="00E973AF"/>
    <w:rsid w:val="00E97457"/>
    <w:rsid w:val="00E9794E"/>
    <w:rsid w:val="00E979B5"/>
    <w:rsid w:val="00E97CA1"/>
    <w:rsid w:val="00EA0065"/>
    <w:rsid w:val="00EA02E4"/>
    <w:rsid w:val="00EA0486"/>
    <w:rsid w:val="00EA09C4"/>
    <w:rsid w:val="00EA0C0A"/>
    <w:rsid w:val="00EA12D9"/>
    <w:rsid w:val="00EA1327"/>
    <w:rsid w:val="00EA15D1"/>
    <w:rsid w:val="00EA15EB"/>
    <w:rsid w:val="00EA19E6"/>
    <w:rsid w:val="00EA19F9"/>
    <w:rsid w:val="00EA20C5"/>
    <w:rsid w:val="00EA2304"/>
    <w:rsid w:val="00EA28C6"/>
    <w:rsid w:val="00EA28E0"/>
    <w:rsid w:val="00EA2BD9"/>
    <w:rsid w:val="00EA31F8"/>
    <w:rsid w:val="00EA3D0C"/>
    <w:rsid w:val="00EA42A2"/>
    <w:rsid w:val="00EA4308"/>
    <w:rsid w:val="00EA47EB"/>
    <w:rsid w:val="00EA4831"/>
    <w:rsid w:val="00EA490B"/>
    <w:rsid w:val="00EA4C80"/>
    <w:rsid w:val="00EA50D5"/>
    <w:rsid w:val="00EA5175"/>
    <w:rsid w:val="00EA51AF"/>
    <w:rsid w:val="00EA52C8"/>
    <w:rsid w:val="00EA5671"/>
    <w:rsid w:val="00EA60C8"/>
    <w:rsid w:val="00EA6196"/>
    <w:rsid w:val="00EA61EB"/>
    <w:rsid w:val="00EA63A8"/>
    <w:rsid w:val="00EA6481"/>
    <w:rsid w:val="00EA70F2"/>
    <w:rsid w:val="00EA7262"/>
    <w:rsid w:val="00EA77DB"/>
    <w:rsid w:val="00EA7855"/>
    <w:rsid w:val="00EA7FDA"/>
    <w:rsid w:val="00EB0567"/>
    <w:rsid w:val="00EB0C5F"/>
    <w:rsid w:val="00EB0C67"/>
    <w:rsid w:val="00EB0CAD"/>
    <w:rsid w:val="00EB0D99"/>
    <w:rsid w:val="00EB0E21"/>
    <w:rsid w:val="00EB12DF"/>
    <w:rsid w:val="00EB1316"/>
    <w:rsid w:val="00EB13C7"/>
    <w:rsid w:val="00EB15FF"/>
    <w:rsid w:val="00EB1613"/>
    <w:rsid w:val="00EB1619"/>
    <w:rsid w:val="00EB1687"/>
    <w:rsid w:val="00EB1AF8"/>
    <w:rsid w:val="00EB22BD"/>
    <w:rsid w:val="00EB2665"/>
    <w:rsid w:val="00EB2784"/>
    <w:rsid w:val="00EB2F4B"/>
    <w:rsid w:val="00EB3259"/>
    <w:rsid w:val="00EB3310"/>
    <w:rsid w:val="00EB3801"/>
    <w:rsid w:val="00EB3900"/>
    <w:rsid w:val="00EB3B0D"/>
    <w:rsid w:val="00EB3C72"/>
    <w:rsid w:val="00EB452E"/>
    <w:rsid w:val="00EB4572"/>
    <w:rsid w:val="00EB4C8B"/>
    <w:rsid w:val="00EB4E1C"/>
    <w:rsid w:val="00EB574B"/>
    <w:rsid w:val="00EB59CB"/>
    <w:rsid w:val="00EB5C07"/>
    <w:rsid w:val="00EB5DBD"/>
    <w:rsid w:val="00EB5DD4"/>
    <w:rsid w:val="00EB6063"/>
    <w:rsid w:val="00EB6473"/>
    <w:rsid w:val="00EB6760"/>
    <w:rsid w:val="00EB6A25"/>
    <w:rsid w:val="00EB6A35"/>
    <w:rsid w:val="00EB6A98"/>
    <w:rsid w:val="00EB6D1E"/>
    <w:rsid w:val="00EB6E30"/>
    <w:rsid w:val="00EB6E50"/>
    <w:rsid w:val="00EB6FAE"/>
    <w:rsid w:val="00EB7277"/>
    <w:rsid w:val="00EB77E5"/>
    <w:rsid w:val="00EB7BB6"/>
    <w:rsid w:val="00EB7FFE"/>
    <w:rsid w:val="00EC02E7"/>
    <w:rsid w:val="00EC02E8"/>
    <w:rsid w:val="00EC0542"/>
    <w:rsid w:val="00EC056F"/>
    <w:rsid w:val="00EC0B1B"/>
    <w:rsid w:val="00EC0B9B"/>
    <w:rsid w:val="00EC1027"/>
    <w:rsid w:val="00EC1257"/>
    <w:rsid w:val="00EC22C1"/>
    <w:rsid w:val="00EC25F6"/>
    <w:rsid w:val="00EC287D"/>
    <w:rsid w:val="00EC2A6B"/>
    <w:rsid w:val="00EC2BE4"/>
    <w:rsid w:val="00EC2CD9"/>
    <w:rsid w:val="00EC2F6C"/>
    <w:rsid w:val="00EC3021"/>
    <w:rsid w:val="00EC33ED"/>
    <w:rsid w:val="00EC363D"/>
    <w:rsid w:val="00EC3D36"/>
    <w:rsid w:val="00EC44E0"/>
    <w:rsid w:val="00EC44F4"/>
    <w:rsid w:val="00EC4AD4"/>
    <w:rsid w:val="00EC4E48"/>
    <w:rsid w:val="00EC522F"/>
    <w:rsid w:val="00EC59B0"/>
    <w:rsid w:val="00EC5B0A"/>
    <w:rsid w:val="00EC5F0E"/>
    <w:rsid w:val="00EC60EF"/>
    <w:rsid w:val="00EC6256"/>
    <w:rsid w:val="00EC6C2C"/>
    <w:rsid w:val="00EC6DE8"/>
    <w:rsid w:val="00EC6F3A"/>
    <w:rsid w:val="00EC6FAC"/>
    <w:rsid w:val="00EC7212"/>
    <w:rsid w:val="00EC7304"/>
    <w:rsid w:val="00EC7366"/>
    <w:rsid w:val="00EC73DE"/>
    <w:rsid w:val="00EC756D"/>
    <w:rsid w:val="00EC756F"/>
    <w:rsid w:val="00EC7DA7"/>
    <w:rsid w:val="00ED0093"/>
    <w:rsid w:val="00ED03A2"/>
    <w:rsid w:val="00ED0C20"/>
    <w:rsid w:val="00ED12F8"/>
    <w:rsid w:val="00ED13E9"/>
    <w:rsid w:val="00ED1BD8"/>
    <w:rsid w:val="00ED1C38"/>
    <w:rsid w:val="00ED204D"/>
    <w:rsid w:val="00ED246D"/>
    <w:rsid w:val="00ED260C"/>
    <w:rsid w:val="00ED28A3"/>
    <w:rsid w:val="00ED28D0"/>
    <w:rsid w:val="00ED2C21"/>
    <w:rsid w:val="00ED2EB8"/>
    <w:rsid w:val="00ED3040"/>
    <w:rsid w:val="00ED35D3"/>
    <w:rsid w:val="00ED3607"/>
    <w:rsid w:val="00ED3BB5"/>
    <w:rsid w:val="00ED3C26"/>
    <w:rsid w:val="00ED40E2"/>
    <w:rsid w:val="00ED4598"/>
    <w:rsid w:val="00ED4616"/>
    <w:rsid w:val="00ED4897"/>
    <w:rsid w:val="00ED4A06"/>
    <w:rsid w:val="00ED5298"/>
    <w:rsid w:val="00ED5709"/>
    <w:rsid w:val="00ED5785"/>
    <w:rsid w:val="00ED57C6"/>
    <w:rsid w:val="00ED5847"/>
    <w:rsid w:val="00ED59F3"/>
    <w:rsid w:val="00ED5B01"/>
    <w:rsid w:val="00ED5B75"/>
    <w:rsid w:val="00ED5BC2"/>
    <w:rsid w:val="00ED5CAA"/>
    <w:rsid w:val="00ED61C5"/>
    <w:rsid w:val="00ED6A25"/>
    <w:rsid w:val="00ED6C7D"/>
    <w:rsid w:val="00ED6E33"/>
    <w:rsid w:val="00ED6FFF"/>
    <w:rsid w:val="00ED732E"/>
    <w:rsid w:val="00ED7806"/>
    <w:rsid w:val="00ED79CC"/>
    <w:rsid w:val="00ED7F2A"/>
    <w:rsid w:val="00EE01EB"/>
    <w:rsid w:val="00EE07AF"/>
    <w:rsid w:val="00EE0935"/>
    <w:rsid w:val="00EE0CCE"/>
    <w:rsid w:val="00EE0EAF"/>
    <w:rsid w:val="00EE1152"/>
    <w:rsid w:val="00EE1310"/>
    <w:rsid w:val="00EE14A5"/>
    <w:rsid w:val="00EE173C"/>
    <w:rsid w:val="00EE21BC"/>
    <w:rsid w:val="00EE2B26"/>
    <w:rsid w:val="00EE2B5B"/>
    <w:rsid w:val="00EE2EAA"/>
    <w:rsid w:val="00EE2FA5"/>
    <w:rsid w:val="00EE30EA"/>
    <w:rsid w:val="00EE35D9"/>
    <w:rsid w:val="00EE3A6C"/>
    <w:rsid w:val="00EE3AB7"/>
    <w:rsid w:val="00EE3D39"/>
    <w:rsid w:val="00EE49CF"/>
    <w:rsid w:val="00EE4BE8"/>
    <w:rsid w:val="00EE4C49"/>
    <w:rsid w:val="00EE5199"/>
    <w:rsid w:val="00EE52BE"/>
    <w:rsid w:val="00EE54C4"/>
    <w:rsid w:val="00EE5A77"/>
    <w:rsid w:val="00EE678D"/>
    <w:rsid w:val="00EE68F1"/>
    <w:rsid w:val="00EE6A3D"/>
    <w:rsid w:val="00EE6C58"/>
    <w:rsid w:val="00EE6E8B"/>
    <w:rsid w:val="00EE7771"/>
    <w:rsid w:val="00EE7C5A"/>
    <w:rsid w:val="00EE7D24"/>
    <w:rsid w:val="00EF08DD"/>
    <w:rsid w:val="00EF095C"/>
    <w:rsid w:val="00EF098F"/>
    <w:rsid w:val="00EF09CA"/>
    <w:rsid w:val="00EF0C51"/>
    <w:rsid w:val="00EF0D1E"/>
    <w:rsid w:val="00EF112A"/>
    <w:rsid w:val="00EF1416"/>
    <w:rsid w:val="00EF145B"/>
    <w:rsid w:val="00EF15E6"/>
    <w:rsid w:val="00EF16F3"/>
    <w:rsid w:val="00EF1700"/>
    <w:rsid w:val="00EF2185"/>
    <w:rsid w:val="00EF2351"/>
    <w:rsid w:val="00EF268C"/>
    <w:rsid w:val="00EF2D52"/>
    <w:rsid w:val="00EF2EA4"/>
    <w:rsid w:val="00EF2FF6"/>
    <w:rsid w:val="00EF304E"/>
    <w:rsid w:val="00EF35AF"/>
    <w:rsid w:val="00EF375F"/>
    <w:rsid w:val="00EF3B62"/>
    <w:rsid w:val="00EF3C51"/>
    <w:rsid w:val="00EF3D74"/>
    <w:rsid w:val="00EF3E3A"/>
    <w:rsid w:val="00EF41DC"/>
    <w:rsid w:val="00EF4230"/>
    <w:rsid w:val="00EF442D"/>
    <w:rsid w:val="00EF4A14"/>
    <w:rsid w:val="00EF4A38"/>
    <w:rsid w:val="00EF4B80"/>
    <w:rsid w:val="00EF4EDC"/>
    <w:rsid w:val="00EF4F8C"/>
    <w:rsid w:val="00EF4FA7"/>
    <w:rsid w:val="00EF500A"/>
    <w:rsid w:val="00EF5471"/>
    <w:rsid w:val="00EF5906"/>
    <w:rsid w:val="00EF59DF"/>
    <w:rsid w:val="00EF5F7C"/>
    <w:rsid w:val="00EF63B6"/>
    <w:rsid w:val="00EF64EE"/>
    <w:rsid w:val="00EF690B"/>
    <w:rsid w:val="00EF693A"/>
    <w:rsid w:val="00EF6BD9"/>
    <w:rsid w:val="00EF6D1C"/>
    <w:rsid w:val="00EF767E"/>
    <w:rsid w:val="00EF77A8"/>
    <w:rsid w:val="00EF783F"/>
    <w:rsid w:val="00EF7AF5"/>
    <w:rsid w:val="00EF7B31"/>
    <w:rsid w:val="00EF7D59"/>
    <w:rsid w:val="00F001AE"/>
    <w:rsid w:val="00F002A0"/>
    <w:rsid w:val="00F006EC"/>
    <w:rsid w:val="00F009DB"/>
    <w:rsid w:val="00F00A82"/>
    <w:rsid w:val="00F00E09"/>
    <w:rsid w:val="00F01423"/>
    <w:rsid w:val="00F016E1"/>
    <w:rsid w:val="00F01A4F"/>
    <w:rsid w:val="00F01BC8"/>
    <w:rsid w:val="00F01C26"/>
    <w:rsid w:val="00F020D3"/>
    <w:rsid w:val="00F021DF"/>
    <w:rsid w:val="00F02245"/>
    <w:rsid w:val="00F028D8"/>
    <w:rsid w:val="00F02D56"/>
    <w:rsid w:val="00F0303C"/>
    <w:rsid w:val="00F03658"/>
    <w:rsid w:val="00F045B1"/>
    <w:rsid w:val="00F04838"/>
    <w:rsid w:val="00F04BCB"/>
    <w:rsid w:val="00F04CD9"/>
    <w:rsid w:val="00F050CF"/>
    <w:rsid w:val="00F05139"/>
    <w:rsid w:val="00F05176"/>
    <w:rsid w:val="00F0587F"/>
    <w:rsid w:val="00F05B53"/>
    <w:rsid w:val="00F05F9A"/>
    <w:rsid w:val="00F063A8"/>
    <w:rsid w:val="00F068B7"/>
    <w:rsid w:val="00F06AE7"/>
    <w:rsid w:val="00F0752D"/>
    <w:rsid w:val="00F07724"/>
    <w:rsid w:val="00F07DB0"/>
    <w:rsid w:val="00F07DE6"/>
    <w:rsid w:val="00F1015B"/>
    <w:rsid w:val="00F1091E"/>
    <w:rsid w:val="00F10BE3"/>
    <w:rsid w:val="00F1113F"/>
    <w:rsid w:val="00F11264"/>
    <w:rsid w:val="00F11789"/>
    <w:rsid w:val="00F11F72"/>
    <w:rsid w:val="00F12376"/>
    <w:rsid w:val="00F123D0"/>
    <w:rsid w:val="00F128E0"/>
    <w:rsid w:val="00F129DF"/>
    <w:rsid w:val="00F12C61"/>
    <w:rsid w:val="00F12DA0"/>
    <w:rsid w:val="00F133D8"/>
    <w:rsid w:val="00F1353F"/>
    <w:rsid w:val="00F13B1A"/>
    <w:rsid w:val="00F13EDB"/>
    <w:rsid w:val="00F13FB1"/>
    <w:rsid w:val="00F144EA"/>
    <w:rsid w:val="00F145B5"/>
    <w:rsid w:val="00F1463B"/>
    <w:rsid w:val="00F14646"/>
    <w:rsid w:val="00F14763"/>
    <w:rsid w:val="00F14BBF"/>
    <w:rsid w:val="00F14E42"/>
    <w:rsid w:val="00F14F50"/>
    <w:rsid w:val="00F156F6"/>
    <w:rsid w:val="00F15C9B"/>
    <w:rsid w:val="00F164B2"/>
    <w:rsid w:val="00F1683F"/>
    <w:rsid w:val="00F1687B"/>
    <w:rsid w:val="00F16974"/>
    <w:rsid w:val="00F16A52"/>
    <w:rsid w:val="00F16E7E"/>
    <w:rsid w:val="00F173FB"/>
    <w:rsid w:val="00F17430"/>
    <w:rsid w:val="00F1775A"/>
    <w:rsid w:val="00F179B5"/>
    <w:rsid w:val="00F17B86"/>
    <w:rsid w:val="00F17C0F"/>
    <w:rsid w:val="00F207B0"/>
    <w:rsid w:val="00F20A76"/>
    <w:rsid w:val="00F20BFE"/>
    <w:rsid w:val="00F21204"/>
    <w:rsid w:val="00F213C4"/>
    <w:rsid w:val="00F21580"/>
    <w:rsid w:val="00F215F3"/>
    <w:rsid w:val="00F21A53"/>
    <w:rsid w:val="00F21AD1"/>
    <w:rsid w:val="00F21E3A"/>
    <w:rsid w:val="00F21E45"/>
    <w:rsid w:val="00F228D1"/>
    <w:rsid w:val="00F22B53"/>
    <w:rsid w:val="00F22B64"/>
    <w:rsid w:val="00F22C51"/>
    <w:rsid w:val="00F22C90"/>
    <w:rsid w:val="00F22D05"/>
    <w:rsid w:val="00F232CB"/>
    <w:rsid w:val="00F23350"/>
    <w:rsid w:val="00F234BA"/>
    <w:rsid w:val="00F237DB"/>
    <w:rsid w:val="00F23962"/>
    <w:rsid w:val="00F23BA6"/>
    <w:rsid w:val="00F23DFB"/>
    <w:rsid w:val="00F2442E"/>
    <w:rsid w:val="00F2448C"/>
    <w:rsid w:val="00F245A0"/>
    <w:rsid w:val="00F24668"/>
    <w:rsid w:val="00F24A06"/>
    <w:rsid w:val="00F24ADF"/>
    <w:rsid w:val="00F24D50"/>
    <w:rsid w:val="00F24D75"/>
    <w:rsid w:val="00F24F5B"/>
    <w:rsid w:val="00F24F88"/>
    <w:rsid w:val="00F256B9"/>
    <w:rsid w:val="00F256FF"/>
    <w:rsid w:val="00F25927"/>
    <w:rsid w:val="00F25999"/>
    <w:rsid w:val="00F25A60"/>
    <w:rsid w:val="00F2605F"/>
    <w:rsid w:val="00F260A7"/>
    <w:rsid w:val="00F264B3"/>
    <w:rsid w:val="00F26BAE"/>
    <w:rsid w:val="00F26DA9"/>
    <w:rsid w:val="00F26DE3"/>
    <w:rsid w:val="00F27394"/>
    <w:rsid w:val="00F27460"/>
    <w:rsid w:val="00F275AD"/>
    <w:rsid w:val="00F278E9"/>
    <w:rsid w:val="00F27BC1"/>
    <w:rsid w:val="00F27BD6"/>
    <w:rsid w:val="00F27BDC"/>
    <w:rsid w:val="00F27ED5"/>
    <w:rsid w:val="00F27F76"/>
    <w:rsid w:val="00F3012C"/>
    <w:rsid w:val="00F302CF"/>
    <w:rsid w:val="00F30470"/>
    <w:rsid w:val="00F304BD"/>
    <w:rsid w:val="00F306DA"/>
    <w:rsid w:val="00F3087A"/>
    <w:rsid w:val="00F3089C"/>
    <w:rsid w:val="00F30925"/>
    <w:rsid w:val="00F30B71"/>
    <w:rsid w:val="00F30E78"/>
    <w:rsid w:val="00F3121B"/>
    <w:rsid w:val="00F31BAF"/>
    <w:rsid w:val="00F31BB9"/>
    <w:rsid w:val="00F31C30"/>
    <w:rsid w:val="00F31D52"/>
    <w:rsid w:val="00F32134"/>
    <w:rsid w:val="00F32279"/>
    <w:rsid w:val="00F32299"/>
    <w:rsid w:val="00F32D2C"/>
    <w:rsid w:val="00F32D5A"/>
    <w:rsid w:val="00F32FED"/>
    <w:rsid w:val="00F331F3"/>
    <w:rsid w:val="00F33491"/>
    <w:rsid w:val="00F33704"/>
    <w:rsid w:val="00F3400C"/>
    <w:rsid w:val="00F346D8"/>
    <w:rsid w:val="00F34810"/>
    <w:rsid w:val="00F34E5D"/>
    <w:rsid w:val="00F34ED5"/>
    <w:rsid w:val="00F350B2"/>
    <w:rsid w:val="00F35294"/>
    <w:rsid w:val="00F35400"/>
    <w:rsid w:val="00F3552B"/>
    <w:rsid w:val="00F358BE"/>
    <w:rsid w:val="00F35B6B"/>
    <w:rsid w:val="00F35C13"/>
    <w:rsid w:val="00F35F04"/>
    <w:rsid w:val="00F35F33"/>
    <w:rsid w:val="00F360E6"/>
    <w:rsid w:val="00F36151"/>
    <w:rsid w:val="00F361A4"/>
    <w:rsid w:val="00F36227"/>
    <w:rsid w:val="00F36314"/>
    <w:rsid w:val="00F365CE"/>
    <w:rsid w:val="00F36C80"/>
    <w:rsid w:val="00F36F99"/>
    <w:rsid w:val="00F37041"/>
    <w:rsid w:val="00F37434"/>
    <w:rsid w:val="00F375B5"/>
    <w:rsid w:val="00F37679"/>
    <w:rsid w:val="00F37756"/>
    <w:rsid w:val="00F40478"/>
    <w:rsid w:val="00F4082E"/>
    <w:rsid w:val="00F40A40"/>
    <w:rsid w:val="00F40A5C"/>
    <w:rsid w:val="00F40D1E"/>
    <w:rsid w:val="00F4118D"/>
    <w:rsid w:val="00F41228"/>
    <w:rsid w:val="00F4157C"/>
    <w:rsid w:val="00F41615"/>
    <w:rsid w:val="00F42082"/>
    <w:rsid w:val="00F42769"/>
    <w:rsid w:val="00F42BE0"/>
    <w:rsid w:val="00F42CAC"/>
    <w:rsid w:val="00F4303B"/>
    <w:rsid w:val="00F433E7"/>
    <w:rsid w:val="00F437AB"/>
    <w:rsid w:val="00F439BB"/>
    <w:rsid w:val="00F43D4F"/>
    <w:rsid w:val="00F44A31"/>
    <w:rsid w:val="00F4517F"/>
    <w:rsid w:val="00F4528A"/>
    <w:rsid w:val="00F452AD"/>
    <w:rsid w:val="00F45525"/>
    <w:rsid w:val="00F4567B"/>
    <w:rsid w:val="00F456CD"/>
    <w:rsid w:val="00F459CF"/>
    <w:rsid w:val="00F45DD2"/>
    <w:rsid w:val="00F4642B"/>
    <w:rsid w:val="00F469EA"/>
    <w:rsid w:val="00F46ACC"/>
    <w:rsid w:val="00F46D06"/>
    <w:rsid w:val="00F46F9E"/>
    <w:rsid w:val="00F473E3"/>
    <w:rsid w:val="00F474E9"/>
    <w:rsid w:val="00F476DA"/>
    <w:rsid w:val="00F47B11"/>
    <w:rsid w:val="00F47BDF"/>
    <w:rsid w:val="00F47CC0"/>
    <w:rsid w:val="00F47DFF"/>
    <w:rsid w:val="00F47F2B"/>
    <w:rsid w:val="00F50453"/>
    <w:rsid w:val="00F506E2"/>
    <w:rsid w:val="00F50A2E"/>
    <w:rsid w:val="00F50BF5"/>
    <w:rsid w:val="00F50C83"/>
    <w:rsid w:val="00F50EA5"/>
    <w:rsid w:val="00F513E5"/>
    <w:rsid w:val="00F5143C"/>
    <w:rsid w:val="00F51869"/>
    <w:rsid w:val="00F518F1"/>
    <w:rsid w:val="00F51958"/>
    <w:rsid w:val="00F519A4"/>
    <w:rsid w:val="00F51BA8"/>
    <w:rsid w:val="00F51DD5"/>
    <w:rsid w:val="00F51F86"/>
    <w:rsid w:val="00F520A0"/>
    <w:rsid w:val="00F520DA"/>
    <w:rsid w:val="00F52116"/>
    <w:rsid w:val="00F52158"/>
    <w:rsid w:val="00F521A5"/>
    <w:rsid w:val="00F523BB"/>
    <w:rsid w:val="00F523EE"/>
    <w:rsid w:val="00F5272F"/>
    <w:rsid w:val="00F52A9C"/>
    <w:rsid w:val="00F52ADF"/>
    <w:rsid w:val="00F52AF3"/>
    <w:rsid w:val="00F52C64"/>
    <w:rsid w:val="00F5301E"/>
    <w:rsid w:val="00F530E8"/>
    <w:rsid w:val="00F5336C"/>
    <w:rsid w:val="00F533E0"/>
    <w:rsid w:val="00F534A2"/>
    <w:rsid w:val="00F53671"/>
    <w:rsid w:val="00F53776"/>
    <w:rsid w:val="00F538E9"/>
    <w:rsid w:val="00F53FA1"/>
    <w:rsid w:val="00F53FA3"/>
    <w:rsid w:val="00F54056"/>
    <w:rsid w:val="00F54187"/>
    <w:rsid w:val="00F5420E"/>
    <w:rsid w:val="00F5446D"/>
    <w:rsid w:val="00F54B06"/>
    <w:rsid w:val="00F55493"/>
    <w:rsid w:val="00F5587F"/>
    <w:rsid w:val="00F55980"/>
    <w:rsid w:val="00F55D5A"/>
    <w:rsid w:val="00F55D5C"/>
    <w:rsid w:val="00F55DC8"/>
    <w:rsid w:val="00F567ED"/>
    <w:rsid w:val="00F56CA0"/>
    <w:rsid w:val="00F56DF4"/>
    <w:rsid w:val="00F56E7D"/>
    <w:rsid w:val="00F56F39"/>
    <w:rsid w:val="00F56FB7"/>
    <w:rsid w:val="00F56FC2"/>
    <w:rsid w:val="00F570BC"/>
    <w:rsid w:val="00F574DC"/>
    <w:rsid w:val="00F57B64"/>
    <w:rsid w:val="00F57C7B"/>
    <w:rsid w:val="00F57F32"/>
    <w:rsid w:val="00F60712"/>
    <w:rsid w:val="00F607FD"/>
    <w:rsid w:val="00F60884"/>
    <w:rsid w:val="00F60DE9"/>
    <w:rsid w:val="00F61026"/>
    <w:rsid w:val="00F61335"/>
    <w:rsid w:val="00F61BF4"/>
    <w:rsid w:val="00F61C2E"/>
    <w:rsid w:val="00F61C49"/>
    <w:rsid w:val="00F61FA3"/>
    <w:rsid w:val="00F61FB6"/>
    <w:rsid w:val="00F62161"/>
    <w:rsid w:val="00F622E3"/>
    <w:rsid w:val="00F625F8"/>
    <w:rsid w:val="00F627B0"/>
    <w:rsid w:val="00F62AB0"/>
    <w:rsid w:val="00F62B58"/>
    <w:rsid w:val="00F62C8F"/>
    <w:rsid w:val="00F63014"/>
    <w:rsid w:val="00F632C4"/>
    <w:rsid w:val="00F6340D"/>
    <w:rsid w:val="00F63BCD"/>
    <w:rsid w:val="00F63D71"/>
    <w:rsid w:val="00F63F50"/>
    <w:rsid w:val="00F64019"/>
    <w:rsid w:val="00F64080"/>
    <w:rsid w:val="00F64244"/>
    <w:rsid w:val="00F645A6"/>
    <w:rsid w:val="00F647D4"/>
    <w:rsid w:val="00F64855"/>
    <w:rsid w:val="00F648CF"/>
    <w:rsid w:val="00F64988"/>
    <w:rsid w:val="00F64B5C"/>
    <w:rsid w:val="00F64CD1"/>
    <w:rsid w:val="00F64F3B"/>
    <w:rsid w:val="00F6509D"/>
    <w:rsid w:val="00F66101"/>
    <w:rsid w:val="00F66713"/>
    <w:rsid w:val="00F668D7"/>
    <w:rsid w:val="00F66D4C"/>
    <w:rsid w:val="00F66F4B"/>
    <w:rsid w:val="00F67DE3"/>
    <w:rsid w:val="00F700AF"/>
    <w:rsid w:val="00F7023E"/>
    <w:rsid w:val="00F70BBC"/>
    <w:rsid w:val="00F70F95"/>
    <w:rsid w:val="00F710F3"/>
    <w:rsid w:val="00F711E4"/>
    <w:rsid w:val="00F71566"/>
    <w:rsid w:val="00F716C0"/>
    <w:rsid w:val="00F716F7"/>
    <w:rsid w:val="00F720A7"/>
    <w:rsid w:val="00F723E4"/>
    <w:rsid w:val="00F7266A"/>
    <w:rsid w:val="00F728F7"/>
    <w:rsid w:val="00F729D5"/>
    <w:rsid w:val="00F72D11"/>
    <w:rsid w:val="00F72DC5"/>
    <w:rsid w:val="00F72E10"/>
    <w:rsid w:val="00F73323"/>
    <w:rsid w:val="00F734DF"/>
    <w:rsid w:val="00F734E4"/>
    <w:rsid w:val="00F7351F"/>
    <w:rsid w:val="00F738DC"/>
    <w:rsid w:val="00F738DE"/>
    <w:rsid w:val="00F743B1"/>
    <w:rsid w:val="00F74403"/>
    <w:rsid w:val="00F74888"/>
    <w:rsid w:val="00F74A15"/>
    <w:rsid w:val="00F74A5D"/>
    <w:rsid w:val="00F75070"/>
    <w:rsid w:val="00F752D4"/>
    <w:rsid w:val="00F75331"/>
    <w:rsid w:val="00F755E4"/>
    <w:rsid w:val="00F756E5"/>
    <w:rsid w:val="00F7593C"/>
    <w:rsid w:val="00F75C9A"/>
    <w:rsid w:val="00F75FFD"/>
    <w:rsid w:val="00F76237"/>
    <w:rsid w:val="00F7667A"/>
    <w:rsid w:val="00F76A21"/>
    <w:rsid w:val="00F76B11"/>
    <w:rsid w:val="00F76BC1"/>
    <w:rsid w:val="00F76C5B"/>
    <w:rsid w:val="00F76EF9"/>
    <w:rsid w:val="00F77217"/>
    <w:rsid w:val="00F7749E"/>
    <w:rsid w:val="00F7750F"/>
    <w:rsid w:val="00F777FB"/>
    <w:rsid w:val="00F80268"/>
    <w:rsid w:val="00F8033D"/>
    <w:rsid w:val="00F805ED"/>
    <w:rsid w:val="00F808A0"/>
    <w:rsid w:val="00F80D94"/>
    <w:rsid w:val="00F80EDB"/>
    <w:rsid w:val="00F812C8"/>
    <w:rsid w:val="00F8154C"/>
    <w:rsid w:val="00F817B8"/>
    <w:rsid w:val="00F818BA"/>
    <w:rsid w:val="00F8193D"/>
    <w:rsid w:val="00F81946"/>
    <w:rsid w:val="00F81EA3"/>
    <w:rsid w:val="00F82115"/>
    <w:rsid w:val="00F82220"/>
    <w:rsid w:val="00F826FF"/>
    <w:rsid w:val="00F82929"/>
    <w:rsid w:val="00F82A11"/>
    <w:rsid w:val="00F82A39"/>
    <w:rsid w:val="00F82C56"/>
    <w:rsid w:val="00F82C71"/>
    <w:rsid w:val="00F82D9A"/>
    <w:rsid w:val="00F832E4"/>
    <w:rsid w:val="00F834BC"/>
    <w:rsid w:val="00F83AC6"/>
    <w:rsid w:val="00F83D82"/>
    <w:rsid w:val="00F841A9"/>
    <w:rsid w:val="00F84640"/>
    <w:rsid w:val="00F84A9B"/>
    <w:rsid w:val="00F84D51"/>
    <w:rsid w:val="00F84D77"/>
    <w:rsid w:val="00F850EA"/>
    <w:rsid w:val="00F852C2"/>
    <w:rsid w:val="00F8530F"/>
    <w:rsid w:val="00F8543A"/>
    <w:rsid w:val="00F854D3"/>
    <w:rsid w:val="00F85624"/>
    <w:rsid w:val="00F8582E"/>
    <w:rsid w:val="00F85902"/>
    <w:rsid w:val="00F8618A"/>
    <w:rsid w:val="00F86475"/>
    <w:rsid w:val="00F86548"/>
    <w:rsid w:val="00F86823"/>
    <w:rsid w:val="00F86AE7"/>
    <w:rsid w:val="00F8703F"/>
    <w:rsid w:val="00F8727A"/>
    <w:rsid w:val="00F8743E"/>
    <w:rsid w:val="00F8746B"/>
    <w:rsid w:val="00F8780A"/>
    <w:rsid w:val="00F87B45"/>
    <w:rsid w:val="00F87C10"/>
    <w:rsid w:val="00F87E31"/>
    <w:rsid w:val="00F87EFC"/>
    <w:rsid w:val="00F87F01"/>
    <w:rsid w:val="00F87F24"/>
    <w:rsid w:val="00F87F7C"/>
    <w:rsid w:val="00F87F95"/>
    <w:rsid w:val="00F905BC"/>
    <w:rsid w:val="00F905F9"/>
    <w:rsid w:val="00F90627"/>
    <w:rsid w:val="00F908B2"/>
    <w:rsid w:val="00F90F74"/>
    <w:rsid w:val="00F9123B"/>
    <w:rsid w:val="00F91770"/>
    <w:rsid w:val="00F9189F"/>
    <w:rsid w:val="00F92369"/>
    <w:rsid w:val="00F925E7"/>
    <w:rsid w:val="00F9271F"/>
    <w:rsid w:val="00F929E8"/>
    <w:rsid w:val="00F92D69"/>
    <w:rsid w:val="00F92FCF"/>
    <w:rsid w:val="00F931F2"/>
    <w:rsid w:val="00F934B3"/>
    <w:rsid w:val="00F93DD2"/>
    <w:rsid w:val="00F93EE0"/>
    <w:rsid w:val="00F94EE7"/>
    <w:rsid w:val="00F94F18"/>
    <w:rsid w:val="00F95466"/>
    <w:rsid w:val="00F95891"/>
    <w:rsid w:val="00F96171"/>
    <w:rsid w:val="00F96279"/>
    <w:rsid w:val="00F96E2F"/>
    <w:rsid w:val="00F96E7D"/>
    <w:rsid w:val="00F96ED5"/>
    <w:rsid w:val="00F975C1"/>
    <w:rsid w:val="00F97625"/>
    <w:rsid w:val="00F979B0"/>
    <w:rsid w:val="00F97BB8"/>
    <w:rsid w:val="00FA002D"/>
    <w:rsid w:val="00FA019E"/>
    <w:rsid w:val="00FA0839"/>
    <w:rsid w:val="00FA0D50"/>
    <w:rsid w:val="00FA0DEA"/>
    <w:rsid w:val="00FA143A"/>
    <w:rsid w:val="00FA1490"/>
    <w:rsid w:val="00FA17FD"/>
    <w:rsid w:val="00FA188D"/>
    <w:rsid w:val="00FA1F97"/>
    <w:rsid w:val="00FA2E95"/>
    <w:rsid w:val="00FA2F83"/>
    <w:rsid w:val="00FA2F9B"/>
    <w:rsid w:val="00FA33A8"/>
    <w:rsid w:val="00FA34BB"/>
    <w:rsid w:val="00FA3626"/>
    <w:rsid w:val="00FA3F5B"/>
    <w:rsid w:val="00FA3FA3"/>
    <w:rsid w:val="00FA3FB3"/>
    <w:rsid w:val="00FA3FF8"/>
    <w:rsid w:val="00FA45F1"/>
    <w:rsid w:val="00FA48AD"/>
    <w:rsid w:val="00FA4A28"/>
    <w:rsid w:val="00FA4B83"/>
    <w:rsid w:val="00FA4BB7"/>
    <w:rsid w:val="00FA4D2E"/>
    <w:rsid w:val="00FA4E74"/>
    <w:rsid w:val="00FA510B"/>
    <w:rsid w:val="00FA53E1"/>
    <w:rsid w:val="00FA55E4"/>
    <w:rsid w:val="00FA5927"/>
    <w:rsid w:val="00FA61E3"/>
    <w:rsid w:val="00FA6252"/>
    <w:rsid w:val="00FA65EE"/>
    <w:rsid w:val="00FA698C"/>
    <w:rsid w:val="00FA69BD"/>
    <w:rsid w:val="00FA6C6B"/>
    <w:rsid w:val="00FA7743"/>
    <w:rsid w:val="00FA779F"/>
    <w:rsid w:val="00FA7B75"/>
    <w:rsid w:val="00FA7BCD"/>
    <w:rsid w:val="00FA7E40"/>
    <w:rsid w:val="00FA7E77"/>
    <w:rsid w:val="00FB0255"/>
    <w:rsid w:val="00FB0484"/>
    <w:rsid w:val="00FB0486"/>
    <w:rsid w:val="00FB094A"/>
    <w:rsid w:val="00FB0A8F"/>
    <w:rsid w:val="00FB10EE"/>
    <w:rsid w:val="00FB1579"/>
    <w:rsid w:val="00FB1957"/>
    <w:rsid w:val="00FB1982"/>
    <w:rsid w:val="00FB19BD"/>
    <w:rsid w:val="00FB1C8C"/>
    <w:rsid w:val="00FB1CFF"/>
    <w:rsid w:val="00FB2B49"/>
    <w:rsid w:val="00FB2CA2"/>
    <w:rsid w:val="00FB2E5A"/>
    <w:rsid w:val="00FB2EA6"/>
    <w:rsid w:val="00FB3985"/>
    <w:rsid w:val="00FB39D6"/>
    <w:rsid w:val="00FB3EEE"/>
    <w:rsid w:val="00FB447F"/>
    <w:rsid w:val="00FB48E2"/>
    <w:rsid w:val="00FB492D"/>
    <w:rsid w:val="00FB4A9C"/>
    <w:rsid w:val="00FB4C68"/>
    <w:rsid w:val="00FB5447"/>
    <w:rsid w:val="00FB5748"/>
    <w:rsid w:val="00FB574A"/>
    <w:rsid w:val="00FB5952"/>
    <w:rsid w:val="00FB5BF5"/>
    <w:rsid w:val="00FB5C2A"/>
    <w:rsid w:val="00FB5CFC"/>
    <w:rsid w:val="00FB5DAC"/>
    <w:rsid w:val="00FB62FD"/>
    <w:rsid w:val="00FB6821"/>
    <w:rsid w:val="00FB689D"/>
    <w:rsid w:val="00FB6AE0"/>
    <w:rsid w:val="00FB703E"/>
    <w:rsid w:val="00FB7116"/>
    <w:rsid w:val="00FB75C5"/>
    <w:rsid w:val="00FB768C"/>
    <w:rsid w:val="00FB7B66"/>
    <w:rsid w:val="00FB7E05"/>
    <w:rsid w:val="00FC029E"/>
    <w:rsid w:val="00FC0913"/>
    <w:rsid w:val="00FC18A6"/>
    <w:rsid w:val="00FC1A23"/>
    <w:rsid w:val="00FC1C55"/>
    <w:rsid w:val="00FC1C9E"/>
    <w:rsid w:val="00FC24DB"/>
    <w:rsid w:val="00FC275E"/>
    <w:rsid w:val="00FC27B3"/>
    <w:rsid w:val="00FC2AD8"/>
    <w:rsid w:val="00FC2DD6"/>
    <w:rsid w:val="00FC2FB7"/>
    <w:rsid w:val="00FC3240"/>
    <w:rsid w:val="00FC33C2"/>
    <w:rsid w:val="00FC4077"/>
    <w:rsid w:val="00FC4A69"/>
    <w:rsid w:val="00FC4FAB"/>
    <w:rsid w:val="00FC5011"/>
    <w:rsid w:val="00FC504D"/>
    <w:rsid w:val="00FC5181"/>
    <w:rsid w:val="00FC5289"/>
    <w:rsid w:val="00FC5513"/>
    <w:rsid w:val="00FC567A"/>
    <w:rsid w:val="00FC5812"/>
    <w:rsid w:val="00FC5A4B"/>
    <w:rsid w:val="00FC5B16"/>
    <w:rsid w:val="00FC5B64"/>
    <w:rsid w:val="00FC61E0"/>
    <w:rsid w:val="00FC650A"/>
    <w:rsid w:val="00FC68B3"/>
    <w:rsid w:val="00FC6A89"/>
    <w:rsid w:val="00FC6EC4"/>
    <w:rsid w:val="00FC6FDB"/>
    <w:rsid w:val="00FC711C"/>
    <w:rsid w:val="00FC730A"/>
    <w:rsid w:val="00FC751B"/>
    <w:rsid w:val="00FC7617"/>
    <w:rsid w:val="00FC7811"/>
    <w:rsid w:val="00FC7AA9"/>
    <w:rsid w:val="00FC7FD7"/>
    <w:rsid w:val="00FD0148"/>
    <w:rsid w:val="00FD01C6"/>
    <w:rsid w:val="00FD01D1"/>
    <w:rsid w:val="00FD03A4"/>
    <w:rsid w:val="00FD0D80"/>
    <w:rsid w:val="00FD1096"/>
    <w:rsid w:val="00FD1229"/>
    <w:rsid w:val="00FD13CE"/>
    <w:rsid w:val="00FD1547"/>
    <w:rsid w:val="00FD16F3"/>
    <w:rsid w:val="00FD17BC"/>
    <w:rsid w:val="00FD183A"/>
    <w:rsid w:val="00FD19B1"/>
    <w:rsid w:val="00FD1E51"/>
    <w:rsid w:val="00FD2F0F"/>
    <w:rsid w:val="00FD334A"/>
    <w:rsid w:val="00FD35F4"/>
    <w:rsid w:val="00FD36B4"/>
    <w:rsid w:val="00FD36F3"/>
    <w:rsid w:val="00FD38F0"/>
    <w:rsid w:val="00FD396B"/>
    <w:rsid w:val="00FD3A48"/>
    <w:rsid w:val="00FD3F73"/>
    <w:rsid w:val="00FD4405"/>
    <w:rsid w:val="00FD48C5"/>
    <w:rsid w:val="00FD48E8"/>
    <w:rsid w:val="00FD4B13"/>
    <w:rsid w:val="00FD4D3F"/>
    <w:rsid w:val="00FD4E0E"/>
    <w:rsid w:val="00FD4E91"/>
    <w:rsid w:val="00FD4FEC"/>
    <w:rsid w:val="00FD56C3"/>
    <w:rsid w:val="00FD56F4"/>
    <w:rsid w:val="00FD577E"/>
    <w:rsid w:val="00FD59A5"/>
    <w:rsid w:val="00FD5C02"/>
    <w:rsid w:val="00FD5FE4"/>
    <w:rsid w:val="00FD6026"/>
    <w:rsid w:val="00FD60D4"/>
    <w:rsid w:val="00FD6151"/>
    <w:rsid w:val="00FD61C5"/>
    <w:rsid w:val="00FD64DE"/>
    <w:rsid w:val="00FD6885"/>
    <w:rsid w:val="00FD69D4"/>
    <w:rsid w:val="00FD6AA7"/>
    <w:rsid w:val="00FD7524"/>
    <w:rsid w:val="00FD768B"/>
    <w:rsid w:val="00FD7776"/>
    <w:rsid w:val="00FD7783"/>
    <w:rsid w:val="00FD7925"/>
    <w:rsid w:val="00FE00A1"/>
    <w:rsid w:val="00FE0EC7"/>
    <w:rsid w:val="00FE0EC9"/>
    <w:rsid w:val="00FE174D"/>
    <w:rsid w:val="00FE182C"/>
    <w:rsid w:val="00FE1ADE"/>
    <w:rsid w:val="00FE1CCD"/>
    <w:rsid w:val="00FE1E8E"/>
    <w:rsid w:val="00FE20D5"/>
    <w:rsid w:val="00FE21F8"/>
    <w:rsid w:val="00FE23C0"/>
    <w:rsid w:val="00FE2538"/>
    <w:rsid w:val="00FE27CE"/>
    <w:rsid w:val="00FE2C30"/>
    <w:rsid w:val="00FE2F5E"/>
    <w:rsid w:val="00FE2FC0"/>
    <w:rsid w:val="00FE3062"/>
    <w:rsid w:val="00FE352D"/>
    <w:rsid w:val="00FE36E2"/>
    <w:rsid w:val="00FE3844"/>
    <w:rsid w:val="00FE38A0"/>
    <w:rsid w:val="00FE3A38"/>
    <w:rsid w:val="00FE3A82"/>
    <w:rsid w:val="00FE3F18"/>
    <w:rsid w:val="00FE401E"/>
    <w:rsid w:val="00FE42D5"/>
    <w:rsid w:val="00FE430A"/>
    <w:rsid w:val="00FE4589"/>
    <w:rsid w:val="00FE4C2F"/>
    <w:rsid w:val="00FE4DE9"/>
    <w:rsid w:val="00FE5806"/>
    <w:rsid w:val="00FE5D66"/>
    <w:rsid w:val="00FE6191"/>
    <w:rsid w:val="00FE67D2"/>
    <w:rsid w:val="00FE6D84"/>
    <w:rsid w:val="00FE6ED9"/>
    <w:rsid w:val="00FE6F86"/>
    <w:rsid w:val="00FE7312"/>
    <w:rsid w:val="00FE782C"/>
    <w:rsid w:val="00FE7C93"/>
    <w:rsid w:val="00FF0B20"/>
    <w:rsid w:val="00FF0BF0"/>
    <w:rsid w:val="00FF11C0"/>
    <w:rsid w:val="00FF1305"/>
    <w:rsid w:val="00FF14DF"/>
    <w:rsid w:val="00FF15E7"/>
    <w:rsid w:val="00FF19EA"/>
    <w:rsid w:val="00FF1B38"/>
    <w:rsid w:val="00FF1B51"/>
    <w:rsid w:val="00FF1D31"/>
    <w:rsid w:val="00FF1E29"/>
    <w:rsid w:val="00FF1E66"/>
    <w:rsid w:val="00FF209C"/>
    <w:rsid w:val="00FF213E"/>
    <w:rsid w:val="00FF214D"/>
    <w:rsid w:val="00FF2450"/>
    <w:rsid w:val="00FF2966"/>
    <w:rsid w:val="00FF2C6F"/>
    <w:rsid w:val="00FF2CAD"/>
    <w:rsid w:val="00FF34D5"/>
    <w:rsid w:val="00FF3D6F"/>
    <w:rsid w:val="00FF3DA1"/>
    <w:rsid w:val="00FF3FA5"/>
    <w:rsid w:val="00FF438A"/>
    <w:rsid w:val="00FF4901"/>
    <w:rsid w:val="00FF530F"/>
    <w:rsid w:val="00FF531F"/>
    <w:rsid w:val="00FF5768"/>
    <w:rsid w:val="00FF5D96"/>
    <w:rsid w:val="00FF5EB3"/>
    <w:rsid w:val="00FF6460"/>
    <w:rsid w:val="00FF652A"/>
    <w:rsid w:val="00FF7118"/>
    <w:rsid w:val="00FF727E"/>
    <w:rsid w:val="00FF7386"/>
    <w:rsid w:val="00FF742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6474D"/>
  <w15:docId w15:val="{77FA3457-A370-46C1-9399-559F5715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41891"/>
    <w:rPr>
      <w:color w:val="666666"/>
    </w:rPr>
  </w:style>
  <w:style w:type="paragraph" w:styleId="Revisie">
    <w:name w:val="Revision"/>
    <w:hidden/>
    <w:uiPriority w:val="99"/>
    <w:semiHidden/>
    <w:rsid w:val="004905D1"/>
    <w:rPr>
      <w:rFonts w:ascii="Univers" w:hAnsi="Univers"/>
      <w:sz w:val="22"/>
      <w:szCs w:val="24"/>
    </w:rPr>
  </w:style>
  <w:style w:type="paragraph" w:styleId="Lijstalinea">
    <w:name w:val="List Paragraph"/>
    <w:basedOn w:val="Standaard"/>
    <w:uiPriority w:val="34"/>
    <w:qFormat/>
    <w:rsid w:val="00986914"/>
    <w:pPr>
      <w:ind w:left="720"/>
      <w:contextualSpacing/>
    </w:pPr>
    <w:rPr>
      <w:kern w:val="2"/>
      <w14:ligatures w14:val="standardContextual"/>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nhideWhenUsed/>
    <w:rsid w:val="00986914"/>
    <w:rPr>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rsid w:val="00986914"/>
    <w:rPr>
      <w:rFonts w:ascii="Univers" w:hAnsi="Univers"/>
      <w:kern w:val="2"/>
      <w14:ligatures w14:val="standardContextual"/>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
    <w:basedOn w:val="Standaardalinea-lettertype"/>
    <w:link w:val="FootnoteReferenceCharChar1"/>
    <w:uiPriority w:val="99"/>
    <w:unhideWhenUsed/>
    <w:qFormat/>
    <w:rsid w:val="00986914"/>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986914"/>
    <w:pPr>
      <w:autoSpaceDE w:val="0"/>
      <w:autoSpaceDN w:val="0"/>
      <w:spacing w:after="160" w:line="240" w:lineRule="exact"/>
      <w:jc w:val="both"/>
    </w:pPr>
    <w:rPr>
      <w:rFonts w:ascii="Times New Roman" w:hAnsi="Times New Roman"/>
      <w:sz w:val="20"/>
      <w:szCs w:val="20"/>
      <w:vertAlign w:val="superscript"/>
    </w:rPr>
  </w:style>
  <w:style w:type="character" w:styleId="Hyperlink">
    <w:name w:val="Hyperlink"/>
    <w:basedOn w:val="Standaardalinea-lettertype"/>
    <w:uiPriority w:val="99"/>
    <w:unhideWhenUsed/>
    <w:rsid w:val="00AE07B8"/>
    <w:rPr>
      <w:color w:val="0000FF" w:themeColor="hyperlink"/>
      <w:u w:val="single"/>
    </w:rPr>
  </w:style>
  <w:style w:type="character" w:styleId="Onopgelostemelding">
    <w:name w:val="Unresolved Mention"/>
    <w:basedOn w:val="Standaardalinea-lettertype"/>
    <w:uiPriority w:val="99"/>
    <w:rsid w:val="004A2325"/>
    <w:rPr>
      <w:color w:val="605E5C"/>
      <w:shd w:val="clear" w:color="auto" w:fill="E1DFDD"/>
    </w:rPr>
  </w:style>
  <w:style w:type="character" w:styleId="Verwijzingopmerking">
    <w:name w:val="annotation reference"/>
    <w:basedOn w:val="Standaardalinea-lettertype"/>
    <w:uiPriority w:val="99"/>
    <w:semiHidden/>
    <w:unhideWhenUsed/>
    <w:rsid w:val="004E00CE"/>
    <w:rPr>
      <w:sz w:val="16"/>
      <w:szCs w:val="16"/>
    </w:rPr>
  </w:style>
  <w:style w:type="paragraph" w:styleId="Tekstopmerking">
    <w:name w:val="annotation text"/>
    <w:basedOn w:val="Standaard"/>
    <w:link w:val="TekstopmerkingChar"/>
    <w:uiPriority w:val="99"/>
    <w:unhideWhenUsed/>
    <w:rsid w:val="004E00CE"/>
    <w:rPr>
      <w:sz w:val="20"/>
      <w:szCs w:val="20"/>
    </w:rPr>
  </w:style>
  <w:style w:type="character" w:customStyle="1" w:styleId="TekstopmerkingChar">
    <w:name w:val="Tekst opmerking Char"/>
    <w:basedOn w:val="Standaardalinea-lettertype"/>
    <w:link w:val="Tekstopmerking"/>
    <w:uiPriority w:val="99"/>
    <w:rsid w:val="004E00C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E00CE"/>
    <w:rPr>
      <w:b/>
      <w:bCs/>
    </w:rPr>
  </w:style>
  <w:style w:type="character" w:customStyle="1" w:styleId="OnderwerpvanopmerkingChar">
    <w:name w:val="Onderwerp van opmerking Char"/>
    <w:basedOn w:val="TekstopmerkingChar"/>
    <w:link w:val="Onderwerpvanopmerking"/>
    <w:uiPriority w:val="99"/>
    <w:semiHidden/>
    <w:rsid w:val="004E00CE"/>
    <w:rPr>
      <w:rFonts w:ascii="Univers" w:hAnsi="Univers"/>
      <w:b/>
      <w:bCs/>
    </w:rPr>
  </w:style>
  <w:style w:type="character" w:styleId="GevolgdeHyperlink">
    <w:name w:val="FollowedHyperlink"/>
    <w:basedOn w:val="Standaardalinea-lettertype"/>
    <w:uiPriority w:val="99"/>
    <w:semiHidden/>
    <w:unhideWhenUsed/>
    <w:rsid w:val="00B9188F"/>
    <w:rPr>
      <w:color w:val="800080" w:themeColor="followedHyperlink"/>
      <w:u w:val="single"/>
    </w:rPr>
  </w:style>
  <w:style w:type="character" w:styleId="Vermelding">
    <w:name w:val="Mention"/>
    <w:basedOn w:val="Standaardalinea-lettertype"/>
    <w:uiPriority w:val="99"/>
    <w:rsid w:val="0033482F"/>
    <w:rPr>
      <w:color w:val="2B579A"/>
      <w:shd w:val="clear" w:color="auto" w:fill="E1DFDD"/>
    </w:rPr>
  </w:style>
  <w:style w:type="numbering" w:customStyle="1" w:styleId="Huidigelijst1">
    <w:name w:val="Huidige lijst1"/>
    <w:uiPriority w:val="99"/>
    <w:rsid w:val="00B3028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0220">
      <w:bodyDiv w:val="1"/>
      <w:marLeft w:val="0"/>
      <w:marRight w:val="0"/>
      <w:marTop w:val="0"/>
      <w:marBottom w:val="0"/>
      <w:divBdr>
        <w:top w:val="none" w:sz="0" w:space="0" w:color="auto"/>
        <w:left w:val="none" w:sz="0" w:space="0" w:color="auto"/>
        <w:bottom w:val="none" w:sz="0" w:space="0" w:color="auto"/>
        <w:right w:val="none" w:sz="0" w:space="0" w:color="auto"/>
      </w:divBdr>
    </w:div>
    <w:div w:id="85351608">
      <w:bodyDiv w:val="1"/>
      <w:marLeft w:val="0"/>
      <w:marRight w:val="0"/>
      <w:marTop w:val="0"/>
      <w:marBottom w:val="0"/>
      <w:divBdr>
        <w:top w:val="none" w:sz="0" w:space="0" w:color="auto"/>
        <w:left w:val="none" w:sz="0" w:space="0" w:color="auto"/>
        <w:bottom w:val="none" w:sz="0" w:space="0" w:color="auto"/>
        <w:right w:val="none" w:sz="0" w:space="0" w:color="auto"/>
      </w:divBdr>
    </w:div>
    <w:div w:id="121844857">
      <w:bodyDiv w:val="1"/>
      <w:marLeft w:val="0"/>
      <w:marRight w:val="0"/>
      <w:marTop w:val="0"/>
      <w:marBottom w:val="0"/>
      <w:divBdr>
        <w:top w:val="none" w:sz="0" w:space="0" w:color="auto"/>
        <w:left w:val="none" w:sz="0" w:space="0" w:color="auto"/>
        <w:bottom w:val="none" w:sz="0" w:space="0" w:color="auto"/>
        <w:right w:val="none" w:sz="0" w:space="0" w:color="auto"/>
      </w:divBdr>
    </w:div>
    <w:div w:id="294873228">
      <w:bodyDiv w:val="1"/>
      <w:marLeft w:val="0"/>
      <w:marRight w:val="0"/>
      <w:marTop w:val="0"/>
      <w:marBottom w:val="0"/>
      <w:divBdr>
        <w:top w:val="none" w:sz="0" w:space="0" w:color="auto"/>
        <w:left w:val="none" w:sz="0" w:space="0" w:color="auto"/>
        <w:bottom w:val="none" w:sz="0" w:space="0" w:color="auto"/>
        <w:right w:val="none" w:sz="0" w:space="0" w:color="auto"/>
      </w:divBdr>
    </w:div>
    <w:div w:id="346759697">
      <w:bodyDiv w:val="1"/>
      <w:marLeft w:val="0"/>
      <w:marRight w:val="0"/>
      <w:marTop w:val="0"/>
      <w:marBottom w:val="0"/>
      <w:divBdr>
        <w:top w:val="none" w:sz="0" w:space="0" w:color="auto"/>
        <w:left w:val="none" w:sz="0" w:space="0" w:color="auto"/>
        <w:bottom w:val="none" w:sz="0" w:space="0" w:color="auto"/>
        <w:right w:val="none" w:sz="0" w:space="0" w:color="auto"/>
      </w:divBdr>
    </w:div>
    <w:div w:id="622925706">
      <w:bodyDiv w:val="1"/>
      <w:marLeft w:val="0"/>
      <w:marRight w:val="0"/>
      <w:marTop w:val="0"/>
      <w:marBottom w:val="0"/>
      <w:divBdr>
        <w:top w:val="none" w:sz="0" w:space="0" w:color="auto"/>
        <w:left w:val="none" w:sz="0" w:space="0" w:color="auto"/>
        <w:bottom w:val="none" w:sz="0" w:space="0" w:color="auto"/>
        <w:right w:val="none" w:sz="0" w:space="0" w:color="auto"/>
      </w:divBdr>
    </w:div>
    <w:div w:id="646207925">
      <w:bodyDiv w:val="1"/>
      <w:marLeft w:val="0"/>
      <w:marRight w:val="0"/>
      <w:marTop w:val="0"/>
      <w:marBottom w:val="0"/>
      <w:divBdr>
        <w:top w:val="none" w:sz="0" w:space="0" w:color="auto"/>
        <w:left w:val="none" w:sz="0" w:space="0" w:color="auto"/>
        <w:bottom w:val="none" w:sz="0" w:space="0" w:color="auto"/>
        <w:right w:val="none" w:sz="0" w:space="0" w:color="auto"/>
      </w:divBdr>
    </w:div>
    <w:div w:id="679888255">
      <w:bodyDiv w:val="1"/>
      <w:marLeft w:val="0"/>
      <w:marRight w:val="0"/>
      <w:marTop w:val="0"/>
      <w:marBottom w:val="0"/>
      <w:divBdr>
        <w:top w:val="none" w:sz="0" w:space="0" w:color="auto"/>
        <w:left w:val="none" w:sz="0" w:space="0" w:color="auto"/>
        <w:bottom w:val="none" w:sz="0" w:space="0" w:color="auto"/>
        <w:right w:val="none" w:sz="0" w:space="0" w:color="auto"/>
      </w:divBdr>
    </w:div>
    <w:div w:id="1250429673">
      <w:bodyDiv w:val="1"/>
      <w:marLeft w:val="0"/>
      <w:marRight w:val="0"/>
      <w:marTop w:val="0"/>
      <w:marBottom w:val="0"/>
      <w:divBdr>
        <w:top w:val="none" w:sz="0" w:space="0" w:color="auto"/>
        <w:left w:val="none" w:sz="0" w:space="0" w:color="auto"/>
        <w:bottom w:val="none" w:sz="0" w:space="0" w:color="auto"/>
        <w:right w:val="none" w:sz="0" w:space="0" w:color="auto"/>
      </w:divBdr>
    </w:div>
    <w:div w:id="1458524690">
      <w:bodyDiv w:val="1"/>
      <w:marLeft w:val="0"/>
      <w:marRight w:val="0"/>
      <w:marTop w:val="0"/>
      <w:marBottom w:val="0"/>
      <w:divBdr>
        <w:top w:val="none" w:sz="0" w:space="0" w:color="auto"/>
        <w:left w:val="none" w:sz="0" w:space="0" w:color="auto"/>
        <w:bottom w:val="none" w:sz="0" w:space="0" w:color="auto"/>
        <w:right w:val="none" w:sz="0" w:space="0" w:color="auto"/>
      </w:divBdr>
    </w:div>
    <w:div w:id="1645695608">
      <w:bodyDiv w:val="1"/>
      <w:marLeft w:val="0"/>
      <w:marRight w:val="0"/>
      <w:marTop w:val="0"/>
      <w:marBottom w:val="0"/>
      <w:divBdr>
        <w:top w:val="none" w:sz="0" w:space="0" w:color="auto"/>
        <w:left w:val="none" w:sz="0" w:space="0" w:color="auto"/>
        <w:bottom w:val="none" w:sz="0" w:space="0" w:color="auto"/>
        <w:right w:val="none" w:sz="0" w:space="0" w:color="auto"/>
      </w:divBdr>
    </w:div>
    <w:div w:id="1743601385">
      <w:bodyDiv w:val="1"/>
      <w:marLeft w:val="0"/>
      <w:marRight w:val="0"/>
      <w:marTop w:val="0"/>
      <w:marBottom w:val="0"/>
      <w:divBdr>
        <w:top w:val="none" w:sz="0" w:space="0" w:color="auto"/>
        <w:left w:val="none" w:sz="0" w:space="0" w:color="auto"/>
        <w:bottom w:val="none" w:sz="0" w:space="0" w:color="auto"/>
        <w:right w:val="none" w:sz="0" w:space="0" w:color="auto"/>
      </w:divBdr>
    </w:div>
    <w:div w:id="20839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nisvandeoverheid.nl/cijfers-overheidspersoneel/omvang-en-samenstelling-personeelsbestand"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cpb.nl/raming/centraal-economisch-plan-cep-2026" TargetMode="External"/><Relationship Id="rId21" Type="http://schemas.openxmlformats.org/officeDocument/2006/relationships/hyperlink" Target="https://www.cpb.nl/zicht-op-zorgbanen" TargetMode="External"/><Relationship Id="rId42" Type="http://schemas.openxmlformats.org/officeDocument/2006/relationships/hyperlink" Target="https://eur-lex.europa.eu/legal-content/NL/TXT/PDF/?uri=OJ:L_202401263" TargetMode="External"/><Relationship Id="rId47" Type="http://schemas.openxmlformats.org/officeDocument/2006/relationships/hyperlink" Target="https://open.overheid.nl/documenten/73d98e8d-0779-4c4d-821c-b0c06fbbb0d1/file" TargetMode="External"/><Relationship Id="rId63" Type="http://schemas.openxmlformats.org/officeDocument/2006/relationships/hyperlink" Target="https://open.overheid.nl/documenten/73d98e8d-0779-4c4d-821c-b0c06fbbb0d1/file" TargetMode="External"/><Relationship Id="rId68" Type="http://schemas.openxmlformats.org/officeDocument/2006/relationships/hyperlink" Target="https://eur-lex.europa.eu/legal-content/NL/TXT/PDF/?uri=CELEX:52025DC0219" TargetMode="External"/><Relationship Id="rId7" Type="http://schemas.openxmlformats.org/officeDocument/2006/relationships/hyperlink" Target="https://www.cpb.nl/wederuitvoer-motor-achter-stijging-nederlandse-export" TargetMode="External"/><Relationship Id="rId2" Type="http://schemas.openxmlformats.org/officeDocument/2006/relationships/hyperlink" Target="https://www.consilium.europa.eu/media/ny3j24sm/much-more-than-a-market-report-by-enrico-letta.pdf" TargetMode="External"/><Relationship Id="rId16" Type="http://schemas.openxmlformats.org/officeDocument/2006/relationships/hyperlink" Target="https://www.consilium.europa.eu/media/ny3j24sm/much-more-than-a-market-report-by-enrico-letta.pdf" TargetMode="External"/><Relationship Id="rId29" Type="http://schemas.openxmlformats.org/officeDocument/2006/relationships/hyperlink" Target="https://www.cpb.nl/raming/centraal-economisch-plan-cep-2026" TargetMode="External"/><Relationship Id="rId11" Type="http://schemas.openxmlformats.org/officeDocument/2006/relationships/hyperlink" Target="https://www.clingendael.org/sites/default/files/2024-01/staatscommissie%20rapport%202050_0.pdf" TargetMode="External"/><Relationship Id="rId24" Type="http://schemas.openxmlformats.org/officeDocument/2006/relationships/hyperlink" Target="https://www.cpb.nl/raming/centraal-economisch-plan-cep-2026" TargetMode="External"/><Relationship Id="rId32" Type="http://schemas.openxmlformats.org/officeDocument/2006/relationships/hyperlink" Target="https://www.cpb.nl/publicatie/analyse-coalitieakkoord-2026-2030" TargetMode="External"/><Relationship Id="rId37" Type="http://schemas.openxmlformats.org/officeDocument/2006/relationships/hyperlink" Target="https://open.overheid.nl/documenten/d7192241-d9d0-45e4-a81d-7be46d30a4de/file" TargetMode="External"/><Relationship Id="rId40" Type="http://schemas.openxmlformats.org/officeDocument/2006/relationships/hyperlink" Target="https://www.cbs.nl/nl-nl/nieuws/2026/13/inkomsten-uitgaven-en-schuld-van-de-overheid-boven-de-500-miljard-euro" TargetMode="External"/><Relationship Id="rId45" Type="http://schemas.openxmlformats.org/officeDocument/2006/relationships/hyperlink" Target="https://wetten.overheid.nl/jci1.3:c:BWBR0034360&amp;artikel=2a&amp;z=2025-12-31&amp;g=2025-12-31" TargetMode="External"/><Relationship Id="rId53" Type="http://schemas.openxmlformats.org/officeDocument/2006/relationships/hyperlink" Target="https://www.raadvanstate.nl/actueel/nieuws/%40133001/advies-miljoenennota-2023-en-obt-2022/" TargetMode="External"/><Relationship Id="rId58" Type="http://schemas.openxmlformats.org/officeDocument/2006/relationships/hyperlink" Target="https://www.raadvanstate.nl/begrotingstoezicht/rapportages/@153583/advies-miljoenennota-2026/" TargetMode="External"/><Relationship Id="rId66" Type="http://schemas.openxmlformats.org/officeDocument/2006/relationships/hyperlink" Target="https://www.rijksfinancien.nl/sites/default/files/rapporten/sbr/Rapport_18e_Studiegroep_Begrotingsruimte.pdf" TargetMode="External"/><Relationship Id="rId5" Type="http://schemas.openxmlformats.org/officeDocument/2006/relationships/hyperlink" Target="https://wetten.overheid.nl/BWBR0034360/2025-12-31" TargetMode="External"/><Relationship Id="rId61" Type="http://schemas.openxmlformats.org/officeDocument/2006/relationships/hyperlink" Target="https://www.cpb.nl/publicatie/startnotitie-keuzes-kaart-2027-2030" TargetMode="External"/><Relationship Id="rId19" Type="http://schemas.openxmlformats.org/officeDocument/2006/relationships/hyperlink" Target="https://www.cpb.nl/raming/centraal-economisch-plan-cep-2026" TargetMode="External"/><Relationship Id="rId14" Type="http://schemas.openxmlformats.org/officeDocument/2006/relationships/hyperlink" Target="https://www.cpb.nl/publicatie/structureel-arbeidsaanbod-het-cep-2025" TargetMode="External"/><Relationship Id="rId22" Type="http://schemas.openxmlformats.org/officeDocument/2006/relationships/hyperlink" Target="https://www.raadvanstate.nl/begrotingstoezicht/rapportages/@153583/advies-miljoenennota-2026/" TargetMode="External"/><Relationship Id="rId27" Type="http://schemas.openxmlformats.org/officeDocument/2006/relationships/hyperlink" Target="https://www.cpb.nl/raming/centraal-economisch-plan-cep-2026" TargetMode="External"/><Relationship Id="rId30" Type="http://schemas.openxmlformats.org/officeDocument/2006/relationships/hyperlink" Target="https://www.cpb.nl/publicatie/analyse-coalitieakkoord-2026-2030" TargetMode="External"/><Relationship Id="rId35" Type="http://schemas.openxmlformats.org/officeDocument/2006/relationships/hyperlink" Target="https://www.cpb.nl/system/files/cpbmedia/omnidownload/Centraal-Economisch-Plan-CEP-2019.pdf" TargetMode="External"/><Relationship Id="rId43" Type="http://schemas.openxmlformats.org/officeDocument/2006/relationships/hyperlink" Target="https://eur-lex.europa.eu/legal-content/NL/TXT/PDF/?uri=OJ:C_202500648" TargetMode="External"/><Relationship Id="rId48" Type="http://schemas.openxmlformats.org/officeDocument/2006/relationships/hyperlink" Target="https://eur-lex.europa.eu/legal-content/NL/TXT/PDF/?uri=OJ:L_202401263" TargetMode="External"/><Relationship Id="rId56" Type="http://schemas.openxmlformats.org/officeDocument/2006/relationships/hyperlink" Target="https://www.rekenkamer.nl/actueel/nieuws/2026/03/25/dashboard-blik-op-nederland-brengt-resultaten-van-de-overheid-in-beeld" TargetMode="External"/><Relationship Id="rId64" Type="http://schemas.openxmlformats.org/officeDocument/2006/relationships/hyperlink" Target="https://www.raadvanstate.nl/actueel/nieuws/mei/begrotingstoezicht-voorjaar-2025/" TargetMode="External"/><Relationship Id="rId69" Type="http://schemas.openxmlformats.org/officeDocument/2006/relationships/hyperlink" Target="https://open.overheid.nl/documenten/73d98e8d-0779-4c4d-821c-b0c06fbbb0d1/file" TargetMode="External"/><Relationship Id="rId8" Type="http://schemas.openxmlformats.org/officeDocument/2006/relationships/hyperlink" Target="https://www.cpb.nl/raming/centraal-economisch-plan-cep-2026" TargetMode="External"/><Relationship Id="rId51" Type="http://schemas.openxmlformats.org/officeDocument/2006/relationships/hyperlink" Target="https://www.raadvanstate.nl/@131455/junirapportage-begrotingstoezicht-2022/" TargetMode="External"/><Relationship Id="rId3" Type="http://schemas.openxmlformats.org/officeDocument/2006/relationships/hyperlink" Target="https://www.rapportwennink.nl/" TargetMode="External"/><Relationship Id="rId12" Type="http://schemas.openxmlformats.org/officeDocument/2006/relationships/hyperlink" Target="https://www.clingendael.org/sites/default/files/2024-01/staatscommissie%20rapport%202050_0.pdf" TargetMode="External"/><Relationship Id="rId17" Type="http://schemas.openxmlformats.org/officeDocument/2006/relationships/hyperlink" Target="https://www.rapportwennink.nl/" TargetMode="External"/><Relationship Id="rId25" Type="http://schemas.openxmlformats.org/officeDocument/2006/relationships/hyperlink" Target="https://www.dnb.nl/algemeen-nieuws/nieuws-2026/oorlog-in-het-midden-oosten-impact-op-de-nederlandse-economie/" TargetMode="External"/><Relationship Id="rId33" Type="http://schemas.openxmlformats.org/officeDocument/2006/relationships/hyperlink" Target="https://www.rijksfinancien.nl/modules/custom/rijksfinancien_visuals/assets/bouwstenen_belastingstelsel/data/syntheserapport-bouwstenen-voor-een-beter-belastingstelsel.pdf" TargetMode="External"/><Relationship Id="rId38" Type="http://schemas.openxmlformats.org/officeDocument/2006/relationships/hyperlink" Target="https://eur-lex.europa.eu/legal-content/NL/TXT/PDF/?uri=OJ:C_202500648" TargetMode="External"/><Relationship Id="rId46" Type="http://schemas.openxmlformats.org/officeDocument/2006/relationships/hyperlink" Target="https://eur-lex.europa.eu/legal-content/NL/TXT/PDF/?uri=OJ:L_202401263" TargetMode="External"/><Relationship Id="rId59" Type="http://schemas.openxmlformats.org/officeDocument/2006/relationships/hyperlink" Target="https://www.rijksfinancien.nl/miljoenennota/2025" TargetMode="External"/><Relationship Id="rId67" Type="http://schemas.openxmlformats.org/officeDocument/2006/relationships/hyperlink" Target="https://www.rijksfinancien.nl/sites/default/files/bestanden/ombuigings-en-intensiveringslijst/syntheserapport-bouwstenen-voor-een-beter-belastingstelsel.pdf" TargetMode="External"/><Relationship Id="rId20" Type="http://schemas.openxmlformats.org/officeDocument/2006/relationships/hyperlink" Target="https://www.uwv.nl/nl/arbeidsmarktinformatie/inzichten-werving-behoud/werkgevers-leiden-vaker-nieuw-personeel-op-vanwege-krappe-arbeidsmarkt" TargetMode="External"/><Relationship Id="rId41" Type="http://schemas.openxmlformats.org/officeDocument/2006/relationships/hyperlink" Target="https://wetten.overheid.nl/jci1.3:c:BWBV0001506&amp;deel=DERDE&amp;titeldeel=VIII&amp;hoofdstuk=1&amp;artikel=126&amp;z=2013-07-01&amp;g=2013-07-01" TargetMode="External"/><Relationship Id="rId54" Type="http://schemas.openxmlformats.org/officeDocument/2006/relationships/hyperlink" Target="https://www.rekenkamer.nl/documenten/2026/01/14/naar-een-realistische-overheid" TargetMode="External"/><Relationship Id="rId62" Type="http://schemas.openxmlformats.org/officeDocument/2006/relationships/hyperlink" Target="https://open.overheid.nl/documenten/43f98650-e98d-4b8c-95fd-e8e2efde7c2a/file" TargetMode="External"/><Relationship Id="rId70" Type="http://schemas.openxmlformats.org/officeDocument/2006/relationships/hyperlink" Target="https://open.overheid.nl/documenten/73d98e8d-0779-4c4d-821c-b0c06fbbb0d1/file" TargetMode="External"/><Relationship Id="rId1"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 Id="rId6" Type="http://schemas.openxmlformats.org/officeDocument/2006/relationships/hyperlink" Target="https://www.oecd.org/en/publications/oecd-economic-outlook-volume-2025-issue-2_9f653ca1-en.html" TargetMode="External"/><Relationship Id="rId15"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 Id="rId23" Type="http://schemas.openxmlformats.org/officeDocument/2006/relationships/hyperlink" Target="https://www.rapportwennink.nl/" TargetMode="External"/><Relationship Id="rId28" Type="http://schemas.openxmlformats.org/officeDocument/2006/relationships/hyperlink" Target="https://www.cpb.nl/publicatie/analyse-coalitieakkoord-2026-2030" TargetMode="External"/><Relationship Id="rId36" Type="http://schemas.openxmlformats.org/officeDocument/2006/relationships/hyperlink" Target="https://open.overheid.nl/documenten/43f98650-e98d-4b8c-95fd-e8e2efde7c2a/file" TargetMode="External"/><Relationship Id="rId49" Type="http://schemas.openxmlformats.org/officeDocument/2006/relationships/hyperlink" Target="https://wetten.overheid.nl/jci1.3:c:BWBR0034360&amp;artikel=2&amp;z=2025-12-31&amp;g=2025-12-31" TargetMode="External"/><Relationship Id="rId57" Type="http://schemas.openxmlformats.org/officeDocument/2006/relationships/hyperlink" Target="https://wetten.overheid.nl/jci1.3:c:BWBR0039429&amp;hoofdstuk=3&amp;paragraaf=1&amp;artikel=3.1&amp;z=2023-09-26&amp;g=2023-09-26" TargetMode="External"/><Relationship Id="rId10" Type="http://schemas.openxmlformats.org/officeDocument/2006/relationships/hyperlink" Target="https://denkwerk.online/media/1146/denkwerk-kiezen-%C3%A9n-delen.pdf" TargetMode="External"/><Relationship Id="rId31" Type="http://schemas.openxmlformats.org/officeDocument/2006/relationships/hyperlink" Target="https://www.cpb.nl/raming/centraal-economisch-plan-cep-2026" TargetMode="External"/><Relationship Id="rId44" Type="http://schemas.openxmlformats.org/officeDocument/2006/relationships/hyperlink" Target="https://www.cpb.nl/raming/centraal-economisch-plan-cep-2026" TargetMode="External"/><Relationship Id="rId52" Type="http://schemas.openxmlformats.org/officeDocument/2006/relationships/hyperlink" Target="https://www.raadvanstate.nl/actueel/nieuws/%40128401/aanbevelingen-begrotingsbeleid-kabinet/" TargetMode="External"/><Relationship Id="rId60" Type="http://schemas.openxmlformats.org/officeDocument/2006/relationships/hyperlink" Target="https://www.kennisopenbaarbestuur.nl/documenten/2017/07/01/evaluatie-referentiemodel" TargetMode="External"/><Relationship Id="rId65" Type="http://schemas.openxmlformats.org/officeDocument/2006/relationships/hyperlink" Target="https://www.rijksfinancien.nl/sites/default/files/rapporten/sbr/Rapport_18e_Studiegroep_Begrotingsruimte.pdf" TargetMode="External"/><Relationship Id="rId4" Type="http://schemas.openxmlformats.org/officeDocument/2006/relationships/hyperlink" Target="https://eur-lex.europa.eu/legal-content/NL/TXT/PDF/?uri=CELEX:32013R0473" TargetMode="External"/><Relationship Id="rId9" Type="http://schemas.openxmlformats.org/officeDocument/2006/relationships/hyperlink" Target="https://www.cpb.nl/raming/centraal-economisch-plan-cep-2026" TargetMode="External"/><Relationship Id="rId13" Type="http://schemas.openxmlformats.org/officeDocument/2006/relationships/hyperlink" Target="https://www.cpb.nl/de-nederlandse-economie-historisch-perspectief" TargetMode="External"/><Relationship Id="rId18" Type="http://schemas.openxmlformats.org/officeDocument/2006/relationships/hyperlink" Target="https://www.cpb.nl/raming/centraal-economisch-plan-cep-2026" TargetMode="External"/><Relationship Id="rId39" Type="http://schemas.openxmlformats.org/officeDocument/2006/relationships/hyperlink" Target="https://eur-lex.europa.eu/legal-content/NL/TXT/PDF/?uri=OJ:L_202401263" TargetMode="External"/><Relationship Id="rId34" Type="http://schemas.openxmlformats.org/officeDocument/2006/relationships/hyperlink" Target="https://www.cpb.nl/raming/centraal-economisch-plan-cep-2026" TargetMode="External"/><Relationship Id="rId50" Type="http://schemas.openxmlformats.org/officeDocument/2006/relationships/hyperlink" Target="https://wetten.overheid.nl/BWBV0001507/2013-07-01/?g=2013-07-01&amp;z=2013-07-01" TargetMode="External"/><Relationship Id="rId55" Type="http://schemas.openxmlformats.org/officeDocument/2006/relationships/hyperlink" Target="https://www.scp.nl/publicaties-scp/2026/02/een-sociaal-maatschappelijke-reflectie-op-het-coalitieakkoo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raadvanstatenl-my.sharepoint.com/personal/r_vanonzenoort_raadvanstate_nl/Documents/OBt/2026%20VJR/Tabell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Figuur_1!$D$4</c:f>
              <c:strCache>
                <c:ptCount val="1"/>
                <c:pt idx="0">
                  <c:v>Rijk</c:v>
                </c:pt>
              </c:strCache>
            </c:strRef>
          </c:tx>
          <c:spPr>
            <a:ln w="28575" cap="rnd">
              <a:solidFill>
                <a:schemeClr val="accent1"/>
              </a:solidFill>
              <a:round/>
            </a:ln>
            <a:effectLst/>
          </c:spPr>
          <c:marker>
            <c:symbol val="none"/>
          </c:marker>
          <c:cat>
            <c:numRef>
              <c:f>Figuur_1!$C$5:$C$44</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Figuur_1!$D$5:$D$44</c:f>
              <c:numCache>
                <c:formatCode>General</c:formatCode>
                <c:ptCount val="40"/>
                <c:pt idx="0">
                  <c:v>126.2</c:v>
                </c:pt>
                <c:pt idx="1">
                  <c:v>130</c:v>
                </c:pt>
                <c:pt idx="2">
                  <c:v>128.69999999999999</c:v>
                </c:pt>
                <c:pt idx="3">
                  <c:v>127</c:v>
                </c:pt>
                <c:pt idx="4">
                  <c:v>123.2</c:v>
                </c:pt>
                <c:pt idx="5">
                  <c:v>123.8</c:v>
                </c:pt>
                <c:pt idx="6">
                  <c:v>120.5</c:v>
                </c:pt>
                <c:pt idx="7">
                  <c:v>113.4</c:v>
                </c:pt>
                <c:pt idx="8">
                  <c:v>112.1</c:v>
                </c:pt>
                <c:pt idx="9">
                  <c:v>108.2</c:v>
                </c:pt>
                <c:pt idx="10">
                  <c:v>106.5</c:v>
                </c:pt>
                <c:pt idx="11">
                  <c:v>106.4</c:v>
                </c:pt>
                <c:pt idx="12">
                  <c:v>112.2</c:v>
                </c:pt>
                <c:pt idx="13">
                  <c:v>115</c:v>
                </c:pt>
                <c:pt idx="14">
                  <c:v>113.6</c:v>
                </c:pt>
                <c:pt idx="15">
                  <c:v>115.8</c:v>
                </c:pt>
                <c:pt idx="16">
                  <c:v>119.3</c:v>
                </c:pt>
                <c:pt idx="17">
                  <c:v>125.8</c:v>
                </c:pt>
                <c:pt idx="18">
                  <c:v>125.4</c:v>
                </c:pt>
                <c:pt idx="19">
                  <c:v>119.6</c:v>
                </c:pt>
                <c:pt idx="20">
                  <c:v>116.6</c:v>
                </c:pt>
                <c:pt idx="21">
                  <c:v>120.3</c:v>
                </c:pt>
                <c:pt idx="22">
                  <c:v>123.2</c:v>
                </c:pt>
                <c:pt idx="23">
                  <c:v>123.3</c:v>
                </c:pt>
                <c:pt idx="24">
                  <c:v>123.6</c:v>
                </c:pt>
                <c:pt idx="25">
                  <c:v>121.2</c:v>
                </c:pt>
                <c:pt idx="26">
                  <c:v>119.4</c:v>
                </c:pt>
                <c:pt idx="27">
                  <c:v>117.6</c:v>
                </c:pt>
                <c:pt idx="28">
                  <c:v>116.8</c:v>
                </c:pt>
                <c:pt idx="29">
                  <c:v>117.2</c:v>
                </c:pt>
                <c:pt idx="30">
                  <c:v>116.8</c:v>
                </c:pt>
                <c:pt idx="31">
                  <c:v>117.3</c:v>
                </c:pt>
                <c:pt idx="32">
                  <c:v>118.5</c:v>
                </c:pt>
                <c:pt idx="33">
                  <c:v>121.5</c:v>
                </c:pt>
                <c:pt idx="34">
                  <c:v>127.1</c:v>
                </c:pt>
                <c:pt idx="35">
                  <c:v>133.6</c:v>
                </c:pt>
                <c:pt idx="36">
                  <c:v>139.19999999999999</c:v>
                </c:pt>
                <c:pt idx="37">
                  <c:v>146.5</c:v>
                </c:pt>
                <c:pt idx="38">
                  <c:v>156.5</c:v>
                </c:pt>
                <c:pt idx="39">
                  <c:v>165.9</c:v>
                </c:pt>
              </c:numCache>
            </c:numRef>
          </c:val>
          <c:smooth val="0"/>
          <c:extLst>
            <c:ext xmlns:c16="http://schemas.microsoft.com/office/drawing/2014/chart" uri="{C3380CC4-5D6E-409C-BE32-E72D297353CC}">
              <c16:uniqueId val="{00000000-5AE1-41A6-BA08-D697FDF72AE4}"/>
            </c:ext>
          </c:extLst>
        </c:ser>
        <c:dLbls>
          <c:showLegendKey val="0"/>
          <c:showVal val="0"/>
          <c:showCatName val="0"/>
          <c:showSerName val="0"/>
          <c:showPercent val="0"/>
          <c:showBubbleSize val="0"/>
        </c:dLbls>
        <c:smooth val="0"/>
        <c:axId val="1169889791"/>
        <c:axId val="1169891231"/>
      </c:lineChart>
      <c:catAx>
        <c:axId val="1169889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69891231"/>
        <c:crosses val="autoZero"/>
        <c:auto val="1"/>
        <c:lblAlgn val="ctr"/>
        <c:lblOffset val="100"/>
        <c:tickLblSkip val="5"/>
        <c:tickMarkSkip val="5"/>
        <c:noMultiLvlLbl val="0"/>
      </c:catAx>
      <c:valAx>
        <c:axId val="1169891231"/>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Aantal werkzame</a:t>
                </a:r>
                <a:r>
                  <a:rPr lang="nl-NL" baseline="0"/>
                  <a:t> personen (x 1000)</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69889791"/>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C800179-A8B5-452A-8BB6-1A6EF7D1A094}"/>
      </w:docPartPr>
      <w:docPartBody>
        <w:p w:rsidR="006F78F4" w:rsidRDefault="00C25B7E">
          <w:r w:rsidRPr="00573FC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7E"/>
    <w:rsid w:val="00006D7A"/>
    <w:rsid w:val="00015E85"/>
    <w:rsid w:val="00017A6F"/>
    <w:rsid w:val="000316E6"/>
    <w:rsid w:val="00064A0C"/>
    <w:rsid w:val="00073F07"/>
    <w:rsid w:val="00091EDB"/>
    <w:rsid w:val="000956B4"/>
    <w:rsid w:val="000A5BBD"/>
    <w:rsid w:val="000B4366"/>
    <w:rsid w:val="000B54B8"/>
    <w:rsid w:val="000E4170"/>
    <w:rsid w:val="000F39B5"/>
    <w:rsid w:val="00102B13"/>
    <w:rsid w:val="00124049"/>
    <w:rsid w:val="00126729"/>
    <w:rsid w:val="001902AD"/>
    <w:rsid w:val="001A55FF"/>
    <w:rsid w:val="00216042"/>
    <w:rsid w:val="00231377"/>
    <w:rsid w:val="002740C8"/>
    <w:rsid w:val="00275A5C"/>
    <w:rsid w:val="00280EEE"/>
    <w:rsid w:val="00337F21"/>
    <w:rsid w:val="00356FA2"/>
    <w:rsid w:val="00365269"/>
    <w:rsid w:val="00374361"/>
    <w:rsid w:val="00384A12"/>
    <w:rsid w:val="00395339"/>
    <w:rsid w:val="003D3608"/>
    <w:rsid w:val="003E4284"/>
    <w:rsid w:val="00424E98"/>
    <w:rsid w:val="0048196D"/>
    <w:rsid w:val="00491BE3"/>
    <w:rsid w:val="004E7507"/>
    <w:rsid w:val="0054412A"/>
    <w:rsid w:val="0056238A"/>
    <w:rsid w:val="00584C2B"/>
    <w:rsid w:val="005E4CA8"/>
    <w:rsid w:val="005F16EA"/>
    <w:rsid w:val="006115BE"/>
    <w:rsid w:val="00612418"/>
    <w:rsid w:val="00672AB2"/>
    <w:rsid w:val="006D5ECC"/>
    <w:rsid w:val="006F585D"/>
    <w:rsid w:val="006F78F4"/>
    <w:rsid w:val="007028E1"/>
    <w:rsid w:val="007477FC"/>
    <w:rsid w:val="00751C9E"/>
    <w:rsid w:val="007522F6"/>
    <w:rsid w:val="0075285D"/>
    <w:rsid w:val="007944B0"/>
    <w:rsid w:val="007F5300"/>
    <w:rsid w:val="00805EA4"/>
    <w:rsid w:val="0081060E"/>
    <w:rsid w:val="00817398"/>
    <w:rsid w:val="008459CB"/>
    <w:rsid w:val="00853972"/>
    <w:rsid w:val="008645F8"/>
    <w:rsid w:val="00877A7B"/>
    <w:rsid w:val="008824C2"/>
    <w:rsid w:val="008831EC"/>
    <w:rsid w:val="008A0368"/>
    <w:rsid w:val="008D50A7"/>
    <w:rsid w:val="008E29FE"/>
    <w:rsid w:val="0095570D"/>
    <w:rsid w:val="009A7907"/>
    <w:rsid w:val="00A15DFA"/>
    <w:rsid w:val="00A42335"/>
    <w:rsid w:val="00A4332C"/>
    <w:rsid w:val="00A6074C"/>
    <w:rsid w:val="00A6581E"/>
    <w:rsid w:val="00A9583D"/>
    <w:rsid w:val="00B02392"/>
    <w:rsid w:val="00B06ED6"/>
    <w:rsid w:val="00B10432"/>
    <w:rsid w:val="00B51511"/>
    <w:rsid w:val="00B73594"/>
    <w:rsid w:val="00B74E9A"/>
    <w:rsid w:val="00B90ACB"/>
    <w:rsid w:val="00BC684A"/>
    <w:rsid w:val="00BE5F49"/>
    <w:rsid w:val="00BF2320"/>
    <w:rsid w:val="00C25B7E"/>
    <w:rsid w:val="00C7355A"/>
    <w:rsid w:val="00C77F7B"/>
    <w:rsid w:val="00C851BB"/>
    <w:rsid w:val="00C9618D"/>
    <w:rsid w:val="00CC7B97"/>
    <w:rsid w:val="00CD4406"/>
    <w:rsid w:val="00D0797F"/>
    <w:rsid w:val="00D443D7"/>
    <w:rsid w:val="00D761A8"/>
    <w:rsid w:val="00DC0AAC"/>
    <w:rsid w:val="00DC18F5"/>
    <w:rsid w:val="00DF2DD4"/>
    <w:rsid w:val="00E41932"/>
    <w:rsid w:val="00E532CF"/>
    <w:rsid w:val="00E70AE7"/>
    <w:rsid w:val="00E83C75"/>
    <w:rsid w:val="00EA490B"/>
    <w:rsid w:val="00EA492B"/>
    <w:rsid w:val="00ED11C6"/>
    <w:rsid w:val="00EE425D"/>
    <w:rsid w:val="00EF35AF"/>
    <w:rsid w:val="00F01398"/>
    <w:rsid w:val="00F050CF"/>
    <w:rsid w:val="00F3087A"/>
    <w:rsid w:val="00F41E2E"/>
    <w:rsid w:val="00FA53E1"/>
    <w:rsid w:val="00FA6252"/>
    <w:rsid w:val="00FB7B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A49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44</ap:Pages>
  <ap:Words>12950</ap:Words>
  <ap:Characters>77658</ap:Characters>
  <ap:DocSecurity>4</ap:DocSecurity>
  <ap:Lines>647</ap:Lines>
  <ap:Paragraphs>180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2026-04-13T23:54:00.0000000Z</lastPrinted>
  <dcterms:created xsi:type="dcterms:W3CDTF">2026-04-14T14:29:00.0000000Z</dcterms:created>
  <dcterms:modified xsi:type="dcterms:W3CDTF">2026-04-14T14:29:00.0000000Z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W06.26.00062/III</vt:lpwstr>
  </property>
  <property fmtid="{D5CDD505-2E9C-101B-9397-08002B2CF9AE}" pid="5" name="zaaktype">
    <vt:lpwstr>ONVADV</vt:lpwstr>
  </property>
  <property fmtid="{D5CDD505-2E9C-101B-9397-08002B2CF9AE}" pid="6" name="ContentTypeId">
    <vt:lpwstr>0x010100D3DA649AE4B0D248BD463BA7E77D2FA400C6E9948FF7146343BB058C60C780233A</vt:lpwstr>
  </property>
  <property fmtid="{D5CDD505-2E9C-101B-9397-08002B2CF9AE}" pid="7" name="_dlc_DocIdItemGuid">
    <vt:lpwstr>44d9fcaa-e339-4184-9918-3d953cc9e04f</vt:lpwstr>
  </property>
  <property fmtid="{D5CDD505-2E9C-101B-9397-08002B2CF9AE}" pid="8" name="RedactioneleBijlage">
    <vt:lpwstr>Nee</vt:lpwstr>
  </property>
  <property fmtid="{D5CDD505-2E9C-101B-9397-08002B2CF9AE}" pid="9" name="dictum">
    <vt:lpwstr>Geen</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112e3eac-4767-4d29-949e-d809b1160d11_Enabled">
    <vt:lpwstr>true</vt:lpwstr>
  </property>
  <property fmtid="{D5CDD505-2E9C-101B-9397-08002B2CF9AE}" pid="14" name="MSIP_Label_112e3eac-4767-4d29-949e-d809b1160d11_SetDate">
    <vt:lpwstr>2026-04-14T14:29:51Z</vt:lpwstr>
  </property>
  <property fmtid="{D5CDD505-2E9C-101B-9397-08002B2CF9AE}" pid="15" name="MSIP_Label_112e3eac-4767-4d29-949e-d809b1160d11_Method">
    <vt:lpwstr>Standard</vt:lpwstr>
  </property>
  <property fmtid="{D5CDD505-2E9C-101B-9397-08002B2CF9AE}" pid="16" name="MSIP_Label_112e3eac-4767-4d29-949e-d809b1160d11_Name">
    <vt:lpwstr>Rijksoverheid (SGC)</vt:lpwstr>
  </property>
  <property fmtid="{D5CDD505-2E9C-101B-9397-08002B2CF9AE}" pid="17" name="MSIP_Label_112e3eac-4767-4d29-949e-d809b1160d11_SiteId">
    <vt:lpwstr>84712536-f524-40a0-913b-5d25ba502732</vt:lpwstr>
  </property>
  <property fmtid="{D5CDD505-2E9C-101B-9397-08002B2CF9AE}" pid="18" name="MSIP_Label_112e3eac-4767-4d29-949e-d809b1160d11_ActionId">
    <vt:lpwstr>058653b8-2732-4ced-a41b-7c4ece54202d</vt:lpwstr>
  </property>
  <property fmtid="{D5CDD505-2E9C-101B-9397-08002B2CF9AE}" pid="19" name="MSIP_Label_112e3eac-4767-4d29-949e-d809b1160d11_ContentBits">
    <vt:lpwstr>0</vt:lpwstr>
  </property>
  <property fmtid="{D5CDD505-2E9C-101B-9397-08002B2CF9AE}" pid="20" name="MSIP_Label_112e3eac-4767-4d29-949e-d809b1160d11_Tag">
    <vt:lpwstr>10, 3, 0, 1</vt:lpwstr>
  </property>
</Properties>
</file>