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2026Z07919</w:t>
        <w:br/>
      </w:r>
      <w:proofErr w:type="spellEnd"/>
    </w:p>
    <w:p>
      <w:pPr>
        <w:pStyle w:val="Normal"/>
        <w:rPr>
          <w:b w:val="1"/>
          <w:bCs w:val="1"/>
        </w:rPr>
      </w:pPr>
      <w:r w:rsidR="250AE766">
        <w:rPr>
          <w:b w:val="0"/>
          <w:bCs w:val="0"/>
        </w:rPr>
        <w:t>(ingezonden 15 april 2026)</w:t>
        <w:br/>
      </w:r>
    </w:p>
    <w:p>
      <w:r>
        <w:t xml:space="preserve">Vragen van het lid Vermeer (BBB) aan de minister van Klimaat en Groene Groei over groen gas </w:t>
      </w:r>
      <w:r>
        <w:br/>
      </w:r>
    </w:p>
    <w:p>
      <w:r>
        <w:t xml:space="preserve"> </w:t>
      </w:r>
      <w:r>
        <w:br/>
      </w:r>
    </w:p>
    <w:p>
      <w:r>
        <w:t xml:space="preserve"> </w:t>
      </w:r>
      <w:r>
        <w:br/>
      </w:r>
    </w:p>
    <w:p>
      <w:r>
        <w:t xml:space="preserve">1.</w:t>
      </w:r>
      <w:r>
        <w:br/>
      </w:r>
    </w:p>
    <w:p>
      <w:r>
        <w:t xml:space="preserve">Kunt u toelichten waarom is besloten om de GvO correctie voor de subsidieregeling voor groen gas toe te passen met terugwerkende kracht over 2025, terwijl deze korting in de voorlopige correctiebedragen en voorschotberekeningen voor 2025 niet was aangekondigd?</w:t>
      </w:r>
      <w:r>
        <w:br/>
      </w:r>
    </w:p>
    <w:p>
      <w:r>
        <w:t xml:space="preserve"> </w:t>
      </w:r>
      <w:r>
        <w:br/>
      </w:r>
    </w:p>
    <w:p>
      <w:r>
        <w:t xml:space="preserve">2.</w:t>
      </w:r>
      <w:r>
        <w:br/>
      </w:r>
    </w:p>
    <w:p>
      <w:r>
        <w:t xml:space="preserve">Erkent u dat groen gasondernemers hierdoor geen reële mogelijkheid hadden om hun contracten, prijsafspraken of productie keuzes aan te passen, aangezien zij mochten vertrouwen op de officiële publicaties van eind 2024 waarin geen GvO correctie voor 2025 was opgenomen?</w:t>
      </w:r>
      <w:r>
        <w:br/>
      </w:r>
    </w:p>
    <w:p>
      <w:r>
        <w:t xml:space="preserve"> </w:t>
      </w:r>
      <w:r>
        <w:br/>
      </w:r>
    </w:p>
    <w:p>
      <w:r>
        <w:t xml:space="preserve">3.</w:t>
      </w:r>
      <w:r>
        <w:br/>
      </w:r>
    </w:p>
    <w:p>
      <w:r>
        <w:t xml:space="preserve">Hoe beoordeelt u de situatie waarin ondernemers die – op basis van de gepubliceerde cijfers – in 2025 bewust kozen voor gesubsidieerde productie, nu worden geconfronteerd met substantiële financiële achteruitgang die bij tijdige communicatie voorkomen had kunnen worden?</w:t>
      </w:r>
      <w:r>
        <w:br/>
      </w:r>
    </w:p>
    <w:p>
      <w:r>
        <w:t xml:space="preserve"> </w:t>
      </w:r>
      <w:r>
        <w:br/>
      </w:r>
    </w:p>
    <w:p>
      <w:r>
        <w:t xml:space="preserve">4.</w:t>
      </w:r>
      <w:r>
        <w:br/>
      </w:r>
    </w:p>
    <w:p>
      <w:r>
        <w:t xml:space="preserve">Bent u bereid compensatie of herstelopties te overwegen voor ondernemers die door de retroactieve korting financieel zijn benadeeld, mede gezien het feit dat een deel van hen bij tijdige kennisgeving had gekozen voor onggesubsidieerde productie, wat financieel gunstiger zou zijn geweest?</w:t>
      </w:r>
      <w:r>
        <w:br/>
      </w:r>
    </w:p>
    <w:p>
      <w:r>
        <w:t xml:space="preserve"> </w:t>
      </w:r>
      <w:r>
        <w:br/>
      </w:r>
    </w:p>
    <w:p>
      <w:r>
        <w:t xml:space="preserve">5.</w:t>
      </w:r>
      <w:r>
        <w:br/>
      </w:r>
    </w:p>
    <w:p>
      <w:r>
        <w:t xml:space="preserve">Waarom acht u deze maatregel zó noodzakelijk dat u ervoor kiest ondernemers met terugwerkende kracht te belasten, terwijl een aangekondigde invoering vanaf 2026 beter zou passen bij voorspelbaar, realistisch en uitvoerbaar energiebeleid, zoals ook in diverse beleidsadviezen en politieke programma’s wordt benadrukt?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