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4"/>
        <w:gridCol w:w="4395"/>
      </w:tblGrid>
      <w:tr w:rsidR="00771D5E" w:rsidTr="006A3EF8" w14:paraId="296EFBAD" w14:textId="77777777">
        <w:tc>
          <w:tcPr>
            <w:tcW w:w="4394" w:type="dxa"/>
          </w:tcPr>
          <w:sdt>
            <w:sdtPr>
              <w:id w:val="597447541"/>
              <w:lock w:val="sdtLocked"/>
              <w:placeholder>
                <w:docPart w:val="E419BAAB116F4DAD9A631958EC3E1FF8"/>
              </w:placeholder>
              <w:text/>
            </w:sdtPr>
            <w:sdtEndPr/>
            <w:sdtContent>
              <w:p w:rsidR="00771D5E" w:rsidP="00771D5E" w:rsidRDefault="008143D7" w14:paraId="528BB79E" w14:textId="3CAAF9EE">
                <w:pPr>
                  <w:pStyle w:val="Tussenkop"/>
                </w:pPr>
                <w:r>
                  <w:t>Mandaat</w:t>
                </w:r>
                <w:r w:rsidR="0051643E">
                  <w:t>notitie</w:t>
                </w:r>
              </w:p>
            </w:sdtContent>
          </w:sdt>
          <w:p w:rsidR="00771D5E" w:rsidRDefault="00771D5E" w14:paraId="55101795" w14:textId="77777777"/>
          <w:p w:rsidR="00771D5E" w:rsidP="00771D5E" w:rsidRDefault="00D47A7B" w14:paraId="65658EF6" w14:textId="77777777">
            <w:pPr>
              <w:pStyle w:val="Legendakop"/>
            </w:pPr>
            <w:sdt>
              <w:sdtPr>
                <w:tag w:val="lblAan"/>
                <w:id w:val="-1576117823"/>
                <w:lock w:val="sdtContentLocked"/>
                <w:placeholder>
                  <w:docPart w:val="20AA8009BAEB4FFA93E293157C4C84A8"/>
                </w:placeholder>
                <w:text/>
              </w:sdtPr>
              <w:sdtEndPr/>
              <w:sdtContent>
                <w:r w:rsidR="004C7750">
                  <w:t>Aan</w:t>
                </w:r>
              </w:sdtContent>
            </w:sdt>
          </w:p>
          <w:sdt>
            <w:sdtPr>
              <w:alias w:val="txtCommissies"/>
              <w:tag w:val="txtCommissies"/>
              <w:id w:val="266655824"/>
              <w:lock w:val="sdtLocked"/>
              <w:placeholder>
                <w:docPart w:val="0CB724DE155F4A9D981F37A7DD4825C1"/>
              </w:placeholder>
            </w:sdtPr>
            <w:sdtEndPr/>
            <w:sdtContent>
              <w:p w:rsidR="00A456A1" w:rsidP="00A456A1" w:rsidRDefault="000A3775" w14:paraId="042A596C" w14:textId="0CD11CE7">
                <w:pPr>
                  <w:pStyle w:val="Legendatekst"/>
                </w:pPr>
                <w:r w:rsidRPr="000A3775">
                  <w:t>Leden van de vaste commissie voor Klimaat en Groene Groei</w:t>
                </w:r>
              </w:p>
            </w:sdtContent>
          </w:sdt>
          <w:p w:rsidRPr="000211BE" w:rsidR="00771D5E" w:rsidP="00B94A75" w:rsidRDefault="00D47A7B" w14:paraId="67B546D8" w14:textId="77777777">
            <w:pPr>
              <w:pStyle w:val="Legendakop"/>
              <w:rPr>
                <w:lang w:val="de-DE"/>
              </w:rPr>
            </w:pPr>
            <w:sdt>
              <w:sdtPr>
                <w:rPr>
                  <w:lang w:val="de-DE"/>
                </w:rPr>
                <w:tag w:val="lblDatum"/>
                <w:id w:val="-2140411034"/>
                <w:lock w:val="sdtContentLocked"/>
                <w:placeholder>
                  <w:docPart w:val="ED18005891EB408BAAE1CB554775DAD5"/>
                </w:placeholder>
                <w:text/>
              </w:sdtPr>
              <w:sdtEndPr/>
              <w:sdtContent>
                <w:r w:rsidRPr="000211BE" w:rsidR="004C7750">
                  <w:rPr>
                    <w:lang w:val="de-DE"/>
                  </w:rPr>
                  <w:t>Datum</w:t>
                </w:r>
              </w:sdtContent>
            </w:sdt>
          </w:p>
          <w:sdt>
            <w:sdtPr>
              <w:alias w:val="Datum"/>
              <w:tag w:val="dtmDatum"/>
              <w:id w:val="193665119"/>
              <w:lock w:val="sdtLocked"/>
              <w:placeholder>
                <w:docPart w:val="2678743861B94EFFA12CF2DE106AAA3B"/>
              </w:placeholder>
              <w:dataBinding w:prefixMappings="xmlns:ns0='urn:tweedekamer.nl:da:wd:templates:2025:85c5' " w:xpath="/data[1]/datum[1]" w:storeItemID="{5B489D38-C4AB-47B8-8F75-5BDEF252216E}"/>
              <w:date w:fullDate="2026-04-13T00:00:00Z">
                <w:dateFormat w:val="d MMMM yyyy"/>
                <w:lid w:val="nl-NL"/>
                <w:storeMappedDataAs w:val="dateTime"/>
                <w:calendar w:val="gregorian"/>
              </w:date>
            </w:sdtPr>
            <w:sdtEndPr/>
            <w:sdtContent>
              <w:p w:rsidRPr="000211BE" w:rsidR="000678E6" w:rsidP="000678E6" w:rsidRDefault="000A3775" w14:paraId="306BB8AB" w14:textId="30F65E9F">
                <w:pPr>
                  <w:pStyle w:val="Legendatekst"/>
                  <w:rPr>
                    <w:lang w:val="de-DE"/>
                  </w:rPr>
                </w:pPr>
                <w:r>
                  <w:t>13 april 2026</w:t>
                </w:r>
              </w:p>
            </w:sdtContent>
          </w:sdt>
        </w:tc>
        <w:tc>
          <w:tcPr>
            <w:tcW w:w="4395" w:type="dxa"/>
          </w:tcPr>
          <w:sdt>
            <w:sdtPr>
              <w:alias w:val="txtAfzenderPersoonlijk"/>
              <w:tag w:val="txtAfzenderPersoonlijk"/>
              <w:id w:val="1145699291"/>
              <w:lock w:val="sdtLocked"/>
              <w:placeholder>
                <w:docPart w:val="8395F0F9803D425D93B741CAEBEADC0D"/>
              </w:placeholder>
            </w:sdtPr>
            <w:sdtEndPr/>
            <w:sdtContent>
              <w:p w:rsidR="000A3775" w:rsidP="000A3775" w:rsidRDefault="000A3775" w14:paraId="0B466D80" w14:textId="77777777">
                <w:pPr>
                  <w:pStyle w:val="Afzendergegevens"/>
                </w:pPr>
                <w:r>
                  <w:t>Esther Spaans</w:t>
                </w:r>
              </w:p>
              <w:p w:rsidR="000A3775" w:rsidP="000A3775" w:rsidRDefault="000A3775" w14:paraId="27E37EB9" w14:textId="77777777">
                <w:pPr>
                  <w:pStyle w:val="Afzendergegevens"/>
                </w:pPr>
                <w:r>
                  <w:t>Wetgevingsadviseur</w:t>
                </w:r>
              </w:p>
              <w:p w:rsidR="000A3775" w:rsidP="000A3775" w:rsidRDefault="000A3775" w14:paraId="5D815406" w14:textId="77777777">
                <w:pPr>
                  <w:pStyle w:val="Afzendergegevens"/>
                </w:pPr>
                <w:r>
                  <w:t>T 0625734166</w:t>
                </w:r>
              </w:p>
              <w:p w:rsidR="00A456A1" w:rsidP="000A3775" w:rsidRDefault="000A3775" w14:paraId="2F9836B0" w14:textId="45815BB2">
                <w:pPr>
                  <w:pStyle w:val="Afzendergegevens"/>
                </w:pPr>
                <w:r>
                  <w:t>E e.spaans@tweedekamer.nl</w:t>
                </w:r>
              </w:p>
            </w:sdtContent>
          </w:sdt>
          <w:p w:rsidRPr="00A456A1" w:rsidR="00A456A1" w:rsidP="00A456A1" w:rsidRDefault="00A456A1" w14:paraId="7D76CB1C" w14:textId="77777777">
            <w:pPr>
              <w:pStyle w:val="Afzendergegevens"/>
              <w:rPr>
                <w:sz w:val="18"/>
              </w:rPr>
            </w:pPr>
          </w:p>
          <w:p w:rsidR="00D712DA" w:rsidRDefault="00D712DA" w14:paraId="515AF4D2" w14:textId="77777777"/>
        </w:tc>
      </w:tr>
    </w:tbl>
    <w:p w:rsidR="00BC0DBA" w:rsidP="00771D5E" w:rsidRDefault="00BC0DBA" w14:paraId="21B9D818" w14:textId="77777777">
      <w:pPr>
        <w:pStyle w:val="Scheidingsalinea"/>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789"/>
      </w:tblGrid>
      <w:tr w:rsidR="00771D5E" w:rsidTr="006A3EF8" w14:paraId="4ED9245F" w14:textId="77777777">
        <w:tc>
          <w:tcPr>
            <w:tcW w:w="8789" w:type="dxa"/>
          </w:tcPr>
          <w:p w:rsidR="00771D5E" w:rsidP="00B94A75" w:rsidRDefault="00D47A7B" w14:paraId="71A3C5B1" w14:textId="77777777">
            <w:pPr>
              <w:pStyle w:val="Legendakop"/>
            </w:pPr>
            <w:sdt>
              <w:sdtPr>
                <w:tag w:val="lblTeBetrekkenBij"/>
                <w:id w:val="1546945238"/>
                <w:lock w:val="sdtContentLocked"/>
                <w:placeholder>
                  <w:docPart w:val="E867DF5618074963A6C47C6E679B487A"/>
                </w:placeholder>
                <w:text/>
              </w:sdtPr>
              <w:sdtEndPr/>
              <w:sdtContent>
                <w:r w:rsidR="004C7750">
                  <w:t>Te betrekken bij</w:t>
                </w:r>
              </w:sdtContent>
            </w:sdt>
          </w:p>
          <w:sdt>
            <w:sdtPr>
              <w:alias w:val="Te betrekken bij"/>
              <w:tag w:val="txtTeBetrekkenBij"/>
              <w:id w:val="8726486"/>
              <w:lock w:val="sdtLocked"/>
              <w:placeholder>
                <w:docPart w:val="9D627080E5024AB4B478A4A38D2C7A39"/>
              </w:placeholder>
              <w:text w:multiLine="1"/>
            </w:sdtPr>
            <w:sdtEndPr/>
            <w:sdtContent>
              <w:p w:rsidR="006E3A7F" w:rsidP="006E3A7F" w:rsidRDefault="000A3775" w14:paraId="32E40140" w14:textId="29FC0A13">
                <w:pPr>
                  <w:pStyle w:val="Legendatekst"/>
                </w:pPr>
                <w:r w:rsidRPr="000A3775">
                  <w:t>procedurevergadering d.d. 21 april 2026</w:t>
                </w:r>
              </w:p>
            </w:sdtContent>
          </w:sdt>
          <w:p w:rsidR="006E3A7F" w:rsidP="00B94A75" w:rsidRDefault="006E3A7F" w14:paraId="7010C818" w14:textId="77777777"/>
        </w:tc>
      </w:tr>
    </w:tbl>
    <w:sdt>
      <w:sdtPr>
        <w:alias w:val="Titel"/>
        <w:tag w:val="txtTitel"/>
        <w:id w:val="-1474901945"/>
        <w:lock w:val="sdtLocked"/>
        <w:placeholder>
          <w:docPart w:val="D119871A29EC45F1B0B716DAA6D3386B"/>
        </w:placeholder>
        <w:dataBinding w:prefixMappings="xmlns:ns0='urn:tweedekamer.nl:da:wd:templates:2025:85c5' " w:xpath="/data[1]/onderwerp[1]" w:storeItemID="{5B489D38-C4AB-47B8-8F75-5BDEF252216E}"/>
        <w:text w:multiLine="1"/>
      </w:sdtPr>
      <w:sdtEndPr/>
      <w:sdtContent>
        <w:p w:rsidR="008C3B2E" w:rsidP="008C3B2E" w:rsidRDefault="000A3775" w14:paraId="7B5540D3" w14:textId="6161B5EE">
          <w:pPr>
            <w:pStyle w:val="Titel"/>
          </w:pPr>
          <w:r w:rsidRPr="000A3775">
            <w:t>Mandaatnotitie wetsvoorstel bijmengverplichting groen gas</w:t>
          </w:r>
        </w:p>
      </w:sdtContent>
    </w:sdt>
    <w:p w:rsidRPr="009959D1" w:rsidR="0051643E" w:rsidP="009959D1" w:rsidRDefault="0051643E" w14:paraId="10A4E993" w14:textId="77777777">
      <w:pPr>
        <w:pStyle w:val="Kop1"/>
      </w:pPr>
      <w:bookmarkStart w:name="_Toc197884918" w:id="0"/>
      <w:r w:rsidRPr="009959D1">
        <w:t>Inleiding</w:t>
      </w:r>
      <w:bookmarkEnd w:id="0"/>
    </w:p>
    <w:p w:rsidR="0051643E" w:rsidP="000A3775" w:rsidRDefault="000A3775" w14:paraId="458F1BEE" w14:textId="66BBD2E0">
      <w:pPr>
        <w:rPr>
          <w:lang w:eastAsia="nl-NL"/>
        </w:rPr>
      </w:pPr>
      <w:r>
        <w:rPr>
          <w:lang w:eastAsia="nl-NL"/>
        </w:rPr>
        <w:br/>
        <w:t>In de procedurevergadering van 9 december 2025 is het lid Daniël van den Berg (JA21) benoemd als wetgevingsrapporteur voor het aangekondigde wetsvoorstel bijmengverplichting groen gas. Deze notitie bevat een voorstel van de rapporteur voor de invulling van het rapporteurschap, waarvoor mandaat van de commissie voor Klimaat en Groene Groei wordt verzocht.</w:t>
      </w:r>
    </w:p>
    <w:p w:rsidR="000A3775" w:rsidP="000A3775" w:rsidRDefault="000A3775" w14:paraId="637AAC70" w14:textId="77777777">
      <w:pPr>
        <w:rPr>
          <w:lang w:eastAsia="nl-NL"/>
        </w:rPr>
      </w:pPr>
    </w:p>
    <w:tbl>
      <w:tblPr>
        <w:tblW w:w="8080" w:type="dxa"/>
        <w:tblCellMar>
          <w:top w:w="113" w:type="dxa"/>
          <w:bottom w:w="113" w:type="dxa"/>
        </w:tblCellMar>
        <w:tblLook w:val="04A0" w:firstRow="1" w:lastRow="0" w:firstColumn="1" w:lastColumn="0" w:noHBand="0" w:noVBand="1"/>
      </w:tblPr>
      <w:tblGrid>
        <w:gridCol w:w="8080"/>
      </w:tblGrid>
      <w:tr w:rsidR="000A3775" w:rsidTr="002458AD" w14:paraId="2D0558FD" w14:textId="77777777">
        <w:trPr>
          <w:trHeight w:val="1108"/>
        </w:trPr>
        <w:tc>
          <w:tcPr>
            <w:tcW w:w="8080" w:type="dxa"/>
            <w:tcBorders>
              <w:top w:val="nil"/>
              <w:left w:val="nil"/>
              <w:bottom w:val="nil"/>
              <w:right w:val="nil"/>
            </w:tcBorders>
            <w:shd w:val="clear" w:color="auto" w:fill="D1E3EB"/>
            <w:tcMar>
              <w:left w:w="227" w:type="dxa"/>
              <w:bottom w:w="227" w:type="dxa"/>
            </w:tcMar>
          </w:tcPr>
          <w:p w:rsidR="000A3775" w:rsidP="002458AD" w:rsidRDefault="000A3775" w14:paraId="65EDA2EE" w14:textId="77777777">
            <w:pPr>
              <w:rPr>
                <w:b/>
                <w:iCs/>
              </w:rPr>
            </w:pPr>
            <w:r>
              <w:rPr>
                <w:b/>
                <w:iCs/>
              </w:rPr>
              <w:t>Beslispunten</w:t>
            </w:r>
          </w:p>
          <w:p w:rsidRPr="00B6388D" w:rsidR="000A3775" w:rsidP="000A3775" w:rsidRDefault="000A3775" w14:paraId="689082CA" w14:textId="77777777">
            <w:pPr>
              <w:pStyle w:val="Lijstalinea"/>
              <w:numPr>
                <w:ilvl w:val="0"/>
                <w:numId w:val="19"/>
              </w:numPr>
              <w:tabs>
                <w:tab w:val="left" w:pos="768"/>
                <w:tab w:val="left" w:pos="5670"/>
                <w:tab w:val="left" w:pos="9072"/>
              </w:tabs>
              <w:autoSpaceDN w:val="0"/>
              <w:spacing w:after="0" w:line="300" w:lineRule="exact"/>
              <w:textAlignment w:val="baseline"/>
              <w:rPr>
                <w:b/>
                <w:iCs/>
              </w:rPr>
            </w:pPr>
            <w:r>
              <w:t xml:space="preserve">Het lid Van den Berg het mandaat verlenen op te treden als wetgevingsrapporteur namens de commissie voor het aangekondigde wetsvoorstel bijmengverplichting groen gas overeenkomstig de in deze notitie voorgestelde invulling. </w:t>
            </w:r>
          </w:p>
          <w:p w:rsidRPr="007D7B4D" w:rsidR="000A3775" w:rsidP="000A3775" w:rsidRDefault="000A3775" w14:paraId="2933E116" w14:textId="59EC69E1">
            <w:pPr>
              <w:pStyle w:val="Lijstalinea"/>
              <w:numPr>
                <w:ilvl w:val="0"/>
                <w:numId w:val="19"/>
              </w:numPr>
              <w:tabs>
                <w:tab w:val="left" w:pos="768"/>
                <w:tab w:val="left" w:pos="5670"/>
                <w:tab w:val="left" w:pos="9072"/>
              </w:tabs>
              <w:autoSpaceDN w:val="0"/>
              <w:spacing w:after="0" w:line="300" w:lineRule="exact"/>
              <w:textAlignment w:val="baseline"/>
              <w:rPr>
                <w:b/>
                <w:iCs/>
              </w:rPr>
            </w:pPr>
            <w:r>
              <w:t>Instemmen met de door de wetgevingsrapporteur voorgestelde activiteiten:</w:t>
            </w:r>
          </w:p>
          <w:p w:rsidRPr="00A34644" w:rsidR="00A148DC" w:rsidP="00A148DC" w:rsidRDefault="000A3775" w14:paraId="607A94A4" w14:textId="1862E7E4">
            <w:pPr>
              <w:pStyle w:val="Lijstalinea"/>
              <w:numPr>
                <w:ilvl w:val="0"/>
                <w:numId w:val="0"/>
              </w:numPr>
              <w:tabs>
                <w:tab w:val="left" w:pos="567"/>
                <w:tab w:val="left" w:pos="5670"/>
                <w:tab w:val="left" w:pos="9072"/>
              </w:tabs>
              <w:autoSpaceDN w:val="0"/>
              <w:spacing w:after="0" w:line="300" w:lineRule="exact"/>
              <w:ind w:left="758"/>
              <w:textAlignment w:val="baseline"/>
              <w:rPr>
                <w:b/>
                <w:iCs/>
              </w:rPr>
            </w:pPr>
            <w:r w:rsidRPr="00A34644">
              <w:rPr>
                <w:b/>
                <w:iCs/>
              </w:rPr>
              <w:t xml:space="preserve">- </w:t>
            </w:r>
            <w:r w:rsidR="00A34644">
              <w:t>Verkenning onder lidstaten naar alternatieven om groen gas te stimuleren via parlementair netwerk (</w:t>
            </w:r>
            <w:r w:rsidRPr="00597505" w:rsidR="00A34644">
              <w:t>ECPRD</w:t>
            </w:r>
            <w:r w:rsidR="00A34644">
              <w:t>)</w:t>
            </w:r>
            <w:r w:rsidR="00F3426E">
              <w:t>;</w:t>
            </w:r>
          </w:p>
          <w:p w:rsidRPr="00191680" w:rsidR="000A3775" w:rsidP="00A148DC" w:rsidRDefault="00A148DC" w14:paraId="464ECDDA" w14:textId="3553BA48">
            <w:pPr>
              <w:pStyle w:val="Lijstalinea"/>
              <w:numPr>
                <w:ilvl w:val="0"/>
                <w:numId w:val="0"/>
              </w:numPr>
              <w:tabs>
                <w:tab w:val="left" w:pos="768"/>
              </w:tabs>
              <w:ind w:left="758"/>
              <w:rPr>
                <w:bCs/>
                <w:iCs/>
              </w:rPr>
            </w:pPr>
            <w:r>
              <w:rPr>
                <w:bCs/>
                <w:iCs/>
              </w:rPr>
              <w:t xml:space="preserve">- </w:t>
            </w:r>
            <w:r w:rsidR="000A3775">
              <w:rPr>
                <w:bCs/>
                <w:iCs/>
              </w:rPr>
              <w:t>technische briefing door het ministerie van K&amp;GG en de Nederlandse emissieautoriteit;</w:t>
            </w:r>
          </w:p>
          <w:p w:rsidR="000A3775" w:rsidP="00A148DC" w:rsidRDefault="000A3775" w14:paraId="583BFB43" w14:textId="77777777">
            <w:pPr>
              <w:pStyle w:val="Lijstalinea"/>
              <w:numPr>
                <w:ilvl w:val="0"/>
                <w:numId w:val="0"/>
              </w:numPr>
              <w:tabs>
                <w:tab w:val="left" w:pos="768"/>
              </w:tabs>
              <w:ind w:left="758"/>
              <w:rPr>
                <w:bCs/>
                <w:iCs/>
              </w:rPr>
            </w:pPr>
            <w:r w:rsidRPr="00191680">
              <w:rPr>
                <w:bCs/>
                <w:iCs/>
              </w:rPr>
              <w:t xml:space="preserve">- </w:t>
            </w:r>
            <w:r>
              <w:rPr>
                <w:bCs/>
                <w:iCs/>
              </w:rPr>
              <w:t>rondetafelgesprek;</w:t>
            </w:r>
          </w:p>
          <w:p w:rsidRPr="00D238EA" w:rsidR="000A3775" w:rsidP="00A148DC" w:rsidRDefault="000A3775" w14:paraId="102315BB" w14:textId="77777777">
            <w:pPr>
              <w:pStyle w:val="Lijstalinea"/>
              <w:numPr>
                <w:ilvl w:val="0"/>
                <w:numId w:val="0"/>
              </w:numPr>
              <w:tabs>
                <w:tab w:val="left" w:pos="768"/>
              </w:tabs>
              <w:ind w:left="758"/>
              <w:rPr>
                <w:bCs/>
                <w:iCs/>
              </w:rPr>
            </w:pPr>
            <w:r>
              <w:rPr>
                <w:bCs/>
                <w:iCs/>
              </w:rPr>
              <w:t>- analyse van het wetsvoorstel en politiek-neutrale inbreng namens de commissie.</w:t>
            </w:r>
          </w:p>
        </w:tc>
      </w:tr>
    </w:tbl>
    <w:p w:rsidR="0051643E" w:rsidP="0051643E" w:rsidRDefault="0051643E" w14:paraId="1E2F4EA8" w14:textId="5902021A">
      <w:pPr>
        <w:rPr>
          <w:lang w:eastAsia="nl-NL"/>
        </w:rPr>
      </w:pPr>
    </w:p>
    <w:p w:rsidR="009D47F8" w:rsidP="0051643E" w:rsidRDefault="009D47F8" w14:paraId="07C22CF5" w14:textId="77777777">
      <w:pPr>
        <w:rPr>
          <w:lang w:eastAsia="nl-NL"/>
        </w:rPr>
      </w:pPr>
    </w:p>
    <w:p w:rsidR="0051643E" w:rsidP="008C069A" w:rsidRDefault="0054116D" w14:paraId="17E94AAA" w14:textId="63EA7831">
      <w:pPr>
        <w:pStyle w:val="Kop1"/>
        <w:numPr>
          <w:ilvl w:val="0"/>
          <w:numId w:val="0"/>
        </w:numPr>
      </w:pPr>
      <w:r w:rsidRPr="0054116D">
        <w:lastRenderedPageBreak/>
        <w:t>2</w:t>
      </w:r>
      <w:r w:rsidRPr="0054116D">
        <w:tab/>
        <w:t>Aangekondigd wetvoorstel bijmengverplichting groen gas</w:t>
      </w:r>
    </w:p>
    <w:p w:rsidR="008C069A" w:rsidP="008C069A" w:rsidRDefault="008C069A" w14:paraId="6E702504" w14:textId="77777777">
      <w:pPr>
        <w:pStyle w:val="Tussenkop"/>
        <w:rPr>
          <w:lang w:eastAsia="nl-NL"/>
        </w:rPr>
      </w:pPr>
      <w:r>
        <w:rPr>
          <w:lang w:eastAsia="nl-NL"/>
        </w:rPr>
        <w:t>Stand van zaken en planning</w:t>
      </w:r>
    </w:p>
    <w:p w:rsidR="008C069A" w:rsidP="008C069A" w:rsidRDefault="008C069A" w14:paraId="5F490842" w14:textId="080E5A80">
      <w:pPr>
        <w:rPr>
          <w:lang w:eastAsia="nl-NL"/>
        </w:rPr>
      </w:pPr>
      <w:r>
        <w:rPr>
          <w:lang w:eastAsia="nl-NL"/>
        </w:rPr>
        <w:t>Een eerste versie van het wetsvoorstel is op 27 mei 2024 aanhangig gemaakt bij de Afdeling advisering van de Raad van State voor advies. Ook heeft er een kennisgeving van het wetsvoorstel aan Europese Commissie plaatsgevonden. Op 12 augustus 2024 heeft de Europese Commissie in een uitvoerig gemotiveerde mening (UGM) aangegeven dat het wetsvoorstel in strijd is met artikel 34 van het Verdrag betreffende de Werking van de Europese Unie (VWEU), omdat artikel 9.9.4.1, onder a, van het toen aangemelde ontwerp bepaalde dat een leverancier alleen aan de bijmengverplichting kan voldoen door gebruik te maken van gas uit hernieuwbare bronnen dat met een in Nederland gevestigde productie-installatie is geproduceerd. Deze bepaling bracht daarmee een verschil in behandeling tot stand tussen groen gas d</w:t>
      </w:r>
      <w:r w:rsidR="00792C35">
        <w:rPr>
          <w:lang w:eastAsia="nl-NL"/>
        </w:rPr>
        <w:t>at</w:t>
      </w:r>
      <w:r>
        <w:rPr>
          <w:lang w:eastAsia="nl-NL"/>
        </w:rPr>
        <w:t xml:space="preserve"> binnen Nederland wordt verhandeld en groen gas d</w:t>
      </w:r>
      <w:r w:rsidR="00792C35">
        <w:rPr>
          <w:lang w:eastAsia="nl-NL"/>
        </w:rPr>
        <w:t>at</w:t>
      </w:r>
      <w:r>
        <w:rPr>
          <w:lang w:eastAsia="nl-NL"/>
        </w:rPr>
        <w:t xml:space="preserve"> wordt geïmporteerd. Ook oordeelde de Europese Commissie dat er geen sprake was van een rechtvaardigingsgrond op grond van artikel 36 VWEU. Vervolgens heeft de regering besloten het wetsvoorstel aan te passen en is het </w:t>
      </w:r>
      <w:hyperlink w:history="1" r:id="rId13">
        <w:r w:rsidR="00E45CBA">
          <w:rPr>
            <w:color w:val="0000FF"/>
            <w:u w:val="single"/>
          </w:rPr>
          <w:t>wetsvoorstel</w:t>
        </w:r>
      </w:hyperlink>
      <w:r>
        <w:rPr>
          <w:lang w:eastAsia="nl-NL"/>
        </w:rPr>
        <w:t xml:space="preserve"> op 19 november 2025 opnieuw aanhangig gemaakte bij de Raad. </w:t>
      </w:r>
    </w:p>
    <w:p w:rsidR="008C069A" w:rsidP="008C069A" w:rsidRDefault="008C069A" w14:paraId="0FCEA4EB" w14:textId="77777777">
      <w:pPr>
        <w:rPr>
          <w:lang w:eastAsia="nl-NL"/>
        </w:rPr>
      </w:pPr>
    </w:p>
    <w:p w:rsidR="008C069A" w:rsidP="008C069A" w:rsidRDefault="008C069A" w14:paraId="05999627" w14:textId="42C70341">
      <w:pPr>
        <w:rPr>
          <w:lang w:eastAsia="nl-NL"/>
        </w:rPr>
      </w:pPr>
      <w:r>
        <w:rPr>
          <w:lang w:eastAsia="nl-NL"/>
        </w:rPr>
        <w:t>De Afdeling advisering van de Raad van State heeft vervolgens op 18 maart 2026 een advies uitgebracht over het wetsvoorstel</w:t>
      </w:r>
      <w:r w:rsidR="00645647">
        <w:rPr>
          <w:lang w:eastAsia="nl-NL"/>
        </w:rPr>
        <w:t xml:space="preserve"> (dictum B)</w:t>
      </w:r>
      <w:r>
        <w:rPr>
          <w:lang w:eastAsia="nl-NL"/>
        </w:rPr>
        <w:t xml:space="preserve">. In de </w:t>
      </w:r>
      <w:hyperlink w:history="1" r:id="rId14">
        <w:r w:rsidR="005A1F5B">
          <w:rPr>
            <w:color w:val="0000FF"/>
            <w:u w:val="single"/>
          </w:rPr>
          <w:t>planningsbrief</w:t>
        </w:r>
      </w:hyperlink>
      <w:r>
        <w:rPr>
          <w:lang w:eastAsia="nl-NL"/>
        </w:rPr>
        <w:t xml:space="preserve"> van de minister van K&amp;GG staat aangegeven dat de planning is om het wetsvoorstel in Q1 2026 naar de Kamer te sturen.</w:t>
      </w:r>
    </w:p>
    <w:p w:rsidR="008C069A" w:rsidP="008C069A" w:rsidRDefault="008C069A" w14:paraId="70221448" w14:textId="77777777">
      <w:pPr>
        <w:rPr>
          <w:lang w:eastAsia="nl-NL"/>
        </w:rPr>
      </w:pPr>
    </w:p>
    <w:p w:rsidR="008C069A" w:rsidP="009959D1" w:rsidRDefault="008C069A" w14:paraId="6670FE3F" w14:textId="7510E29A">
      <w:pPr>
        <w:pStyle w:val="Tussenkop"/>
        <w:rPr>
          <w:lang w:eastAsia="nl-NL"/>
        </w:rPr>
      </w:pPr>
      <w:r>
        <w:rPr>
          <w:lang w:eastAsia="nl-NL"/>
        </w:rPr>
        <w:t>Inhoud wetsvoorstel</w:t>
      </w:r>
      <w:r w:rsidR="00B25E78">
        <w:rPr>
          <w:rStyle w:val="Voetnootmarkering"/>
          <w:lang w:eastAsia="nl-NL"/>
        </w:rPr>
        <w:footnoteReference w:id="1"/>
      </w:r>
      <w:r>
        <w:rPr>
          <w:lang w:eastAsia="nl-NL"/>
        </w:rPr>
        <w:t xml:space="preserve"> </w:t>
      </w:r>
    </w:p>
    <w:p w:rsidR="008C069A" w:rsidP="008C069A" w:rsidRDefault="008C069A" w14:paraId="17D6ACE7" w14:textId="77777777">
      <w:pPr>
        <w:rPr>
          <w:lang w:eastAsia="nl-NL"/>
        </w:rPr>
      </w:pPr>
      <w:r>
        <w:rPr>
          <w:lang w:eastAsia="nl-NL"/>
        </w:rPr>
        <w:t>Het wetsvoorstel bevat een verplichting voor energieleveranciers om jaarlijks een bepaalde hoeveelheid groen gas te leveren aan eindgebruikers. Groen gas wordt gemaakt uit hernieuwbare (bio)grondstoffen, bijvoorbeeld mest afkomstig van de landbouw. Het wetsvoorstel beoogt de groei van groengasproductie te stimuleren. De bijmengverplichting groen gas draagt bij aan het behalen van de doelstellingen van een groter aandeel energie uit hernieuwbare bronnen en 55% broeikasgasemissiereductie in 2030.</w:t>
      </w:r>
    </w:p>
    <w:p w:rsidR="008C069A" w:rsidP="008C069A" w:rsidRDefault="008C069A" w14:paraId="21B3D09E" w14:textId="77777777">
      <w:pPr>
        <w:rPr>
          <w:lang w:eastAsia="nl-NL"/>
        </w:rPr>
      </w:pPr>
    </w:p>
    <w:p w:rsidR="008C069A" w:rsidP="008C069A" w:rsidRDefault="008C069A" w14:paraId="0A5707CE" w14:textId="77777777">
      <w:pPr>
        <w:rPr>
          <w:lang w:eastAsia="nl-NL"/>
        </w:rPr>
      </w:pPr>
      <w:r>
        <w:rPr>
          <w:lang w:eastAsia="nl-NL"/>
        </w:rPr>
        <w:t xml:space="preserve">De energieleverancier voldoet aan de bijmengverplichting door te beschikken over zogenoemde groengaseenheden. Dat werkt als volgt. Een groengaseenheid vertegenwoordigt één kilogram CO2-equivalent emissiereductie die behaald is in de keten. Voor het berekenen van de emissiereductie wordt gekeken naar alle schakels in de gasketen, van de bron tot en met het moment van gebruik. Een energieleverancier is een aantal groengaseenheden verschuldigd dat overeenkomt met zijn marktaandeel. </w:t>
      </w:r>
    </w:p>
    <w:p w:rsidR="008C069A" w:rsidP="008C069A" w:rsidRDefault="008C069A" w14:paraId="47D32B79" w14:textId="77777777">
      <w:pPr>
        <w:rPr>
          <w:lang w:eastAsia="nl-NL"/>
        </w:rPr>
      </w:pPr>
    </w:p>
    <w:p w:rsidR="008C069A" w:rsidP="008C069A" w:rsidRDefault="008C069A" w14:paraId="0B379F4C" w14:textId="77777777">
      <w:pPr>
        <w:rPr>
          <w:lang w:eastAsia="nl-NL"/>
        </w:rPr>
      </w:pPr>
      <w:r>
        <w:rPr>
          <w:lang w:eastAsia="nl-NL"/>
        </w:rPr>
        <w:t xml:space="preserve">Het totale aantal groengaseenheden van alle energieleveranciers moet ervoor zorgen dat, via een jaarlijks oplopend groeipad, in 2031 het streefdoel van de bijmengverplichting van 2,85 </w:t>
      </w:r>
      <w:proofErr w:type="spellStart"/>
      <w:r>
        <w:rPr>
          <w:lang w:eastAsia="nl-NL"/>
        </w:rPr>
        <w:t>Mton</w:t>
      </w:r>
      <w:proofErr w:type="spellEnd"/>
      <w:r>
        <w:rPr>
          <w:lang w:eastAsia="nl-NL"/>
        </w:rPr>
        <w:t xml:space="preserve"> CO2-ketenemissiereductie wordt gehaald. Het marktaandeel en het aantal verschuldigde groengaseenheden worden bepaald bij algemene maatregel van bestuur.</w:t>
      </w:r>
    </w:p>
    <w:p w:rsidR="008C069A" w:rsidP="008C069A" w:rsidRDefault="008C069A" w14:paraId="6FE6CE05" w14:textId="77777777">
      <w:pPr>
        <w:rPr>
          <w:lang w:eastAsia="nl-NL"/>
        </w:rPr>
      </w:pPr>
    </w:p>
    <w:p w:rsidR="008C069A" w:rsidP="008C069A" w:rsidRDefault="008C069A" w14:paraId="047A847D" w14:textId="77777777">
      <w:pPr>
        <w:rPr>
          <w:lang w:eastAsia="nl-NL"/>
        </w:rPr>
      </w:pPr>
      <w:r>
        <w:rPr>
          <w:lang w:eastAsia="nl-NL"/>
        </w:rPr>
        <w:lastRenderedPageBreak/>
        <w:t>Met het wetsvoorstel wordt een nieuwe handelssystematiek geïntroduceerd die in Nederland zou gaan gelden, maar niet is gebaseerd op EU-wetgeving. Groengaseenheden kunnen worden gekocht en verkocht, zodat de markt als geheel aan de bijmengverplichting voldoet.</w:t>
      </w:r>
    </w:p>
    <w:p w:rsidR="008C069A" w:rsidP="008C069A" w:rsidRDefault="008C069A" w14:paraId="6B396DD3" w14:textId="77777777">
      <w:pPr>
        <w:rPr>
          <w:lang w:eastAsia="nl-NL"/>
        </w:rPr>
      </w:pPr>
    </w:p>
    <w:p w:rsidR="008C069A" w:rsidP="008C069A" w:rsidRDefault="008C069A" w14:paraId="15371D42" w14:textId="77777777">
      <w:pPr>
        <w:rPr>
          <w:lang w:eastAsia="nl-NL"/>
        </w:rPr>
      </w:pPr>
      <w:r>
        <w:rPr>
          <w:lang w:eastAsia="nl-NL"/>
        </w:rPr>
        <w:t>De Nederlandse Emissieautoriteit (</w:t>
      </w:r>
      <w:proofErr w:type="spellStart"/>
      <w:r>
        <w:rPr>
          <w:lang w:eastAsia="nl-NL"/>
        </w:rPr>
        <w:t>NEa</w:t>
      </w:r>
      <w:proofErr w:type="spellEnd"/>
      <w:r>
        <w:rPr>
          <w:lang w:eastAsia="nl-NL"/>
        </w:rPr>
        <w:t xml:space="preserve">) wordt belast met het toezicht op de hierboven genoemde handelssystematiek en de naleving van de bijmengverplichting groen gas. Ook dient de </w:t>
      </w:r>
      <w:proofErr w:type="spellStart"/>
      <w:r>
        <w:rPr>
          <w:lang w:eastAsia="nl-NL"/>
        </w:rPr>
        <w:t>NEa</w:t>
      </w:r>
      <w:proofErr w:type="spellEnd"/>
      <w:r>
        <w:rPr>
          <w:lang w:eastAsia="nl-NL"/>
        </w:rPr>
        <w:t xml:space="preserve"> toezicht te houden op private certificeringsorganen, die de naleving door marktdeelnemers van duurzaamheids- en broeikasgasemissiereductiecriteria controleren.. </w:t>
      </w:r>
    </w:p>
    <w:p w:rsidR="008C069A" w:rsidP="008C069A" w:rsidRDefault="008C069A" w14:paraId="7E6A2C23" w14:textId="77777777">
      <w:pPr>
        <w:rPr>
          <w:lang w:eastAsia="nl-NL"/>
        </w:rPr>
      </w:pPr>
    </w:p>
    <w:p w:rsidR="008C069A" w:rsidP="009959D1" w:rsidRDefault="008C069A" w14:paraId="4A2C3FA3" w14:textId="77777777">
      <w:pPr>
        <w:pStyle w:val="Tussenkop"/>
        <w:rPr>
          <w:lang w:eastAsia="nl-NL"/>
        </w:rPr>
      </w:pPr>
      <w:r>
        <w:rPr>
          <w:lang w:eastAsia="nl-NL"/>
        </w:rPr>
        <w:t>Advies Raad van State</w:t>
      </w:r>
    </w:p>
    <w:p w:rsidR="008C069A" w:rsidP="008C069A" w:rsidRDefault="008C069A" w14:paraId="1E92330C" w14:textId="01315FDC">
      <w:pPr>
        <w:rPr>
          <w:lang w:eastAsia="nl-NL"/>
        </w:rPr>
      </w:pPr>
      <w:r>
        <w:rPr>
          <w:lang w:eastAsia="nl-NL"/>
        </w:rPr>
        <w:t xml:space="preserve">De Raad heeft inmiddels op 18 maart 2026 een </w:t>
      </w:r>
      <w:hyperlink w:history="1" r:id="rId15">
        <w:r w:rsidR="005C0A5C">
          <w:rPr>
            <w:rStyle w:val="Hyperlink"/>
          </w:rPr>
          <w:t>advies</w:t>
        </w:r>
      </w:hyperlink>
      <w:r>
        <w:rPr>
          <w:lang w:eastAsia="nl-NL"/>
        </w:rPr>
        <w:t xml:space="preserve"> uitgebracht over het wetsvoorstel bijmengverplichting groen gas.  De Raad heeft een aantal opmerkingen bij het voorstel en adviseert daarmee rekening te houden voordat het voorstel bij de Tweede Kamer der Staten-Generaal wordt ingediend (B-dictum). </w:t>
      </w:r>
    </w:p>
    <w:p w:rsidR="008C069A" w:rsidP="008C069A" w:rsidRDefault="008C069A" w14:paraId="69BD1D3D" w14:textId="77777777">
      <w:pPr>
        <w:rPr>
          <w:lang w:eastAsia="nl-NL"/>
        </w:rPr>
      </w:pPr>
      <w:r>
        <w:rPr>
          <w:lang w:eastAsia="nl-NL"/>
        </w:rPr>
        <w:t>Kort samengevat maakt de Raad opmerkingen over de volgende  onderwerpen:</w:t>
      </w:r>
    </w:p>
    <w:p w:rsidR="008C069A" w:rsidP="008C069A" w:rsidRDefault="008C069A" w14:paraId="17178AC0" w14:textId="77777777">
      <w:pPr>
        <w:rPr>
          <w:lang w:eastAsia="nl-NL"/>
        </w:rPr>
      </w:pPr>
      <w:r>
        <w:rPr>
          <w:lang w:eastAsia="nl-NL"/>
        </w:rPr>
        <w:t>1.</w:t>
      </w:r>
      <w:r>
        <w:rPr>
          <w:lang w:eastAsia="nl-NL"/>
        </w:rPr>
        <w:tab/>
        <w:t xml:space="preserve">De </w:t>
      </w:r>
      <w:proofErr w:type="spellStart"/>
      <w:r>
        <w:rPr>
          <w:lang w:eastAsia="nl-NL"/>
        </w:rPr>
        <w:t>NEa</w:t>
      </w:r>
      <w:proofErr w:type="spellEnd"/>
      <w:r>
        <w:rPr>
          <w:lang w:eastAsia="nl-NL"/>
        </w:rPr>
        <w:t xml:space="preserve"> krijgt een toezichthoudende taak op de keten en maakt daarbij gebruik van de in de Uniebank ingevoerde gegevens. Deze Uniebank is echter nog niet volledig operationeel wat bij de Raad de vraag doet rijzen of het verantwoord is om al met de bijmengverplichting te starten.</w:t>
      </w:r>
    </w:p>
    <w:p w:rsidR="008C069A" w:rsidP="008C069A" w:rsidRDefault="008C069A" w14:paraId="7D329634" w14:textId="77777777">
      <w:pPr>
        <w:rPr>
          <w:lang w:eastAsia="nl-NL"/>
        </w:rPr>
      </w:pPr>
      <w:r>
        <w:rPr>
          <w:lang w:eastAsia="nl-NL"/>
        </w:rPr>
        <w:t>2.</w:t>
      </w:r>
      <w:r>
        <w:rPr>
          <w:lang w:eastAsia="nl-NL"/>
        </w:rPr>
        <w:tab/>
        <w:t>De Raad heeft vragen over of het mogelijk is dat brandstofleveranciers één en dezelfde emissiereductie zowel kunnen claimen op basis van de bijmengverplichting als op basis van de jaarverplichting hernieuwbare energie en zo ja, of dat ook wenselijk is.</w:t>
      </w:r>
    </w:p>
    <w:p w:rsidR="008C069A" w:rsidP="008C069A" w:rsidRDefault="008C069A" w14:paraId="18B93A69" w14:textId="77777777">
      <w:pPr>
        <w:rPr>
          <w:lang w:eastAsia="nl-NL"/>
        </w:rPr>
      </w:pPr>
      <w:r>
        <w:rPr>
          <w:lang w:eastAsia="nl-NL"/>
        </w:rPr>
        <w:t>3.</w:t>
      </w:r>
      <w:r>
        <w:rPr>
          <w:lang w:eastAsia="nl-NL"/>
        </w:rPr>
        <w:tab/>
        <w:t>De Raad vraagt zich af in hoeverre bij ministeriele regeling duurzaamheidseisen gesteld kunnen worden aan de levering van groen gas.</w:t>
      </w:r>
    </w:p>
    <w:p w:rsidR="008C069A" w:rsidP="008C069A" w:rsidRDefault="008C069A" w14:paraId="150288D1" w14:textId="77777777">
      <w:pPr>
        <w:rPr>
          <w:lang w:eastAsia="nl-NL"/>
        </w:rPr>
      </w:pPr>
      <w:r>
        <w:rPr>
          <w:lang w:eastAsia="nl-NL"/>
        </w:rPr>
        <w:t>4.</w:t>
      </w:r>
      <w:r>
        <w:rPr>
          <w:lang w:eastAsia="nl-NL"/>
        </w:rPr>
        <w:tab/>
        <w:t>De Raad stelt verschillende vragen over de evaluatiebepaling van het wetsvoorstel.</w:t>
      </w:r>
    </w:p>
    <w:p w:rsidR="008C069A" w:rsidP="008C069A" w:rsidRDefault="008C069A" w14:paraId="1D477605" w14:textId="77777777">
      <w:pPr>
        <w:rPr>
          <w:lang w:eastAsia="nl-NL"/>
        </w:rPr>
      </w:pPr>
      <w:r>
        <w:rPr>
          <w:lang w:eastAsia="nl-NL"/>
        </w:rPr>
        <w:t>5.</w:t>
      </w:r>
      <w:r>
        <w:rPr>
          <w:lang w:eastAsia="nl-NL"/>
        </w:rPr>
        <w:tab/>
        <w:t xml:space="preserve">En de Raad heeft vragen over de procedure die nog loopt bij de EU over dit wetsvoorstel. </w:t>
      </w:r>
    </w:p>
    <w:p w:rsidR="008C069A" w:rsidP="008C069A" w:rsidRDefault="008C069A" w14:paraId="59876B37" w14:textId="77777777">
      <w:pPr>
        <w:rPr>
          <w:lang w:eastAsia="nl-NL"/>
        </w:rPr>
      </w:pPr>
      <w:r>
        <w:rPr>
          <w:lang w:eastAsia="nl-NL"/>
        </w:rPr>
        <w:t>Kennisgeving bij de Europese Commissie nog niet afgerond</w:t>
      </w:r>
    </w:p>
    <w:p w:rsidR="008C069A" w:rsidP="008C069A" w:rsidRDefault="008C069A" w14:paraId="3B290F2C" w14:textId="6C0116CF">
      <w:pPr>
        <w:rPr>
          <w:lang w:eastAsia="nl-NL"/>
        </w:rPr>
      </w:pPr>
      <w:r>
        <w:rPr>
          <w:lang w:eastAsia="nl-NL"/>
        </w:rPr>
        <w:t xml:space="preserve">Zoals hierboven beschreven is naar aanleiding van de UGM van de Europese Commissie het wetsvoorstel aangepast. Dit heeft geleid tot enkele nieuwe </w:t>
      </w:r>
      <w:hyperlink w:history="1" r:id="rId16">
        <w:r w:rsidR="00357A97">
          <w:rPr>
            <w:color w:val="0000FF"/>
            <w:u w:val="single"/>
          </w:rPr>
          <w:t>vragen</w:t>
        </w:r>
      </w:hyperlink>
      <w:r>
        <w:rPr>
          <w:lang w:eastAsia="nl-NL"/>
        </w:rPr>
        <w:t xml:space="preserve"> van de Europese Commissie. De Raad geeft in zijn advies aan dat als de procedure bij de Europese Commissie nog tot ingrijpende wijzigingen van het wetsvoorstel leidt, geadviseerd wordt om het wetsvoorstel opnieuw aan de Raad voor advies voor te leggen.  </w:t>
      </w:r>
    </w:p>
    <w:p w:rsidR="008C069A" w:rsidP="008C069A" w:rsidRDefault="008C069A" w14:paraId="3137DDEE" w14:textId="77777777">
      <w:pPr>
        <w:rPr>
          <w:lang w:eastAsia="nl-NL"/>
        </w:rPr>
      </w:pPr>
    </w:p>
    <w:p w:rsidRPr="00621ABF" w:rsidR="00621ABF" w:rsidP="002149A4" w:rsidRDefault="00621ABF" w14:paraId="72291A68" w14:textId="77777777">
      <w:pPr>
        <w:pStyle w:val="Lijstalinea"/>
        <w:keepNext/>
        <w:keepLines/>
        <w:numPr>
          <w:ilvl w:val="0"/>
          <w:numId w:val="21"/>
        </w:numPr>
        <w:spacing w:before="480" w:after="240" w:line="320" w:lineRule="atLeast"/>
        <w:outlineLvl w:val="0"/>
        <w:rPr>
          <w:rFonts w:ascii="Verdana" w:hAnsi="Verdana" w:eastAsiaTheme="majorEastAsia" w:cstheme="majorBidi"/>
          <w:b/>
          <w:bCs/>
          <w:vanish/>
          <w:color w:val="121469" w:themeColor="accent1"/>
          <w:spacing w:val="3"/>
          <w:kern w:val="0"/>
          <w:sz w:val="22"/>
          <w:szCs w:val="32"/>
          <w:lang w:eastAsia="nl-NL"/>
          <w14:ligatures w14:val="none"/>
        </w:rPr>
      </w:pPr>
    </w:p>
    <w:p w:rsidRPr="009959D1" w:rsidR="008C069A" w:rsidP="002149A4" w:rsidRDefault="008C069A" w14:paraId="4749D039" w14:textId="1B890247">
      <w:pPr>
        <w:pStyle w:val="Kop1"/>
      </w:pPr>
      <w:r w:rsidRPr="009959D1">
        <w:t xml:space="preserve">Doel van het rapporteurschap </w:t>
      </w:r>
    </w:p>
    <w:p w:rsidR="008C069A" w:rsidP="008C069A" w:rsidRDefault="008C069A" w14:paraId="75C5EF99" w14:textId="77777777">
      <w:pPr>
        <w:rPr>
          <w:lang w:eastAsia="nl-NL"/>
        </w:rPr>
      </w:pPr>
    </w:p>
    <w:p w:rsidR="008C069A" w:rsidP="008C069A" w:rsidRDefault="008C069A" w14:paraId="4585B911" w14:textId="77777777">
      <w:pPr>
        <w:rPr>
          <w:lang w:eastAsia="nl-NL"/>
        </w:rPr>
      </w:pPr>
      <w:r>
        <w:rPr>
          <w:lang w:eastAsia="nl-NL"/>
        </w:rPr>
        <w:t>Het doel van het wetgevingsrapporteurschap is tweeledig:</w:t>
      </w:r>
    </w:p>
    <w:p w:rsidR="008C069A" w:rsidP="008C069A" w:rsidRDefault="008C069A" w14:paraId="36199E03" w14:textId="77777777">
      <w:pPr>
        <w:rPr>
          <w:lang w:eastAsia="nl-NL"/>
        </w:rPr>
      </w:pPr>
      <w:r>
        <w:rPr>
          <w:lang w:eastAsia="nl-NL"/>
        </w:rPr>
        <w:t>• Het versterken van de informatiepositie van de Kamer;</w:t>
      </w:r>
    </w:p>
    <w:p w:rsidR="008C069A" w:rsidP="008C069A" w:rsidRDefault="008C069A" w14:paraId="0FCFB4F5" w14:textId="77777777">
      <w:pPr>
        <w:rPr>
          <w:lang w:eastAsia="nl-NL"/>
        </w:rPr>
      </w:pPr>
      <w:r>
        <w:rPr>
          <w:lang w:eastAsia="nl-NL"/>
        </w:rPr>
        <w:t xml:space="preserve">• Het bijdragen aan een zorgvuldige en gedegen behandeling van het </w:t>
      </w:r>
    </w:p>
    <w:p w:rsidR="008C069A" w:rsidP="008C069A" w:rsidRDefault="008C069A" w14:paraId="2E5DC2A4" w14:textId="77777777">
      <w:pPr>
        <w:rPr>
          <w:lang w:eastAsia="nl-NL"/>
        </w:rPr>
      </w:pPr>
      <w:r>
        <w:rPr>
          <w:lang w:eastAsia="nl-NL"/>
        </w:rPr>
        <w:t xml:space="preserve">wetsvoorstel. </w:t>
      </w:r>
    </w:p>
    <w:p w:rsidR="008C069A" w:rsidP="008C069A" w:rsidRDefault="008C069A" w14:paraId="5E00EACA" w14:textId="77777777">
      <w:pPr>
        <w:rPr>
          <w:lang w:eastAsia="nl-NL"/>
        </w:rPr>
      </w:pPr>
    </w:p>
    <w:p w:rsidR="008C069A" w:rsidP="008C069A" w:rsidRDefault="008C069A" w14:paraId="3DDB69B9" w14:textId="06D6A752">
      <w:pPr>
        <w:rPr>
          <w:lang w:eastAsia="nl-NL"/>
        </w:rPr>
      </w:pPr>
      <w:r>
        <w:rPr>
          <w:lang w:eastAsia="nl-NL"/>
        </w:rPr>
        <w:t xml:space="preserve">Zie voor meer informatie ook de </w:t>
      </w:r>
      <w:hyperlink w:history="1" r:id="rId17">
        <w:r w:rsidR="00B22058">
          <w:rPr>
            <w:color w:val="0000FF"/>
            <w:u w:val="single"/>
          </w:rPr>
          <w:t>handreiking wetgevingsrapporteurschap</w:t>
        </w:r>
      </w:hyperlink>
      <w:r>
        <w:rPr>
          <w:lang w:eastAsia="nl-NL"/>
        </w:rPr>
        <w:t xml:space="preserve">. </w:t>
      </w:r>
    </w:p>
    <w:p w:rsidR="008C069A" w:rsidP="008C069A" w:rsidRDefault="008C069A" w14:paraId="2573C28A" w14:textId="77777777">
      <w:pPr>
        <w:rPr>
          <w:lang w:eastAsia="nl-NL"/>
        </w:rPr>
      </w:pPr>
    </w:p>
    <w:p w:rsidR="008C069A" w:rsidP="008C069A" w:rsidRDefault="008C069A" w14:paraId="64FAE3EC" w14:textId="77777777">
      <w:pPr>
        <w:rPr>
          <w:lang w:eastAsia="nl-NL"/>
        </w:rPr>
      </w:pPr>
    </w:p>
    <w:p w:rsidR="008C069A" w:rsidP="00621ABF" w:rsidRDefault="008C069A" w14:paraId="0806D2FE" w14:textId="115C1021">
      <w:pPr>
        <w:pStyle w:val="Kop1"/>
      </w:pPr>
      <w:r>
        <w:t xml:space="preserve">Voorgestelde werkzaamheden wetgevingsrapporteur </w:t>
      </w:r>
    </w:p>
    <w:p w:rsidR="008C069A" w:rsidP="008C069A" w:rsidRDefault="008C069A" w14:paraId="08D9103A" w14:textId="77777777">
      <w:pPr>
        <w:rPr>
          <w:lang w:eastAsia="nl-NL"/>
        </w:rPr>
      </w:pPr>
      <w:r>
        <w:rPr>
          <w:lang w:eastAsia="nl-NL"/>
        </w:rPr>
        <w:t xml:space="preserve">De wetgevingsrapporteur stelt aan de commissie voor om de volgende activiteiten te verrichten en haar het daartoe benodigde mandaat te verlenen. </w:t>
      </w:r>
    </w:p>
    <w:p w:rsidR="008C069A" w:rsidP="008C069A" w:rsidRDefault="008C069A" w14:paraId="0A502C28" w14:textId="77777777">
      <w:pPr>
        <w:rPr>
          <w:lang w:eastAsia="nl-NL"/>
        </w:rPr>
      </w:pPr>
    </w:p>
    <w:p w:rsidR="008C069A" w:rsidP="008C069A" w:rsidRDefault="008C069A" w14:paraId="40BABF04" w14:textId="1028AD53">
      <w:pPr>
        <w:rPr>
          <w:lang w:eastAsia="nl-NL"/>
        </w:rPr>
      </w:pPr>
      <w:r>
        <w:rPr>
          <w:lang w:eastAsia="nl-NL"/>
        </w:rPr>
        <w:t>1.</w:t>
      </w:r>
      <w:r>
        <w:rPr>
          <w:lang w:eastAsia="nl-NL"/>
        </w:rPr>
        <w:tab/>
      </w:r>
      <w:r w:rsidRPr="00D030CA" w:rsidR="00D030CA">
        <w:rPr>
          <w:lang w:eastAsia="nl-NL"/>
        </w:rPr>
        <w:t>Verkenning onder lidstaten naar alternatieven om groen gas te stimuleren via parlementair netwerk (ECPRD)</w:t>
      </w:r>
      <w:r w:rsidR="002079DD">
        <w:rPr>
          <w:lang w:eastAsia="nl-NL"/>
        </w:rPr>
        <w:t>;</w:t>
      </w:r>
    </w:p>
    <w:p w:rsidR="008C069A" w:rsidP="008C069A" w:rsidRDefault="008C069A" w14:paraId="573ED70A" w14:textId="038E0420">
      <w:pPr>
        <w:rPr>
          <w:lang w:eastAsia="nl-NL"/>
        </w:rPr>
      </w:pPr>
      <w:r>
        <w:rPr>
          <w:lang w:eastAsia="nl-NL"/>
        </w:rPr>
        <w:t>2.</w:t>
      </w:r>
      <w:r>
        <w:rPr>
          <w:lang w:eastAsia="nl-NL"/>
        </w:rPr>
        <w:tab/>
        <w:t>Technische briefing door het ministerie en de Nederlandse Emissieautoriteit</w:t>
      </w:r>
      <w:r w:rsidR="002079DD">
        <w:rPr>
          <w:lang w:eastAsia="nl-NL"/>
        </w:rPr>
        <w:t>;</w:t>
      </w:r>
    </w:p>
    <w:p w:rsidR="008C069A" w:rsidP="008C069A" w:rsidRDefault="008C069A" w14:paraId="20CC8BA0" w14:textId="7A40F139">
      <w:pPr>
        <w:rPr>
          <w:lang w:eastAsia="nl-NL"/>
        </w:rPr>
      </w:pPr>
      <w:r>
        <w:rPr>
          <w:lang w:eastAsia="nl-NL"/>
        </w:rPr>
        <w:t>3.</w:t>
      </w:r>
      <w:r>
        <w:rPr>
          <w:lang w:eastAsia="nl-NL"/>
        </w:rPr>
        <w:tab/>
        <w:t>Rondetafelgesprek</w:t>
      </w:r>
      <w:r w:rsidR="002079DD">
        <w:rPr>
          <w:lang w:eastAsia="nl-NL"/>
        </w:rPr>
        <w:t>;</w:t>
      </w:r>
    </w:p>
    <w:p w:rsidR="008C069A" w:rsidP="008C069A" w:rsidRDefault="008C069A" w14:paraId="62154FAA" w14:textId="63D34718">
      <w:pPr>
        <w:rPr>
          <w:lang w:eastAsia="nl-NL"/>
        </w:rPr>
      </w:pPr>
      <w:r>
        <w:rPr>
          <w:lang w:eastAsia="nl-NL"/>
        </w:rPr>
        <w:t>4.</w:t>
      </w:r>
      <w:r>
        <w:rPr>
          <w:lang w:eastAsia="nl-NL"/>
        </w:rPr>
        <w:tab/>
        <w:t>Analyse wetsvoorstel en politiek-neutrale inbreng rapporteur</w:t>
      </w:r>
      <w:r w:rsidR="002079DD">
        <w:rPr>
          <w:lang w:eastAsia="nl-NL"/>
        </w:rPr>
        <w:t>.</w:t>
      </w:r>
    </w:p>
    <w:p w:rsidR="008C069A" w:rsidP="008C069A" w:rsidRDefault="008C069A" w14:paraId="669E2517" w14:textId="77777777">
      <w:pPr>
        <w:rPr>
          <w:lang w:eastAsia="nl-NL"/>
        </w:rPr>
      </w:pPr>
    </w:p>
    <w:p w:rsidR="008C069A" w:rsidP="008C069A" w:rsidRDefault="008C069A" w14:paraId="5C01D89E" w14:textId="77777777">
      <w:pPr>
        <w:rPr>
          <w:lang w:eastAsia="nl-NL"/>
        </w:rPr>
      </w:pPr>
      <w:r>
        <w:rPr>
          <w:lang w:eastAsia="nl-NL"/>
        </w:rPr>
        <w:t>Toelichting:</w:t>
      </w:r>
    </w:p>
    <w:p w:rsidR="008C069A" w:rsidP="008C069A" w:rsidRDefault="008C069A" w14:paraId="4DE00981" w14:textId="77777777">
      <w:pPr>
        <w:rPr>
          <w:lang w:eastAsia="nl-NL"/>
        </w:rPr>
      </w:pPr>
    </w:p>
    <w:p w:rsidR="008C069A" w:rsidP="008C069A" w:rsidRDefault="008C069A" w14:paraId="26D9671E" w14:textId="77777777">
      <w:pPr>
        <w:rPr>
          <w:lang w:eastAsia="nl-NL"/>
        </w:rPr>
      </w:pPr>
      <w:r>
        <w:rPr>
          <w:lang w:eastAsia="nl-NL"/>
        </w:rPr>
        <w:t>1.</w:t>
      </w:r>
    </w:p>
    <w:p w:rsidR="008C069A" w:rsidP="008C069A" w:rsidRDefault="008C069A" w14:paraId="7D55A7C9" w14:textId="15984516">
      <w:pPr>
        <w:rPr>
          <w:lang w:eastAsia="nl-NL"/>
        </w:rPr>
      </w:pPr>
      <w:r>
        <w:rPr>
          <w:lang w:eastAsia="nl-NL"/>
        </w:rPr>
        <w:t xml:space="preserve">In het advies van de Raad van State wordt aangegeven dat het wetsvoorstel een nieuwe handelssystematiek introduceert in Nederland, maar dat deze niet is gebaseerd op EU-wetgeving. Ook vraagt de Raad zich in zijn advies of het verantwoord is om met de bijmengverplichting te starten, zolang de Uniedatabank nog niet volledig operationeel is, of dat voor adequaat toezicht tijdelijke maatregelen moeten worden getroffen die de niet-beschikbaarheid van de Uniedatabank compenseren. De rapporteur wil om deze reden graag onderzoeken welke alternatieven er zijn om groen gas te stimuleren en wil daarbij kijken naar andere lidstaten. De rapporteur stelt voor om via het </w:t>
      </w:r>
      <w:r w:rsidR="0061059D">
        <w:rPr>
          <w:lang w:eastAsia="nl-NL"/>
        </w:rPr>
        <w:t xml:space="preserve">(parlementaire) </w:t>
      </w:r>
      <w:r>
        <w:rPr>
          <w:lang w:eastAsia="nl-NL"/>
        </w:rPr>
        <w:t>ECPRD</w:t>
      </w:r>
      <w:r w:rsidR="0061059D">
        <w:rPr>
          <w:lang w:eastAsia="nl-NL"/>
        </w:rPr>
        <w:t>-netwerk</w:t>
      </w:r>
      <w:r>
        <w:rPr>
          <w:lang w:eastAsia="nl-NL"/>
        </w:rPr>
        <w:t xml:space="preserve"> een uitvraag te doen aan EU-lidstaten, met name aan de landen met de grootste huidige productie van groen gas en de landen met een groot potentieel voor het gebruik van groen gas. Denk hierbij aan Frankrijk, Duitsland en Italië. De uitvraag is bedoeld om te achterhalen op welke wijze deze landen groene gas stimuleren, wat de kosten zijn en wat de opbrengsten. De rapporteur stelt voor deze activiteit alvast in te zetten alvorens het wetsvoorstel is ingediend bij de Kamer. </w:t>
      </w:r>
    </w:p>
    <w:p w:rsidR="008C069A" w:rsidP="008C069A" w:rsidRDefault="008C069A" w14:paraId="5A12CB92" w14:textId="77777777">
      <w:pPr>
        <w:rPr>
          <w:lang w:eastAsia="nl-NL"/>
        </w:rPr>
      </w:pPr>
    </w:p>
    <w:p w:rsidR="008C069A" w:rsidP="008C069A" w:rsidRDefault="008C069A" w14:paraId="1E187C21" w14:textId="77777777">
      <w:pPr>
        <w:rPr>
          <w:lang w:eastAsia="nl-NL"/>
        </w:rPr>
      </w:pPr>
      <w:r>
        <w:rPr>
          <w:lang w:eastAsia="nl-NL"/>
        </w:rPr>
        <w:t>2.</w:t>
      </w:r>
    </w:p>
    <w:p w:rsidR="008C069A" w:rsidP="008C069A" w:rsidRDefault="004C23CB" w14:paraId="2C5EBA88" w14:textId="5AD16D11">
      <w:pPr>
        <w:rPr>
          <w:lang w:eastAsia="nl-NL"/>
        </w:rPr>
      </w:pPr>
      <w:r>
        <w:rPr>
          <w:lang w:eastAsia="nl-NL"/>
        </w:rPr>
        <w:t>Wanneer het wetsvoorstel is ingediend bij de Kamer, stelt d</w:t>
      </w:r>
      <w:r w:rsidR="008C069A">
        <w:rPr>
          <w:lang w:eastAsia="nl-NL"/>
        </w:rPr>
        <w:t xml:space="preserve">e wetgevingsrapporteur voor om de minister van Klimaat en Groene Groei en de Nederlandse emissieautoriteit te verzoeken om de ambtenaren een technische briefing te laten verzorgen. </w:t>
      </w:r>
    </w:p>
    <w:p w:rsidR="008C069A" w:rsidP="008C069A" w:rsidRDefault="008C069A" w14:paraId="4926C441" w14:textId="77777777">
      <w:pPr>
        <w:rPr>
          <w:lang w:eastAsia="nl-NL"/>
        </w:rPr>
      </w:pPr>
    </w:p>
    <w:p w:rsidR="008C069A" w:rsidP="008C069A" w:rsidRDefault="008C069A" w14:paraId="6F43CB13" w14:textId="77777777">
      <w:pPr>
        <w:rPr>
          <w:lang w:eastAsia="nl-NL"/>
        </w:rPr>
      </w:pPr>
      <w:r>
        <w:rPr>
          <w:lang w:eastAsia="nl-NL"/>
        </w:rPr>
        <w:t xml:space="preserve">3. </w:t>
      </w:r>
    </w:p>
    <w:p w:rsidR="008C069A" w:rsidP="008C069A" w:rsidRDefault="008C069A" w14:paraId="16D29376" w14:textId="4921447E">
      <w:pPr>
        <w:rPr>
          <w:lang w:eastAsia="nl-NL"/>
        </w:rPr>
      </w:pPr>
      <w:r>
        <w:rPr>
          <w:lang w:eastAsia="nl-NL"/>
        </w:rPr>
        <w:t xml:space="preserve">De rapporteur stelt voor om een rondetafelgesprek te voeren met verschillende betrokken partijen bij het wetsvoorstel, zoals energieleveranciers, (groen)gasproducenten, bedrijven uit de industrie en transportsector en brancheorganisaties over hun zorgen omtrent de hoogte van de bijmengverplichting, de daarmee gepaarde kosten en of deze doorberekend mogen worden, de flexibiliteitsmogelijkheden voor energieleveranciers onder de verplichting, de keuze voor de gebouwde omgeving, vergunningverlening voor mestvergisters en de bijmengverplichting na 2030/2031. De rapporteur komt zodra het wetsvoorstel is ingediend met een voorstel voor een rondetafelgesprek.  </w:t>
      </w:r>
    </w:p>
    <w:p w:rsidR="008C069A" w:rsidP="008C069A" w:rsidRDefault="008C069A" w14:paraId="276FDD93" w14:textId="77777777">
      <w:pPr>
        <w:rPr>
          <w:lang w:eastAsia="nl-NL"/>
        </w:rPr>
      </w:pPr>
    </w:p>
    <w:p w:rsidR="008C069A" w:rsidP="008C069A" w:rsidRDefault="008C069A" w14:paraId="099423BA" w14:textId="77777777">
      <w:pPr>
        <w:rPr>
          <w:lang w:eastAsia="nl-NL"/>
        </w:rPr>
      </w:pPr>
      <w:r>
        <w:rPr>
          <w:lang w:eastAsia="nl-NL"/>
        </w:rPr>
        <w:t>4.</w:t>
      </w:r>
    </w:p>
    <w:p w:rsidR="008C069A" w:rsidP="008C069A" w:rsidRDefault="008C069A" w14:paraId="132B4973" w14:textId="74B86F1C">
      <w:pPr>
        <w:rPr>
          <w:lang w:eastAsia="nl-NL"/>
        </w:rPr>
      </w:pPr>
      <w:r>
        <w:rPr>
          <w:lang w:eastAsia="nl-NL"/>
        </w:rPr>
        <w:t xml:space="preserve">De wetgevingsrapporteur stelt voor om </w:t>
      </w:r>
      <w:r w:rsidR="00363D1E">
        <w:rPr>
          <w:lang w:eastAsia="nl-NL"/>
        </w:rPr>
        <w:t xml:space="preserve">nadat het </w:t>
      </w:r>
      <w:r w:rsidR="008D7B88">
        <w:rPr>
          <w:lang w:eastAsia="nl-NL"/>
        </w:rPr>
        <w:t>wetsvoorstel</w:t>
      </w:r>
      <w:r w:rsidR="00363D1E">
        <w:rPr>
          <w:lang w:eastAsia="nl-NL"/>
        </w:rPr>
        <w:t xml:space="preserve"> is ingediend bij de Kamer </w:t>
      </w:r>
      <w:r>
        <w:rPr>
          <w:lang w:eastAsia="nl-NL"/>
        </w:rPr>
        <w:t xml:space="preserve">door de staf een beknopte inhoudelijke analyse van het wetsvoorstel op enkele kwaliteitsaspecten te laten uitvoeren, bijvoorbeeld op (juridische) kwaliteit en/of uitvoerbaarheid. Ook wordt gekeken naar de verwerking door de regering van het advies van de Raad van State. Een opbrengst van deze analyse kan een voorstel van de rapporteur voor een politiek-neutrale inbreng namens de commissie in het verslag zijn. </w:t>
      </w:r>
      <w:r w:rsidRPr="00D22D0F" w:rsidR="00D22D0F">
        <w:rPr>
          <w:lang w:eastAsia="nl-NL"/>
        </w:rPr>
        <w:t xml:space="preserve">Daarbij kunnen vragen die voortkomen uit de bevindingen van de rapporteur ook worden meegenomen. </w:t>
      </w:r>
      <w:r>
        <w:rPr>
          <w:lang w:eastAsia="nl-NL"/>
        </w:rPr>
        <w:t xml:space="preserve">Deze eventuele inbreng wordt dan ter goedkeuring voorgelegd aan de commissie in een procedurevergadering voorafgaand aan de te zijner tijd vast te stellen inbrengdatum. </w:t>
      </w:r>
      <w:r w:rsidR="002C7F2B">
        <w:rPr>
          <w:lang w:eastAsia="nl-NL"/>
        </w:rPr>
        <w:t>B</w:t>
      </w:r>
      <w:r w:rsidRPr="002C7F2B" w:rsidR="002C7F2B">
        <w:rPr>
          <w:lang w:eastAsia="nl-NL"/>
        </w:rPr>
        <w:t>ij goedkeuring wordt de inbreng overgenomen als inbreng van de commissie</w:t>
      </w:r>
      <w:r w:rsidR="00573F66">
        <w:rPr>
          <w:lang w:eastAsia="nl-NL"/>
        </w:rPr>
        <w:t>.</w:t>
      </w:r>
      <w:r w:rsidRPr="002C7F2B" w:rsidR="002C7F2B">
        <w:rPr>
          <w:lang w:eastAsia="nl-NL"/>
        </w:rPr>
        <w:t xml:space="preserve"> </w:t>
      </w:r>
      <w:r>
        <w:rPr>
          <w:lang w:eastAsia="nl-NL"/>
        </w:rPr>
        <w:t>Daarnaast kunnen de fracties uiteraard zelf inbreng leveren voor het verslag.</w:t>
      </w:r>
    </w:p>
    <w:p w:rsidR="008C069A" w:rsidP="008C069A" w:rsidRDefault="008C069A" w14:paraId="7EAD8110" w14:textId="77777777">
      <w:pPr>
        <w:rPr>
          <w:lang w:eastAsia="nl-NL"/>
        </w:rPr>
      </w:pPr>
    </w:p>
    <w:p w:rsidR="008C069A" w:rsidP="006414A8" w:rsidRDefault="008C069A" w14:paraId="613D3D2B" w14:textId="72D65DE3">
      <w:pPr>
        <w:pStyle w:val="Kop1"/>
      </w:pPr>
      <w:r>
        <w:t>Planning en duur rapporteurschap</w:t>
      </w:r>
    </w:p>
    <w:p w:rsidR="008C069A" w:rsidP="008C069A" w:rsidRDefault="008C069A" w14:paraId="05608C4B" w14:textId="77777777">
      <w:pPr>
        <w:rPr>
          <w:lang w:eastAsia="nl-NL"/>
        </w:rPr>
      </w:pPr>
      <w:r>
        <w:rPr>
          <w:lang w:eastAsia="nl-NL"/>
        </w:rPr>
        <w:t xml:space="preserve">De wetgevingsrapporteur stelt voor om de duur van het wetgevingsrapporteurschap te </w:t>
      </w:r>
    </w:p>
    <w:p w:rsidR="00A456A1" w:rsidP="008C069A" w:rsidRDefault="008C069A" w14:paraId="5E299788" w14:textId="63F2BB69">
      <w:pPr>
        <w:rPr>
          <w:lang w:eastAsia="nl-NL"/>
        </w:rPr>
      </w:pPr>
      <w:r>
        <w:rPr>
          <w:lang w:eastAsia="nl-NL"/>
        </w:rPr>
        <w:t>bepalen tot het moment dat de behandeling van het wetsvoorstel is afgerond door de Kamer.</w:t>
      </w:r>
    </w:p>
    <w:p w:rsidR="00D3705C" w:rsidP="0051643E" w:rsidRDefault="00D3705C" w14:paraId="7CA722D4" w14:textId="77777777">
      <w:pPr>
        <w:rPr>
          <w:lang w:eastAsia="nl-NL"/>
        </w:rPr>
      </w:pPr>
    </w:p>
    <w:sectPr w:rsidR="00D3705C" w:rsidSect="00577A05">
      <w:headerReference w:type="default" r:id="rId18"/>
      <w:footerReference w:type="default" r:id="rId19"/>
      <w:headerReference w:type="first" r:id="rId20"/>
      <w:footerReference w:type="first" r:id="rId21"/>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A8C2" w14:textId="77777777" w:rsidR="00475D69" w:rsidRDefault="00475D69" w:rsidP="007046EB">
      <w:pPr>
        <w:spacing w:after="0" w:line="240" w:lineRule="auto"/>
      </w:pPr>
      <w:r>
        <w:separator/>
      </w:r>
    </w:p>
  </w:endnote>
  <w:endnote w:type="continuationSeparator" w:id="0">
    <w:p w14:paraId="39F76C9C" w14:textId="77777777" w:rsidR="00475D69" w:rsidRDefault="00475D69" w:rsidP="0070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DB91" w14:textId="77777777" w:rsidR="00771D5E" w:rsidRDefault="00771D5E" w:rsidP="00771D5E">
    <w:pPr>
      <w:pStyle w:val="Voettekst"/>
    </w:pPr>
  </w:p>
  <w:p w14:paraId="24A323BE" w14:textId="77777777" w:rsidR="00771D5E" w:rsidRDefault="00771D5E" w:rsidP="00771D5E">
    <w:pPr>
      <w:pStyle w:val="Voettekst"/>
    </w:pPr>
  </w:p>
  <w:p w14:paraId="219EF03D" w14:textId="77777777" w:rsidR="00771D5E" w:rsidRPr="00771D5E" w:rsidRDefault="00771D5E" w:rsidP="00771D5E">
    <w:pPr>
      <w:pStyle w:val="Voettekst"/>
    </w:pPr>
    <w:r>
      <w:tab/>
    </w:r>
    <w:r>
      <w:tab/>
    </w:r>
    <w:sdt>
      <w:sdtPr>
        <w:tag w:val="lblPagina"/>
        <w:id w:val="885538617"/>
        <w:text/>
      </w:sdtPr>
      <w:sdtEndPr/>
      <w:sdtContent>
        <w:r w:rsidR="00572EBC">
          <w:t>Pagina</w:t>
        </w:r>
      </w:sdtContent>
    </w:sdt>
    <w:r>
      <w:t xml:space="preserve"> </w:t>
    </w:r>
    <w:r>
      <w:fldChar w:fldCharType="begin"/>
    </w:r>
    <w:r>
      <w:instrText xml:space="preserve"> Page </w:instrText>
    </w:r>
    <w:r>
      <w:fldChar w:fldCharType="separate"/>
    </w:r>
    <w:r>
      <w:rPr>
        <w:noProof/>
      </w:rPr>
      <w:t>2</w:t>
    </w:r>
    <w:r>
      <w:fldChar w:fldCharType="end"/>
    </w:r>
    <w:r>
      <w:t xml:space="preserve"> </w:t>
    </w:r>
    <w:sdt>
      <w:sdtPr>
        <w:tag w:val="lblPaginaVan"/>
        <w:id w:val="-973135890"/>
        <w:text/>
      </w:sdtPr>
      <w:sdtEndPr/>
      <w:sdtContent>
        <w:r w:rsidR="00572EBC">
          <w:t>van</w:t>
        </w:r>
      </w:sdtContent>
    </w:sdt>
    <w:r>
      <w:t xml:space="preserve">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A637" w14:textId="77777777" w:rsidR="00A54B1A" w:rsidRDefault="00A54B1A" w:rsidP="00E341B7">
    <w:pPr>
      <w:pStyle w:val="Voettekst"/>
    </w:pPr>
  </w:p>
  <w:p w14:paraId="24AB751B" w14:textId="77777777" w:rsidR="00E341B7" w:rsidRDefault="00E341B7" w:rsidP="00E341B7">
    <w:pPr>
      <w:pStyle w:val="Voettekst"/>
    </w:pPr>
  </w:p>
  <w:p w14:paraId="60B860A7" w14:textId="77777777" w:rsidR="00577A05" w:rsidRPr="00135EC6" w:rsidRDefault="00577A05" w:rsidP="00E34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E5F1" w14:textId="77777777" w:rsidR="00475D69" w:rsidRDefault="00475D69" w:rsidP="007046EB">
      <w:pPr>
        <w:spacing w:after="0" w:line="240" w:lineRule="auto"/>
      </w:pPr>
      <w:r>
        <w:separator/>
      </w:r>
    </w:p>
  </w:footnote>
  <w:footnote w:type="continuationSeparator" w:id="0">
    <w:p w14:paraId="208A285E" w14:textId="77777777" w:rsidR="00475D69" w:rsidRDefault="00475D69" w:rsidP="007046EB">
      <w:pPr>
        <w:spacing w:after="0" w:line="240" w:lineRule="auto"/>
      </w:pPr>
      <w:r>
        <w:continuationSeparator/>
      </w:r>
    </w:p>
  </w:footnote>
  <w:footnote w:id="1">
    <w:p w14:paraId="23D2368B" w14:textId="549C35B8" w:rsidR="00B25E78" w:rsidRDefault="00B25E78">
      <w:pPr>
        <w:pStyle w:val="Voetnoottekst"/>
      </w:pPr>
      <w:r>
        <w:rPr>
          <w:rStyle w:val="Voetnootmarkering"/>
        </w:rPr>
        <w:footnoteRef/>
      </w:r>
      <w:r w:rsidR="002D11B1">
        <w:t xml:space="preserve"> </w:t>
      </w:r>
      <w:r w:rsidRPr="00B25E78">
        <w:t>Zoals is voorgelegd aan de Raad van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BDB5" w14:textId="5EC13AB6" w:rsidR="00B739F8" w:rsidRPr="00CA5024" w:rsidRDefault="007046EB" w:rsidP="00B739F8">
    <w:pPr>
      <w:pStyle w:val="Koptekst"/>
      <w:spacing w:before="40" w:line="280" w:lineRule="atLeast"/>
    </w:pPr>
    <w:r w:rsidRPr="00CA5024">
      <w:rPr>
        <w:noProof/>
      </w:rPr>
      <w:drawing>
        <wp:anchor distT="0" distB="0" distL="114300" distR="114300" simplePos="0" relativeHeight="251661312" behindDoc="0" locked="1" layoutInCell="1" allowOverlap="1" wp14:anchorId="00FBA9F3" wp14:editId="27DC3C1A">
          <wp:simplePos x="0" y="0"/>
          <wp:positionH relativeFrom="page">
            <wp:posOffset>0</wp:posOffset>
          </wp:positionH>
          <wp:positionV relativeFrom="page">
            <wp:posOffset>0</wp:posOffset>
          </wp:positionV>
          <wp:extent cx="1177200" cy="1342800"/>
          <wp:effectExtent l="0" t="0" r="4445" b="0"/>
          <wp:wrapNone/>
          <wp:docPr id="1562924342" name="Afbeelding 1562924342"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1177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r w:rsidR="00B739F8" w:rsidRPr="00CA5024">
      <w:tab/>
    </w:r>
    <w:sdt>
      <w:sdtPr>
        <w:tag w:val="dtmDatum"/>
        <w:id w:val="792028287"/>
        <w:lock w:val="sdtContentLocked"/>
        <w:dataBinding w:prefixMappings="xmlns:ns0='urn:tweedekamer.nl:da:wd:templates:2025:85c5' " w:xpath="/data[1]/datum[1]" w:storeItemID="{5B489D38-C4AB-47B8-8F75-5BDEF252216E}"/>
        <w:date w:fullDate="2026-04-13T00:00:00Z">
          <w:dateFormat w:val="d MMMM yyyy"/>
          <w:lid w:val="nl-NL"/>
          <w:storeMappedDataAs w:val="dateTime"/>
          <w:calendar w:val="gregorian"/>
        </w:date>
      </w:sdtPr>
      <w:sdtEndPr/>
      <w:sdtContent>
        <w:r w:rsidR="000A3775">
          <w:t>13 april 2026</w:t>
        </w:r>
      </w:sdtContent>
    </w:sdt>
  </w:p>
  <w:p w14:paraId="3A0AACA2" w14:textId="094A5D3D" w:rsidR="007046EB" w:rsidRDefault="00B739F8">
    <w:pPr>
      <w:pStyle w:val="Koptekst"/>
    </w:pPr>
    <w:r>
      <w:tab/>
    </w:r>
    <w:r w:rsidRPr="00CA5024">
      <w:tab/>
    </w:r>
    <w:sdt>
      <w:sdtPr>
        <w:tag w:val="txtOnderwerp"/>
        <w:id w:val="-37744090"/>
        <w:lock w:val="sdtContentLocked"/>
        <w:dataBinding w:prefixMappings="xmlns:ns0='urn:tweedekamer.nl:da:wd:templates:2025:85c5' " w:xpath="/data[1]/onderwerp[1]" w:storeItemID="{5B489D38-C4AB-47B8-8F75-5BDEF252216E}"/>
        <w:text/>
      </w:sdtPr>
      <w:sdtEndPr/>
      <w:sdtContent>
        <w:r w:rsidR="000A3775">
          <w:t>Mandaatnotitie wetsvoorstel bijmengverplichting groen gas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FDCA" w14:textId="77777777" w:rsidR="00B739F8" w:rsidRDefault="00B739F8" w:rsidP="00B739F8">
    <w:pPr>
      <w:pStyle w:val="KoptekstEerstepagina"/>
    </w:pPr>
  </w:p>
  <w:p w14:paraId="5330EF92" w14:textId="77777777" w:rsidR="00B739F8" w:rsidRDefault="00B739F8" w:rsidP="00B739F8">
    <w:pPr>
      <w:pStyle w:val="KoptekstEerstepagina"/>
    </w:pPr>
  </w:p>
  <w:p w14:paraId="17638EEE" w14:textId="77777777" w:rsidR="007046EB" w:rsidRDefault="007046EB" w:rsidP="00B739F8">
    <w:pPr>
      <w:pStyle w:val="KoptekstEerstepagina"/>
    </w:pPr>
    <w:r>
      <w:rPr>
        <w:noProof/>
      </w:rPr>
      <w:drawing>
        <wp:anchor distT="0" distB="0" distL="114300" distR="114300" simplePos="0" relativeHeight="251659264" behindDoc="0" locked="1" layoutInCell="1" allowOverlap="1" wp14:anchorId="3948BCAB" wp14:editId="04146314">
          <wp:simplePos x="0" y="0"/>
          <wp:positionH relativeFrom="page">
            <wp:posOffset>0</wp:posOffset>
          </wp:positionH>
          <wp:positionV relativeFrom="page">
            <wp:posOffset>0</wp:posOffset>
          </wp:positionV>
          <wp:extent cx="3715200" cy="1342800"/>
          <wp:effectExtent l="0" t="0" r="0" b="0"/>
          <wp:wrapNone/>
          <wp:docPr id="1061102327" name="Afbeelding 1061102327"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3715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sdt>
      <w:sdtPr>
        <w:alias w:val="Rubricering"/>
        <w:tag w:val="txtRubricering"/>
        <w:id w:val="-1541817528"/>
      </w:sdtPr>
      <w:sdtEndPr/>
      <w:sdtContent>
        <w:r w:rsidR="00D0418E">
          <w:t>INTERN GEBRUIK</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2A446CA"/>
    <w:lvl w:ilvl="0">
      <w:start w:val="3"/>
      <w:numFmt w:val="decimal"/>
      <w:pStyle w:val="Lijstnummering"/>
      <w:lvlText w:val="%1."/>
      <w:lvlJc w:val="left"/>
      <w:pPr>
        <w:tabs>
          <w:tab w:val="num" w:pos="360"/>
        </w:tabs>
        <w:ind w:left="360" w:hanging="360"/>
      </w:pPr>
      <w:rPr>
        <w:rFonts w:hint="default"/>
      </w:rPr>
    </w:lvl>
  </w:abstractNum>
  <w:abstractNum w:abstractNumId="1"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33626771"/>
    <w:multiLevelType w:val="multilevel"/>
    <w:tmpl w:val="4CC0F47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3E18657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250281"/>
    <w:multiLevelType w:val="hybridMultilevel"/>
    <w:tmpl w:val="DA1AA8E6"/>
    <w:lvl w:ilvl="0" w:tplc="EDAA1DA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4F6E29"/>
    <w:multiLevelType w:val="hybridMultilevel"/>
    <w:tmpl w:val="C3A40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E653F5"/>
    <w:multiLevelType w:val="hybridMultilevel"/>
    <w:tmpl w:val="C4E28E70"/>
    <w:lvl w:ilvl="0" w:tplc="BA3C168E">
      <w:start w:val="3"/>
      <w:numFmt w:val="decimal"/>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8" w15:restartNumberingAfterBreak="0">
    <w:nsid w:val="68A016D0"/>
    <w:multiLevelType w:val="multilevel"/>
    <w:tmpl w:val="ED625F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lvlText w:val=""/>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B6D0CE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B0992"/>
    <w:multiLevelType w:val="hybridMultilevel"/>
    <w:tmpl w:val="10B2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3485588"/>
    <w:multiLevelType w:val="multilevel"/>
    <w:tmpl w:val="A5648E96"/>
    <w:lvl w:ilvl="0">
      <w:start w:val="1"/>
      <w:numFmt w:val="decimal"/>
      <w:lvlText w:val="%1."/>
      <w:lvlJc w:val="left"/>
      <w:pPr>
        <w:ind w:left="340" w:hanging="340"/>
      </w:pPr>
      <w:rPr>
        <w:rFonts w:asciiTheme="minorHAnsi" w:hAnsiTheme="minorHAnsi" w:hint="default"/>
      </w:rPr>
    </w:lvl>
    <w:lvl w:ilvl="1">
      <w:start w:val="1"/>
      <w:numFmt w:val="lowerLetter"/>
      <w:lvlText w:val="%2."/>
      <w:lvlJc w:val="left"/>
      <w:pPr>
        <w:ind w:left="680" w:hanging="340"/>
      </w:pPr>
      <w:rPr>
        <w:rFonts w:asciiTheme="minorHAnsi" w:hAnsiTheme="minorHAnsi" w:hint="default"/>
      </w:rPr>
    </w:lvl>
    <w:lvl w:ilvl="2">
      <w:start w:val="1"/>
      <w:numFmt w:val="lowerRoman"/>
      <w:lvlText w:val="%3."/>
      <w:lvlJc w:val="left"/>
      <w:pPr>
        <w:ind w:left="1020" w:hanging="340"/>
      </w:pPr>
      <w:rPr>
        <w:rFonts w:asciiTheme="minorHAnsi" w:hAnsiTheme="minorHAnsi" w:hint="default"/>
      </w:rPr>
    </w:lvl>
    <w:lvl w:ilvl="3">
      <w:start w:val="1"/>
      <w:numFmt w:val="lowerRoman"/>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lowerRoman"/>
      <w:lvlText w:val="%6."/>
      <w:lvlJc w:val="left"/>
      <w:pPr>
        <w:ind w:left="2040" w:hanging="340"/>
      </w:pPr>
      <w:rPr>
        <w:rFonts w:asciiTheme="minorHAnsi" w:hAnsiTheme="minorHAnsi" w:hint="default"/>
      </w:rPr>
    </w:lvl>
    <w:lvl w:ilvl="6">
      <w:start w:val="1"/>
      <w:numFmt w:val="lowerRoman"/>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lowerRoman"/>
      <w:lvlText w:val="%9."/>
      <w:lvlJc w:val="left"/>
      <w:pPr>
        <w:ind w:left="3060" w:hanging="340"/>
      </w:pPr>
      <w:rPr>
        <w:rFonts w:asciiTheme="minorHAnsi" w:hAnsiTheme="minorHAnsi" w:hint="default"/>
      </w:rPr>
    </w:lvl>
  </w:abstractNum>
  <w:abstractNum w:abstractNumId="12" w15:restartNumberingAfterBreak="0">
    <w:nsid w:val="775D0801"/>
    <w:multiLevelType w:val="multilevel"/>
    <w:tmpl w:val="7516528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CA81F0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339369">
    <w:abstractNumId w:val="8"/>
  </w:num>
  <w:num w:numId="2" w16cid:durableId="698505785">
    <w:abstractNumId w:val="1"/>
  </w:num>
  <w:num w:numId="3" w16cid:durableId="1042825869">
    <w:abstractNumId w:val="9"/>
  </w:num>
  <w:num w:numId="4" w16cid:durableId="2014725336">
    <w:abstractNumId w:val="13"/>
  </w:num>
  <w:num w:numId="5" w16cid:durableId="268506779">
    <w:abstractNumId w:val="4"/>
  </w:num>
  <w:num w:numId="6" w16cid:durableId="1517110265">
    <w:abstractNumId w:val="11"/>
  </w:num>
  <w:num w:numId="7" w16cid:durableId="1102917549">
    <w:abstractNumId w:val="2"/>
  </w:num>
  <w:num w:numId="8" w16cid:durableId="1255505779">
    <w:abstractNumId w:val="12"/>
  </w:num>
  <w:num w:numId="9" w16cid:durableId="178158523">
    <w:abstractNumId w:val="10"/>
  </w:num>
  <w:num w:numId="10" w16cid:durableId="1697659201">
    <w:abstractNumId w:val="0"/>
  </w:num>
  <w:num w:numId="11" w16cid:durableId="834806144">
    <w:abstractNumId w:val="0"/>
  </w:num>
  <w:num w:numId="12" w16cid:durableId="100997544">
    <w:abstractNumId w:val="0"/>
  </w:num>
  <w:num w:numId="13" w16cid:durableId="987824242">
    <w:abstractNumId w:val="2"/>
  </w:num>
  <w:num w:numId="14" w16cid:durableId="762990316">
    <w:abstractNumId w:val="2"/>
  </w:num>
  <w:num w:numId="15" w16cid:durableId="190920409">
    <w:abstractNumId w:val="8"/>
  </w:num>
  <w:num w:numId="16" w16cid:durableId="1509364302">
    <w:abstractNumId w:val="8"/>
  </w:num>
  <w:num w:numId="17" w16cid:durableId="2005626516">
    <w:abstractNumId w:val="0"/>
  </w:num>
  <w:num w:numId="18" w16cid:durableId="1304114961">
    <w:abstractNumId w:val="2"/>
  </w:num>
  <w:num w:numId="19" w16cid:durableId="1157309454">
    <w:abstractNumId w:val="6"/>
  </w:num>
  <w:num w:numId="20" w16cid:durableId="479542581">
    <w:abstractNumId w:val="7"/>
  </w:num>
  <w:num w:numId="21" w16cid:durableId="1327517885">
    <w:abstractNumId w:val="3"/>
  </w:num>
  <w:num w:numId="22" w16cid:durableId="1398818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75"/>
    <w:rsid w:val="000211BE"/>
    <w:rsid w:val="00041652"/>
    <w:rsid w:val="000678E6"/>
    <w:rsid w:val="000852CA"/>
    <w:rsid w:val="000A3775"/>
    <w:rsid w:val="000B2FC7"/>
    <w:rsid w:val="000D0327"/>
    <w:rsid w:val="000D58FE"/>
    <w:rsid w:val="00116397"/>
    <w:rsid w:val="001314D7"/>
    <w:rsid w:val="00152E78"/>
    <w:rsid w:val="0019128B"/>
    <w:rsid w:val="00196832"/>
    <w:rsid w:val="001D0F88"/>
    <w:rsid w:val="001F505D"/>
    <w:rsid w:val="002079DD"/>
    <w:rsid w:val="002149A4"/>
    <w:rsid w:val="002A6346"/>
    <w:rsid w:val="002C3670"/>
    <w:rsid w:val="002C7F2B"/>
    <w:rsid w:val="002D11B1"/>
    <w:rsid w:val="002E2A65"/>
    <w:rsid w:val="003517FD"/>
    <w:rsid w:val="00357A97"/>
    <w:rsid w:val="00360D0E"/>
    <w:rsid w:val="00363D1E"/>
    <w:rsid w:val="00372025"/>
    <w:rsid w:val="0038764A"/>
    <w:rsid w:val="003E6F24"/>
    <w:rsid w:val="003F352A"/>
    <w:rsid w:val="00422CD4"/>
    <w:rsid w:val="004416E9"/>
    <w:rsid w:val="00475D69"/>
    <w:rsid w:val="00483353"/>
    <w:rsid w:val="00483FFB"/>
    <w:rsid w:val="004B024D"/>
    <w:rsid w:val="004B373A"/>
    <w:rsid w:val="004B3B75"/>
    <w:rsid w:val="004C23CB"/>
    <w:rsid w:val="004C7750"/>
    <w:rsid w:val="004F0068"/>
    <w:rsid w:val="004F44EE"/>
    <w:rsid w:val="004F6DFF"/>
    <w:rsid w:val="004F71C0"/>
    <w:rsid w:val="00506B95"/>
    <w:rsid w:val="00514AEF"/>
    <w:rsid w:val="0051643E"/>
    <w:rsid w:val="0054116D"/>
    <w:rsid w:val="00547B9B"/>
    <w:rsid w:val="00572EBC"/>
    <w:rsid w:val="00573F66"/>
    <w:rsid w:val="00577A05"/>
    <w:rsid w:val="00577EA5"/>
    <w:rsid w:val="005864C9"/>
    <w:rsid w:val="00593B16"/>
    <w:rsid w:val="005A1F5B"/>
    <w:rsid w:val="005C00B9"/>
    <w:rsid w:val="005C0A5C"/>
    <w:rsid w:val="005E2314"/>
    <w:rsid w:val="005E35D0"/>
    <w:rsid w:val="0061059D"/>
    <w:rsid w:val="00621ABF"/>
    <w:rsid w:val="006414A8"/>
    <w:rsid w:val="00645647"/>
    <w:rsid w:val="006A3EF8"/>
    <w:rsid w:val="006B548E"/>
    <w:rsid w:val="006C7D5D"/>
    <w:rsid w:val="006E1042"/>
    <w:rsid w:val="006E3A7F"/>
    <w:rsid w:val="006E5D02"/>
    <w:rsid w:val="006F7943"/>
    <w:rsid w:val="007046EB"/>
    <w:rsid w:val="00771D5E"/>
    <w:rsid w:val="00792C35"/>
    <w:rsid w:val="0079762E"/>
    <w:rsid w:val="007A5326"/>
    <w:rsid w:val="007E1102"/>
    <w:rsid w:val="00810EAF"/>
    <w:rsid w:val="008143D7"/>
    <w:rsid w:val="008230C8"/>
    <w:rsid w:val="00857989"/>
    <w:rsid w:val="008751F6"/>
    <w:rsid w:val="008C069A"/>
    <w:rsid w:val="008C3B2E"/>
    <w:rsid w:val="008D2948"/>
    <w:rsid w:val="008D6A74"/>
    <w:rsid w:val="008D7B88"/>
    <w:rsid w:val="00924B97"/>
    <w:rsid w:val="009824F0"/>
    <w:rsid w:val="009959D1"/>
    <w:rsid w:val="009B4FBA"/>
    <w:rsid w:val="009D47F8"/>
    <w:rsid w:val="00A148DC"/>
    <w:rsid w:val="00A258EA"/>
    <w:rsid w:val="00A34644"/>
    <w:rsid w:val="00A34C94"/>
    <w:rsid w:val="00A456A1"/>
    <w:rsid w:val="00A54B1A"/>
    <w:rsid w:val="00A958BA"/>
    <w:rsid w:val="00AB0A7A"/>
    <w:rsid w:val="00B0494D"/>
    <w:rsid w:val="00B22058"/>
    <w:rsid w:val="00B25E78"/>
    <w:rsid w:val="00B50E49"/>
    <w:rsid w:val="00B537D5"/>
    <w:rsid w:val="00B739F8"/>
    <w:rsid w:val="00B94761"/>
    <w:rsid w:val="00B94A75"/>
    <w:rsid w:val="00BB514D"/>
    <w:rsid w:val="00BC0DBA"/>
    <w:rsid w:val="00BF13BE"/>
    <w:rsid w:val="00C03DAE"/>
    <w:rsid w:val="00C273FD"/>
    <w:rsid w:val="00C43394"/>
    <w:rsid w:val="00CA1878"/>
    <w:rsid w:val="00CE7B69"/>
    <w:rsid w:val="00D030CA"/>
    <w:rsid w:val="00D0418E"/>
    <w:rsid w:val="00D0443B"/>
    <w:rsid w:val="00D22D0F"/>
    <w:rsid w:val="00D32E9E"/>
    <w:rsid w:val="00D3705C"/>
    <w:rsid w:val="00D47A7B"/>
    <w:rsid w:val="00D5099D"/>
    <w:rsid w:val="00D712DA"/>
    <w:rsid w:val="00D7224E"/>
    <w:rsid w:val="00DA3750"/>
    <w:rsid w:val="00DA6A3D"/>
    <w:rsid w:val="00DB0740"/>
    <w:rsid w:val="00DC2A02"/>
    <w:rsid w:val="00DD4944"/>
    <w:rsid w:val="00DE1AF2"/>
    <w:rsid w:val="00E0163B"/>
    <w:rsid w:val="00E227A5"/>
    <w:rsid w:val="00E341B7"/>
    <w:rsid w:val="00E45CBA"/>
    <w:rsid w:val="00E63470"/>
    <w:rsid w:val="00EB378D"/>
    <w:rsid w:val="00EF2297"/>
    <w:rsid w:val="00F068C8"/>
    <w:rsid w:val="00F3426E"/>
    <w:rsid w:val="00F94AB0"/>
    <w:rsid w:val="00FB5CE6"/>
    <w:rsid w:val="00FF6746"/>
    <w:rsid w:val="00FF7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DE241"/>
  <w15:chartTrackingRefBased/>
  <w15:docId w15:val="{17CD26BF-263C-4E4D-8BD7-6BCD7895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418E"/>
    <w:pPr>
      <w:tabs>
        <w:tab w:val="left" w:pos="284"/>
        <w:tab w:val="left" w:pos="567"/>
        <w:tab w:val="left" w:pos="851"/>
        <w:tab w:val="left" w:pos="1134"/>
        <w:tab w:val="center" w:pos="4111"/>
        <w:tab w:val="right" w:pos="8222"/>
      </w:tabs>
      <w:spacing w:line="280" w:lineRule="atLeast"/>
      <w:contextualSpacing/>
    </w:pPr>
    <w:rPr>
      <w:sz w:val="18"/>
    </w:rPr>
  </w:style>
  <w:style w:type="paragraph" w:styleId="Kop1">
    <w:name w:val="heading 1"/>
    <w:next w:val="Standaard"/>
    <w:link w:val="Kop1Char"/>
    <w:uiPriority w:val="2"/>
    <w:unhideWhenUsed/>
    <w:qFormat/>
    <w:rsid w:val="006C7D5D"/>
    <w:pPr>
      <w:keepNext/>
      <w:keepLines/>
      <w:numPr>
        <w:numId w:val="21"/>
      </w:numPr>
      <w:spacing w:before="480" w:after="240" w:line="320" w:lineRule="atLeast"/>
      <w:contextualSpacing/>
      <w:outlineLvl w:val="0"/>
    </w:pPr>
    <w:rPr>
      <w:rFonts w:ascii="Verdana" w:eastAsiaTheme="majorEastAsia" w:hAnsi="Verdana" w:cstheme="majorBidi"/>
      <w:b/>
      <w:bCs/>
      <w:color w:val="121469" w:themeColor="accent1"/>
      <w:spacing w:val="3"/>
      <w:kern w:val="0"/>
      <w:sz w:val="22"/>
      <w:szCs w:val="32"/>
      <w:lang w:eastAsia="nl-NL"/>
      <w14:ligatures w14:val="none"/>
    </w:rPr>
  </w:style>
  <w:style w:type="paragraph" w:styleId="Kop2">
    <w:name w:val="heading 2"/>
    <w:basedOn w:val="Kop1"/>
    <w:next w:val="Standaard"/>
    <w:link w:val="Kop2Char"/>
    <w:uiPriority w:val="3"/>
    <w:unhideWhenUsed/>
    <w:qFormat/>
    <w:rsid w:val="006C7D5D"/>
    <w:pPr>
      <w:numPr>
        <w:ilvl w:val="1"/>
      </w:numPr>
      <w:spacing w:before="280" w:after="200" w:line="280" w:lineRule="atLeast"/>
      <w:contextualSpacing w:val="0"/>
      <w:outlineLvl w:val="1"/>
    </w:pPr>
    <w:rPr>
      <w:sz w:val="18"/>
      <w:szCs w:val="26"/>
    </w:rPr>
  </w:style>
  <w:style w:type="paragraph" w:styleId="Kop3">
    <w:name w:val="heading 3"/>
    <w:basedOn w:val="Kop2"/>
    <w:next w:val="Standaard"/>
    <w:link w:val="Kop3Char"/>
    <w:uiPriority w:val="4"/>
    <w:unhideWhenUsed/>
    <w:rsid w:val="002E2A65"/>
    <w:pPr>
      <w:numPr>
        <w:ilvl w:val="2"/>
      </w:numPr>
      <w:ind w:left="709" w:hanging="709"/>
      <w:outlineLvl w:val="2"/>
    </w:pPr>
    <w:rPr>
      <w:b w:val="0"/>
      <w:szCs w:val="24"/>
    </w:rPr>
  </w:style>
  <w:style w:type="paragraph" w:styleId="Kop4">
    <w:name w:val="heading 4"/>
    <w:basedOn w:val="Kop3"/>
    <w:next w:val="Standaard"/>
    <w:link w:val="Kop4Char"/>
    <w:uiPriority w:val="5"/>
    <w:unhideWhenUsed/>
    <w:rsid w:val="002E2A65"/>
    <w:pPr>
      <w:numPr>
        <w:ilvl w:val="3"/>
      </w:numPr>
      <w:outlineLvl w:val="3"/>
    </w:pPr>
    <w:rPr>
      <w:b/>
      <w:color w:val="000000" w:themeColor="text1"/>
      <w:sz w:val="20"/>
    </w:rPr>
  </w:style>
  <w:style w:type="paragraph" w:styleId="Kop5">
    <w:name w:val="heading 5"/>
    <w:basedOn w:val="Kop4"/>
    <w:next w:val="Standaard"/>
    <w:link w:val="Kop5Char"/>
    <w:uiPriority w:val="6"/>
    <w:unhideWhenUsed/>
    <w:rsid w:val="002E2A65"/>
    <w:pPr>
      <w:numPr>
        <w:ilvl w:val="4"/>
      </w:numPr>
      <w:outlineLvl w:val="4"/>
    </w:pPr>
    <w:rPr>
      <w:b w:val="0"/>
      <w:color w:val="548166" w:themeColor="accent5"/>
    </w:rPr>
  </w:style>
  <w:style w:type="paragraph" w:styleId="Kop6">
    <w:name w:val="heading 6"/>
    <w:basedOn w:val="Kop5"/>
    <w:next w:val="Standaard"/>
    <w:link w:val="Kop6Char"/>
    <w:uiPriority w:val="7"/>
    <w:unhideWhenUsed/>
    <w:rsid w:val="002E2A65"/>
    <w:pPr>
      <w:numPr>
        <w:ilvl w:val="5"/>
      </w:numPr>
      <w:outlineLvl w:val="5"/>
    </w:pPr>
    <w:rPr>
      <w:i/>
      <w:u w:val="single"/>
    </w:rPr>
  </w:style>
  <w:style w:type="paragraph" w:styleId="Kop7">
    <w:name w:val="heading 7"/>
    <w:basedOn w:val="Kop6"/>
    <w:next w:val="Standaard"/>
    <w:link w:val="Kop7Char"/>
    <w:uiPriority w:val="8"/>
    <w:unhideWhenUsed/>
    <w:rsid w:val="002E2A65"/>
    <w:pPr>
      <w:numPr>
        <w:ilvl w:val="6"/>
      </w:numPr>
      <w:outlineLvl w:val="6"/>
    </w:pPr>
    <w:rPr>
      <w:i w:val="0"/>
      <w:iCs/>
    </w:rPr>
  </w:style>
  <w:style w:type="paragraph" w:styleId="Kop8">
    <w:name w:val="heading 8"/>
    <w:basedOn w:val="Kop7"/>
    <w:next w:val="Standaard"/>
    <w:link w:val="Kop8Char"/>
    <w:uiPriority w:val="9"/>
    <w:unhideWhenUsed/>
    <w:rsid w:val="002E2A65"/>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2E2A65"/>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C7D5D"/>
    <w:pPr>
      <w:tabs>
        <w:tab w:val="clear" w:pos="284"/>
        <w:tab w:val="clear" w:pos="567"/>
        <w:tab w:val="clear" w:pos="851"/>
        <w:tab w:val="clear" w:pos="1134"/>
        <w:tab w:val="clear" w:pos="4111"/>
        <w:tab w:val="clear" w:pos="8222"/>
      </w:tabs>
      <w:spacing w:after="0" w:line="240" w:lineRule="atLeast"/>
      <w:jc w:val="right"/>
    </w:pPr>
    <w:rPr>
      <w:sz w:val="14"/>
    </w:rPr>
  </w:style>
  <w:style w:type="character" w:customStyle="1" w:styleId="KoptekstChar">
    <w:name w:val="Koptekst Char"/>
    <w:basedOn w:val="Standaardalinea-lettertype"/>
    <w:link w:val="Koptekst"/>
    <w:rsid w:val="006C7D5D"/>
    <w:rPr>
      <w:sz w:val="14"/>
    </w:rPr>
  </w:style>
  <w:style w:type="paragraph" w:styleId="Voettekst">
    <w:name w:val="footer"/>
    <w:basedOn w:val="Standaard"/>
    <w:link w:val="VoettekstChar"/>
    <w:unhideWhenUsed/>
    <w:rsid w:val="006C7D5D"/>
    <w:pPr>
      <w:tabs>
        <w:tab w:val="clear" w:pos="284"/>
        <w:tab w:val="clear" w:pos="567"/>
        <w:tab w:val="clear" w:pos="851"/>
        <w:tab w:val="clear" w:pos="1134"/>
      </w:tabs>
      <w:spacing w:after="0" w:line="240" w:lineRule="atLeast"/>
    </w:pPr>
    <w:rPr>
      <w:color w:val="B6C0C9" w:themeColor="text2"/>
      <w:sz w:val="14"/>
    </w:rPr>
  </w:style>
  <w:style w:type="character" w:customStyle="1" w:styleId="VoettekstChar">
    <w:name w:val="Voettekst Char"/>
    <w:basedOn w:val="Standaardalinea-lettertype"/>
    <w:link w:val="Voettekst"/>
    <w:rsid w:val="006C7D5D"/>
    <w:rPr>
      <w:color w:val="B6C0C9" w:themeColor="text2"/>
      <w:sz w:val="14"/>
    </w:rPr>
  </w:style>
  <w:style w:type="paragraph" w:customStyle="1" w:styleId="KoptekstEerstepagina">
    <w:name w:val="Koptekst Eerste pagina"/>
    <w:basedOn w:val="Koptekst"/>
    <w:rsid w:val="006C7D5D"/>
    <w:pPr>
      <w:tabs>
        <w:tab w:val="right" w:pos="8789"/>
      </w:tabs>
      <w:spacing w:line="280" w:lineRule="atLeast"/>
      <w:ind w:right="-567"/>
    </w:pPr>
    <w:rPr>
      <w:color w:val="B6C0C9" w:themeColor="text2"/>
      <w:sz w:val="22"/>
    </w:rPr>
  </w:style>
  <w:style w:type="character" w:styleId="Tekstvantijdelijkeaanduiding">
    <w:name w:val="Placeholder Text"/>
    <w:basedOn w:val="Standaardalinea-lettertype"/>
    <w:uiPriority w:val="99"/>
    <w:rsid w:val="00B739F8"/>
    <w:rPr>
      <w:color w:val="666666"/>
    </w:rPr>
  </w:style>
  <w:style w:type="table" w:styleId="Tabelraster">
    <w:name w:val="Table Grid"/>
    <w:basedOn w:val="Standaardtabel"/>
    <w:rsid w:val="0077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next w:val="Standaard"/>
    <w:qFormat/>
    <w:rsid w:val="006C7D5D"/>
    <w:pPr>
      <w:spacing w:after="0"/>
    </w:pPr>
    <w:rPr>
      <w:b/>
      <w:color w:val="121469" w:themeColor="accent1"/>
    </w:rPr>
  </w:style>
  <w:style w:type="paragraph" w:customStyle="1" w:styleId="Legendakop">
    <w:name w:val="Legendakop"/>
    <w:basedOn w:val="Standaard"/>
    <w:rsid w:val="00771D5E"/>
    <w:pPr>
      <w:spacing w:after="0"/>
    </w:pPr>
    <w:rPr>
      <w:b/>
      <w:sz w:val="14"/>
    </w:rPr>
  </w:style>
  <w:style w:type="paragraph" w:customStyle="1" w:styleId="Legendatekst">
    <w:name w:val="Legendatekst"/>
    <w:basedOn w:val="Standaard"/>
    <w:rsid w:val="00771D5E"/>
    <w:pPr>
      <w:spacing w:after="0"/>
    </w:pPr>
    <w:rPr>
      <w:sz w:val="16"/>
    </w:rPr>
  </w:style>
  <w:style w:type="paragraph" w:customStyle="1" w:styleId="Scheidingsalinea">
    <w:name w:val="Scheidingsalinea"/>
    <w:basedOn w:val="Standaard"/>
    <w:rsid w:val="00771D5E"/>
    <w:pPr>
      <w:spacing w:after="0" w:line="20" w:lineRule="exact"/>
    </w:pPr>
  </w:style>
  <w:style w:type="paragraph" w:customStyle="1" w:styleId="Afzendergegevens">
    <w:name w:val="Afzendergegevens"/>
    <w:basedOn w:val="Standaard"/>
    <w:rsid w:val="00D712DA"/>
    <w:pPr>
      <w:spacing w:after="0" w:line="200" w:lineRule="atLeast"/>
      <w:jc w:val="right"/>
    </w:pPr>
    <w:rPr>
      <w:sz w:val="16"/>
    </w:rPr>
  </w:style>
  <w:style w:type="paragraph" w:styleId="Titel">
    <w:name w:val="Title"/>
    <w:basedOn w:val="Standaard"/>
    <w:next w:val="Standaard"/>
    <w:link w:val="TitelChar"/>
    <w:unhideWhenUsed/>
    <w:rsid w:val="008C3B2E"/>
    <w:pPr>
      <w:keepNext/>
      <w:keepLines/>
      <w:tabs>
        <w:tab w:val="clear" w:pos="284"/>
        <w:tab w:val="clear" w:pos="567"/>
        <w:tab w:val="clear" w:pos="851"/>
        <w:tab w:val="clear" w:pos="1134"/>
        <w:tab w:val="clear" w:pos="4111"/>
        <w:tab w:val="clear" w:pos="8222"/>
      </w:tabs>
      <w:spacing w:before="480" w:after="360" w:line="320" w:lineRule="atLeast"/>
    </w:pPr>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TitelChar">
    <w:name w:val="Titel Char"/>
    <w:basedOn w:val="Standaardalinea-lettertype"/>
    <w:link w:val="Titel"/>
    <w:rsid w:val="008C3B2E"/>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Kop1Char">
    <w:name w:val="Kop 1 Char"/>
    <w:basedOn w:val="Standaardalinea-lettertype"/>
    <w:link w:val="Kop1"/>
    <w:uiPriority w:val="2"/>
    <w:rsid w:val="006C7D5D"/>
    <w:rPr>
      <w:rFonts w:ascii="Verdana" w:eastAsiaTheme="majorEastAsia" w:hAnsi="Verdana" w:cstheme="majorBidi"/>
      <w:b/>
      <w:bCs/>
      <w:color w:val="121469" w:themeColor="accent1"/>
      <w:spacing w:val="3"/>
      <w:kern w:val="0"/>
      <w:sz w:val="22"/>
      <w:szCs w:val="32"/>
      <w:lang w:eastAsia="nl-NL"/>
      <w14:ligatures w14:val="none"/>
    </w:rPr>
  </w:style>
  <w:style w:type="character" w:customStyle="1" w:styleId="Kop2Char">
    <w:name w:val="Kop 2 Char"/>
    <w:basedOn w:val="Standaardalinea-lettertype"/>
    <w:link w:val="Kop2"/>
    <w:uiPriority w:val="3"/>
    <w:rsid w:val="006C7D5D"/>
    <w:rPr>
      <w:rFonts w:ascii="Verdana" w:eastAsiaTheme="majorEastAsia" w:hAnsi="Verdana" w:cstheme="majorBidi"/>
      <w:b/>
      <w:bCs/>
      <w:color w:val="121469" w:themeColor="accent1"/>
      <w:spacing w:val="3"/>
      <w:kern w:val="0"/>
      <w:sz w:val="18"/>
      <w:szCs w:val="26"/>
      <w:lang w:eastAsia="nl-NL"/>
      <w14:ligatures w14:val="none"/>
    </w:rPr>
  </w:style>
  <w:style w:type="character" w:customStyle="1" w:styleId="Kop3Char">
    <w:name w:val="Kop 3 Char"/>
    <w:basedOn w:val="Standaardalinea-lettertype"/>
    <w:link w:val="Kop3"/>
    <w:uiPriority w:val="4"/>
    <w:rsid w:val="002E2A65"/>
    <w:rPr>
      <w:rFonts w:ascii="Verdana" w:eastAsiaTheme="majorEastAsia" w:hAnsi="Verdana" w:cstheme="majorBidi"/>
      <w:bCs/>
      <w:color w:val="121469" w:themeColor="accent1"/>
      <w:spacing w:val="3"/>
      <w:kern w:val="0"/>
      <w:sz w:val="18"/>
      <w:lang w:eastAsia="nl-NL"/>
      <w14:ligatures w14:val="none"/>
    </w:rPr>
  </w:style>
  <w:style w:type="character" w:customStyle="1" w:styleId="Kop4Char">
    <w:name w:val="Kop 4 Char"/>
    <w:basedOn w:val="Standaardalinea-lettertype"/>
    <w:link w:val="Kop4"/>
    <w:uiPriority w:val="5"/>
    <w:rsid w:val="002E2A65"/>
    <w:rPr>
      <w:rFonts w:ascii="Verdana" w:eastAsiaTheme="majorEastAsia" w:hAnsi="Verdana" w:cstheme="majorBidi"/>
      <w:b/>
      <w:bCs/>
      <w:color w:val="000000" w:themeColor="text1"/>
      <w:spacing w:val="3"/>
      <w:kern w:val="0"/>
      <w:sz w:val="20"/>
      <w:lang w:eastAsia="nl-NL"/>
      <w14:ligatures w14:val="none"/>
    </w:rPr>
  </w:style>
  <w:style w:type="character" w:customStyle="1" w:styleId="Kop5Char">
    <w:name w:val="Kop 5 Char"/>
    <w:basedOn w:val="Standaardalinea-lettertype"/>
    <w:link w:val="Kop5"/>
    <w:uiPriority w:val="6"/>
    <w:rsid w:val="002E2A65"/>
    <w:rPr>
      <w:rFonts w:ascii="Verdana" w:eastAsiaTheme="majorEastAsia" w:hAnsi="Verdana" w:cstheme="majorBidi"/>
      <w:bCs/>
      <w:color w:val="548166" w:themeColor="accent5"/>
      <w:spacing w:val="3"/>
      <w:kern w:val="0"/>
      <w:sz w:val="20"/>
      <w:lang w:eastAsia="nl-NL"/>
      <w14:ligatures w14:val="none"/>
    </w:rPr>
  </w:style>
  <w:style w:type="character" w:customStyle="1" w:styleId="Kop6Char">
    <w:name w:val="Kop 6 Char"/>
    <w:basedOn w:val="Standaardalinea-lettertype"/>
    <w:link w:val="Kop6"/>
    <w:uiPriority w:val="7"/>
    <w:rsid w:val="002E2A65"/>
    <w:rPr>
      <w:rFonts w:ascii="Verdana" w:eastAsiaTheme="majorEastAsia" w:hAnsi="Verdana" w:cstheme="majorBidi"/>
      <w:bCs/>
      <w:i/>
      <w:color w:val="548166" w:themeColor="accent5"/>
      <w:spacing w:val="3"/>
      <w:kern w:val="0"/>
      <w:sz w:val="20"/>
      <w:u w:val="single"/>
      <w:lang w:eastAsia="nl-NL"/>
      <w14:ligatures w14:val="none"/>
    </w:rPr>
  </w:style>
  <w:style w:type="character" w:customStyle="1" w:styleId="Kop7Char">
    <w:name w:val="Kop 7 Char"/>
    <w:basedOn w:val="Standaardalinea-lettertype"/>
    <w:link w:val="Kop7"/>
    <w:uiPriority w:val="8"/>
    <w:rsid w:val="002E2A65"/>
    <w:rPr>
      <w:rFonts w:ascii="Verdana" w:eastAsiaTheme="majorEastAsia" w:hAnsi="Verdana" w:cstheme="majorBidi"/>
      <w:bCs/>
      <w:iCs/>
      <w:color w:val="548166" w:themeColor="accent5"/>
      <w:spacing w:val="3"/>
      <w:kern w:val="0"/>
      <w:sz w:val="20"/>
      <w:u w:val="single"/>
      <w:lang w:eastAsia="nl-NL"/>
      <w14:ligatures w14:val="none"/>
    </w:rPr>
  </w:style>
  <w:style w:type="character" w:customStyle="1" w:styleId="Kop8Char">
    <w:name w:val="Kop 8 Char"/>
    <w:basedOn w:val="Standaardalinea-lettertype"/>
    <w:link w:val="Kop8"/>
    <w:uiPriority w:val="9"/>
    <w:rsid w:val="002E2A65"/>
    <w:rPr>
      <w:rFonts w:ascii="Verdana" w:eastAsiaTheme="majorEastAsia" w:hAnsi="Verdana" w:cstheme="majorBidi"/>
      <w:bCs/>
      <w:iCs/>
      <w:color w:val="272727" w:themeColor="text1" w:themeTint="D8"/>
      <w:spacing w:val="3"/>
      <w:kern w:val="0"/>
      <w:sz w:val="21"/>
      <w:szCs w:val="21"/>
      <w:u w:val="single"/>
      <w:lang w:eastAsia="nl-NL"/>
      <w14:ligatures w14:val="none"/>
    </w:rPr>
  </w:style>
  <w:style w:type="character" w:customStyle="1" w:styleId="Kop9Char">
    <w:name w:val="Kop 9 Char"/>
    <w:basedOn w:val="Standaardalinea-lettertype"/>
    <w:link w:val="Kop9"/>
    <w:uiPriority w:val="10"/>
    <w:rsid w:val="002E2A65"/>
    <w:rPr>
      <w:rFonts w:ascii="Verdana" w:eastAsiaTheme="majorEastAsia" w:hAnsi="Verdana" w:cstheme="majorBidi"/>
      <w:bCs/>
      <w:i/>
      <w:color w:val="272727" w:themeColor="text1" w:themeTint="D8"/>
      <w:spacing w:val="3"/>
      <w:kern w:val="0"/>
      <w:sz w:val="21"/>
      <w:szCs w:val="21"/>
      <w:u w:val="single"/>
      <w:lang w:eastAsia="nl-NL"/>
      <w14:ligatures w14:val="none"/>
    </w:rPr>
  </w:style>
  <w:style w:type="paragraph" w:customStyle="1" w:styleId="Kop1-Zondernummer">
    <w:name w:val="Kop 1 - Zonder nummer"/>
    <w:basedOn w:val="Kop1"/>
    <w:next w:val="Standaard"/>
    <w:qFormat/>
    <w:rsid w:val="006C7D5D"/>
    <w:pPr>
      <w:numPr>
        <w:numId w:val="0"/>
      </w:numPr>
      <w:spacing w:before="240"/>
    </w:pPr>
  </w:style>
  <w:style w:type="paragraph" w:customStyle="1" w:styleId="Kop2-Zondernummer">
    <w:name w:val="Kop 2 - Zonder nummer"/>
    <w:basedOn w:val="Kop2"/>
    <w:next w:val="Standaard"/>
    <w:qFormat/>
    <w:rsid w:val="006C7D5D"/>
    <w:pPr>
      <w:numPr>
        <w:ilvl w:val="0"/>
        <w:numId w:val="0"/>
      </w:numPr>
    </w:pPr>
  </w:style>
  <w:style w:type="character" w:styleId="Hyperlink">
    <w:name w:val="Hyperlink"/>
    <w:basedOn w:val="Standaardalinea-lettertype"/>
    <w:uiPriority w:val="99"/>
    <w:unhideWhenUsed/>
    <w:rsid w:val="00506B95"/>
    <w:rPr>
      <w:color w:val="3E7D98" w:themeColor="hyperlink"/>
      <w:u w:val="single"/>
    </w:rPr>
  </w:style>
  <w:style w:type="character" w:styleId="Onopgelostemelding">
    <w:name w:val="Unresolved Mention"/>
    <w:basedOn w:val="Standaardalinea-lettertype"/>
    <w:uiPriority w:val="99"/>
    <w:semiHidden/>
    <w:unhideWhenUsed/>
    <w:rsid w:val="00506B95"/>
    <w:rPr>
      <w:color w:val="605E5C"/>
      <w:shd w:val="clear" w:color="auto" w:fill="E1DFDD"/>
    </w:rPr>
  </w:style>
  <w:style w:type="paragraph" w:styleId="Voetnoottekst">
    <w:name w:val="footnote text"/>
    <w:basedOn w:val="Standaard"/>
    <w:link w:val="VoetnoottekstChar"/>
    <w:uiPriority w:val="99"/>
    <w:unhideWhenUsed/>
    <w:rsid w:val="004F0068"/>
    <w:pPr>
      <w:spacing w:after="0" w:line="240" w:lineRule="auto"/>
      <w:ind w:left="284" w:hanging="284"/>
    </w:pPr>
    <w:rPr>
      <w:sz w:val="16"/>
      <w:szCs w:val="20"/>
    </w:rPr>
  </w:style>
  <w:style w:type="character" w:customStyle="1" w:styleId="VoetnoottekstChar">
    <w:name w:val="Voetnoottekst Char"/>
    <w:basedOn w:val="Standaardalinea-lettertype"/>
    <w:link w:val="Voetnoottekst"/>
    <w:uiPriority w:val="99"/>
    <w:rsid w:val="004F0068"/>
    <w:rPr>
      <w:sz w:val="16"/>
      <w:szCs w:val="20"/>
    </w:rPr>
  </w:style>
  <w:style w:type="character" w:styleId="Voetnootmarkering">
    <w:name w:val="footnote reference"/>
    <w:basedOn w:val="Standaardalinea-lettertype"/>
    <w:uiPriority w:val="99"/>
    <w:semiHidden/>
    <w:unhideWhenUsed/>
    <w:rsid w:val="00506B95"/>
    <w:rPr>
      <w:sz w:val="20"/>
      <w:vertAlign w:val="superscript"/>
    </w:rPr>
  </w:style>
  <w:style w:type="character" w:styleId="GevolgdeHyperlink">
    <w:name w:val="FollowedHyperlink"/>
    <w:basedOn w:val="Standaardalinea-lettertype"/>
    <w:uiPriority w:val="99"/>
    <w:semiHidden/>
    <w:unhideWhenUsed/>
    <w:rsid w:val="00506B95"/>
    <w:rPr>
      <w:color w:val="6B91A1" w:themeColor="followedHyperlink"/>
      <w:u w:val="single"/>
    </w:rPr>
  </w:style>
  <w:style w:type="paragraph" w:customStyle="1" w:styleId="Tabelkopregel">
    <w:name w:val="Tabel kopregel"/>
    <w:basedOn w:val="Standaard"/>
    <w:unhideWhenUsed/>
    <w:qFormat/>
    <w:rsid w:val="006C7D5D"/>
    <w:pPr>
      <w:tabs>
        <w:tab w:val="left" w:pos="1418"/>
        <w:tab w:val="left" w:pos="4111"/>
      </w:tabs>
      <w:spacing w:after="0" w:line="240" w:lineRule="atLeast"/>
    </w:pPr>
    <w:rPr>
      <w:rFonts w:ascii="Verdana" w:eastAsia="Times New Roman" w:hAnsi="Verdana" w:cs="Times New Roman"/>
      <w:b/>
      <w:color w:val="FFFFFF" w:themeColor="background1"/>
      <w:kern w:val="0"/>
      <w:sz w:val="16"/>
      <w:szCs w:val="18"/>
      <w:lang w:eastAsia="de-DE"/>
      <w14:ligatures w14:val="none"/>
    </w:rPr>
  </w:style>
  <w:style w:type="paragraph" w:customStyle="1" w:styleId="Tabeltekst">
    <w:name w:val="Tabel tekst"/>
    <w:basedOn w:val="Standaard"/>
    <w:unhideWhenUsed/>
    <w:qFormat/>
    <w:rsid w:val="006C7D5D"/>
    <w:pPr>
      <w:tabs>
        <w:tab w:val="left" w:pos="1418"/>
        <w:tab w:val="left" w:pos="4111"/>
      </w:tabs>
      <w:spacing w:after="0" w:line="240" w:lineRule="atLeast"/>
    </w:pPr>
    <w:rPr>
      <w:rFonts w:ascii="Verdana" w:eastAsia="Times New Roman" w:hAnsi="Verdana" w:cs="Times New Roman"/>
      <w:kern w:val="0"/>
      <w:sz w:val="16"/>
      <w:szCs w:val="18"/>
      <w:lang w:eastAsia="de-DE"/>
      <w14:ligatures w14:val="none"/>
    </w:rPr>
  </w:style>
  <w:style w:type="paragraph" w:styleId="Bijschrift">
    <w:name w:val="caption"/>
    <w:basedOn w:val="Standaard"/>
    <w:next w:val="Standaard"/>
    <w:qFormat/>
    <w:rsid w:val="006C7D5D"/>
    <w:pPr>
      <w:tabs>
        <w:tab w:val="clear" w:pos="284"/>
        <w:tab w:val="clear" w:pos="567"/>
        <w:tab w:val="clear" w:pos="1134"/>
        <w:tab w:val="clear" w:pos="4111"/>
        <w:tab w:val="clear" w:pos="8222"/>
      </w:tabs>
      <w:spacing w:before="120" w:after="120" w:line="200" w:lineRule="atLeast"/>
      <w:ind w:left="851" w:hanging="851"/>
    </w:pPr>
    <w:rPr>
      <w:rFonts w:ascii="Verdana" w:eastAsia="Times New Roman" w:hAnsi="Verdana" w:cs="Times New Roman"/>
      <w:iCs/>
      <w:kern w:val="0"/>
      <w:sz w:val="16"/>
      <w:szCs w:val="18"/>
      <w:lang w:eastAsia="de-DE"/>
      <w14:ligatures w14:val="none"/>
    </w:rPr>
  </w:style>
  <w:style w:type="paragraph" w:styleId="Lijstnummering">
    <w:name w:val="List Number"/>
    <w:basedOn w:val="Standaard"/>
    <w:uiPriority w:val="99"/>
    <w:unhideWhenUsed/>
    <w:qFormat/>
    <w:rsid w:val="006C7D5D"/>
    <w:pPr>
      <w:numPr>
        <w:numId w:val="17"/>
      </w:numPr>
      <w:tabs>
        <w:tab w:val="clear" w:pos="284"/>
        <w:tab w:val="clear" w:pos="567"/>
        <w:tab w:val="clear" w:pos="851"/>
        <w:tab w:val="clear" w:pos="1134"/>
        <w:tab w:val="clear" w:pos="4111"/>
        <w:tab w:val="clear" w:pos="8222"/>
      </w:tabs>
    </w:pPr>
  </w:style>
  <w:style w:type="paragraph" w:styleId="Lijstalinea">
    <w:name w:val="List Paragraph"/>
    <w:basedOn w:val="Standaard"/>
    <w:uiPriority w:val="34"/>
    <w:qFormat/>
    <w:rsid w:val="006C7D5D"/>
    <w:pPr>
      <w:numPr>
        <w:numId w:val="18"/>
      </w:numPr>
      <w:tabs>
        <w:tab w:val="clear" w:pos="284"/>
        <w:tab w:val="clear" w:pos="567"/>
        <w:tab w:val="clear" w:pos="851"/>
        <w:tab w:val="clear" w:pos="1134"/>
        <w:tab w:val="clear" w:pos="4111"/>
        <w:tab w:val="clear" w:pos="8222"/>
      </w:tabs>
    </w:pPr>
  </w:style>
  <w:style w:type="paragraph" w:styleId="Inhopg1">
    <w:name w:val="toc 1"/>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before="240" w:after="0" w:line="240" w:lineRule="atLeast"/>
      <w:ind w:left="709" w:hanging="709"/>
      <w:contextualSpacing w:val="0"/>
    </w:pPr>
    <w:rPr>
      <w:rFonts w:ascii="Verdana" w:eastAsiaTheme="minorEastAsia" w:hAnsi="Verdana"/>
      <w:b/>
      <w:noProof/>
      <w:kern w:val="0"/>
      <w:szCs w:val="22"/>
      <w:lang w:eastAsia="nl-NL"/>
      <w14:ligatures w14:val="none"/>
    </w:rPr>
  </w:style>
  <w:style w:type="paragraph" w:styleId="Inhopg2">
    <w:name w:val="toc 2"/>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after="0" w:line="240" w:lineRule="atLeast"/>
      <w:ind w:left="709" w:hanging="709"/>
    </w:pPr>
    <w:rPr>
      <w:rFonts w:ascii="Verdana" w:eastAsiaTheme="minorEastAsia" w:hAnsi="Verdana"/>
      <w:noProof/>
      <w:kern w:val="0"/>
      <w:szCs w:val="22"/>
      <w:lang w:eastAsia="nl-NL"/>
      <w14:ligatures w14:val="none"/>
    </w:rPr>
  </w:style>
  <w:style w:type="paragraph" w:styleId="Citaat">
    <w:name w:val="Quote"/>
    <w:basedOn w:val="Standaard"/>
    <w:next w:val="Standaard"/>
    <w:link w:val="CitaatChar"/>
    <w:uiPriority w:val="29"/>
    <w:rsid w:val="00116397"/>
    <w:rPr>
      <w:i/>
      <w:iCs/>
      <w:color w:val="404040" w:themeColor="text1" w:themeTint="BF"/>
    </w:rPr>
  </w:style>
  <w:style w:type="character" w:customStyle="1" w:styleId="CitaatChar">
    <w:name w:val="Citaat Char"/>
    <w:basedOn w:val="Standaardalinea-lettertype"/>
    <w:link w:val="Citaat"/>
    <w:uiPriority w:val="29"/>
    <w:rsid w:val="00116397"/>
    <w:rPr>
      <w:i/>
      <w:iCs/>
      <w:color w:val="404040" w:themeColor="text1" w:themeTint="BF"/>
      <w:sz w:val="18"/>
    </w:rPr>
  </w:style>
  <w:style w:type="paragraph" w:customStyle="1" w:styleId="Citaatkop">
    <w:name w:val="Citaatkop"/>
    <w:basedOn w:val="Citaat"/>
    <w:qFormat/>
    <w:rsid w:val="004F0068"/>
    <w:pPr>
      <w:tabs>
        <w:tab w:val="clear" w:pos="284"/>
        <w:tab w:val="clear" w:pos="567"/>
        <w:tab w:val="clear" w:pos="851"/>
        <w:tab w:val="clear" w:pos="1134"/>
        <w:tab w:val="clear" w:pos="4111"/>
        <w:tab w:val="clear" w:pos="8222"/>
      </w:tabs>
      <w:contextualSpacing w:val="0"/>
    </w:pPr>
    <w:rPr>
      <w:b/>
      <w:i w:val="0"/>
      <w:color w:val="auto"/>
    </w:rPr>
  </w:style>
  <w:style w:type="paragraph" w:customStyle="1" w:styleId="Citaatalinea">
    <w:name w:val="Citaatalinea"/>
    <w:basedOn w:val="Lijstalinea"/>
    <w:qFormat/>
    <w:rsid w:val="004F0068"/>
    <w:pPr>
      <w:spacing w:after="0"/>
    </w:pPr>
  </w:style>
  <w:style w:type="character" w:styleId="Verwijzingopmerking">
    <w:name w:val="annotation reference"/>
    <w:basedOn w:val="Standaardalinea-lettertype"/>
    <w:uiPriority w:val="99"/>
    <w:semiHidden/>
    <w:unhideWhenUsed/>
    <w:rsid w:val="00A34644"/>
    <w:rPr>
      <w:sz w:val="16"/>
      <w:szCs w:val="16"/>
    </w:rPr>
  </w:style>
  <w:style w:type="paragraph" w:styleId="Tekstopmerking">
    <w:name w:val="annotation text"/>
    <w:basedOn w:val="Standaard"/>
    <w:link w:val="TekstopmerkingChar"/>
    <w:uiPriority w:val="99"/>
    <w:unhideWhenUsed/>
    <w:rsid w:val="00A34644"/>
    <w:pPr>
      <w:tabs>
        <w:tab w:val="clear" w:pos="284"/>
        <w:tab w:val="clear" w:pos="567"/>
        <w:tab w:val="clear" w:pos="851"/>
        <w:tab w:val="clear" w:pos="1134"/>
        <w:tab w:val="clear" w:pos="4111"/>
        <w:tab w:val="clear" w:pos="8222"/>
      </w:tabs>
      <w:autoSpaceDN w:val="0"/>
      <w:spacing w:after="0" w:line="240" w:lineRule="auto"/>
      <w:contextualSpacing w:val="0"/>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A34644"/>
    <w:rPr>
      <w:rFonts w:ascii="Verdana" w:eastAsia="DejaVu Sans" w:hAnsi="Verdana" w:cs="Lohit Hindi"/>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etgevingskalender.overheid.nl/Regeling/WGK025362" TargetMode="External" Id="rId13" /><Relationship Type="http://schemas.openxmlformats.org/officeDocument/2006/relationships/header" Target="header1.xm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tweedekamer.nl/kamerstukken/detail?id=2024D41786&amp;did=2024D41786" TargetMode="External" Id="rId17" /><Relationship Type="http://schemas.openxmlformats.org/officeDocument/2006/relationships/hyperlink" Target="https://technical-regulation-information-system.ec.europa.eu/nl/notification/25868"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s://www.raadvanstate.nl/adviezen/@154888/w19-25-00336-iv/" TargetMode="External" Id="rId15" /><Relationship Type="http://schemas.openxmlformats.org/officeDocument/2006/relationships/glossaryDocument" Target="glossary/document.xml" Id="rId23"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settings" Target="settings.xml" Id="rId9" /><Relationship Type="http://schemas.openxmlformats.org/officeDocument/2006/relationships/hyperlink" Target="https://parlisweb.tweedekamer.nl/parlis/document.aspx?Id=4ca2b349-bb12-4dba-8728-a7e356ceac04"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E2110\OneDrive%20-%20Tweede%20Kamer%20der%20Staten-Generaal\Communicatie%20huisstijl%20-%20Sjablonen\05-TK-Staf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9BAAB116F4DAD9A631958EC3E1FF8"/>
        <w:category>
          <w:name w:val="Algemeen"/>
          <w:gallery w:val="placeholder"/>
        </w:category>
        <w:types>
          <w:type w:val="bbPlcHdr"/>
        </w:types>
        <w:behaviors>
          <w:behavior w:val="content"/>
        </w:behaviors>
        <w:guid w:val="{5991A29F-AE09-4060-A516-75EF564E6043}"/>
      </w:docPartPr>
      <w:docPartBody>
        <w:p w:rsidR="00000502" w:rsidRDefault="00000502">
          <w:pPr>
            <w:pStyle w:val="E419BAAB116F4DAD9A631958EC3E1FF8"/>
          </w:pPr>
          <w:r w:rsidRPr="00AC3648">
            <w:rPr>
              <w:rStyle w:val="Tekstvantijdelijkeaanduiding"/>
            </w:rPr>
            <w:t>Typ Documentbeschrijving</w:t>
          </w:r>
        </w:p>
      </w:docPartBody>
    </w:docPart>
    <w:docPart>
      <w:docPartPr>
        <w:name w:val="20AA8009BAEB4FFA93E293157C4C84A8"/>
        <w:category>
          <w:name w:val="Algemeen"/>
          <w:gallery w:val="placeholder"/>
        </w:category>
        <w:types>
          <w:type w:val="bbPlcHdr"/>
        </w:types>
        <w:behaviors>
          <w:behavior w:val="content"/>
        </w:behaviors>
        <w:guid w:val="{933A9840-1AAC-488B-BE1C-08506F76FEA5}"/>
      </w:docPartPr>
      <w:docPartBody>
        <w:p w:rsidR="00000502" w:rsidRDefault="00000502">
          <w:pPr>
            <w:pStyle w:val="20AA8009BAEB4FFA93E293157C4C84A8"/>
          </w:pPr>
          <w:r w:rsidRPr="00AC3648">
            <w:rPr>
              <w:rStyle w:val="Tekstvantijdelijkeaanduiding"/>
            </w:rPr>
            <w:t>Label: Aan</w:t>
          </w:r>
        </w:p>
      </w:docPartBody>
    </w:docPart>
    <w:docPart>
      <w:docPartPr>
        <w:name w:val="0CB724DE155F4A9D981F37A7DD4825C1"/>
        <w:category>
          <w:name w:val="Algemeen"/>
          <w:gallery w:val="placeholder"/>
        </w:category>
        <w:types>
          <w:type w:val="bbPlcHdr"/>
        </w:types>
        <w:behaviors>
          <w:behavior w:val="content"/>
        </w:behaviors>
        <w:guid w:val="{820F5821-0B4E-4BBD-98F7-0CF2718F088F}"/>
      </w:docPartPr>
      <w:docPartBody>
        <w:p w:rsidR="00000502" w:rsidRDefault="00000502">
          <w:pPr>
            <w:pStyle w:val="0CB724DE155F4A9D981F37A7DD4825C1"/>
          </w:pPr>
          <w:r w:rsidRPr="000D5416">
            <w:rPr>
              <w:rStyle w:val="Tekstvantijdelijkeaanduiding"/>
            </w:rPr>
            <w:t>Typ of selecteer Geadresseerde</w:t>
          </w:r>
        </w:p>
      </w:docPartBody>
    </w:docPart>
    <w:docPart>
      <w:docPartPr>
        <w:name w:val="ED18005891EB408BAAE1CB554775DAD5"/>
        <w:category>
          <w:name w:val="Algemeen"/>
          <w:gallery w:val="placeholder"/>
        </w:category>
        <w:types>
          <w:type w:val="bbPlcHdr"/>
        </w:types>
        <w:behaviors>
          <w:behavior w:val="content"/>
        </w:behaviors>
        <w:guid w:val="{C1335245-9724-42A4-886B-F445B1F72775}"/>
      </w:docPartPr>
      <w:docPartBody>
        <w:p w:rsidR="00000502" w:rsidRDefault="00000502">
          <w:pPr>
            <w:pStyle w:val="ED18005891EB408BAAE1CB554775DAD5"/>
          </w:pPr>
          <w:r w:rsidRPr="00AC3648">
            <w:rPr>
              <w:rStyle w:val="Tekstvantijdelijkeaanduiding"/>
            </w:rPr>
            <w:t>Label: Datum</w:t>
          </w:r>
        </w:p>
      </w:docPartBody>
    </w:docPart>
    <w:docPart>
      <w:docPartPr>
        <w:name w:val="2678743861B94EFFA12CF2DE106AAA3B"/>
        <w:category>
          <w:name w:val="Algemeen"/>
          <w:gallery w:val="placeholder"/>
        </w:category>
        <w:types>
          <w:type w:val="bbPlcHdr"/>
        </w:types>
        <w:behaviors>
          <w:behavior w:val="content"/>
        </w:behaviors>
        <w:guid w:val="{8E8977F0-C756-41CA-B6BF-02217FC58D91}"/>
      </w:docPartPr>
      <w:docPartBody>
        <w:p w:rsidR="00000502" w:rsidRDefault="00000502">
          <w:pPr>
            <w:pStyle w:val="2678743861B94EFFA12CF2DE106AAA3B"/>
          </w:pPr>
          <w:r w:rsidRPr="000211BE">
            <w:rPr>
              <w:rStyle w:val="Tekstvantijdelijkeaanduiding"/>
              <w:lang w:val="de-DE"/>
            </w:rPr>
            <w:t>Typ of kies Datum</w:t>
          </w:r>
        </w:p>
      </w:docPartBody>
    </w:docPart>
    <w:docPart>
      <w:docPartPr>
        <w:name w:val="8395F0F9803D425D93B741CAEBEADC0D"/>
        <w:category>
          <w:name w:val="Algemeen"/>
          <w:gallery w:val="placeholder"/>
        </w:category>
        <w:types>
          <w:type w:val="bbPlcHdr"/>
        </w:types>
        <w:behaviors>
          <w:behavior w:val="content"/>
        </w:behaviors>
        <w:guid w:val="{36FCB98C-C99B-46A8-AF8E-B5AC1D1C6008}"/>
      </w:docPartPr>
      <w:docPartBody>
        <w:p w:rsidR="00000502" w:rsidRDefault="00000502">
          <w:pPr>
            <w:pStyle w:val="8395F0F9803D425D93B741CAEBEADC0D"/>
          </w:pPr>
          <w:r w:rsidRPr="000D5416">
            <w:rPr>
              <w:rStyle w:val="Tekstvantijdelijkeaanduiding"/>
            </w:rPr>
            <w:t>Typ Afzender</w:t>
          </w:r>
        </w:p>
      </w:docPartBody>
    </w:docPart>
    <w:docPart>
      <w:docPartPr>
        <w:name w:val="E867DF5618074963A6C47C6E679B487A"/>
        <w:category>
          <w:name w:val="Algemeen"/>
          <w:gallery w:val="placeholder"/>
        </w:category>
        <w:types>
          <w:type w:val="bbPlcHdr"/>
        </w:types>
        <w:behaviors>
          <w:behavior w:val="content"/>
        </w:behaviors>
        <w:guid w:val="{29530542-1860-4B16-A95B-120B95B5BEE1}"/>
      </w:docPartPr>
      <w:docPartBody>
        <w:p w:rsidR="00000502" w:rsidRDefault="00000502">
          <w:pPr>
            <w:pStyle w:val="E867DF5618074963A6C47C6E679B487A"/>
          </w:pPr>
          <w:r w:rsidRPr="00AC3648">
            <w:rPr>
              <w:rStyle w:val="Tekstvantijdelijkeaanduiding"/>
            </w:rPr>
            <w:t>Label: Te betrekken bij</w:t>
          </w:r>
        </w:p>
      </w:docPartBody>
    </w:docPart>
    <w:docPart>
      <w:docPartPr>
        <w:name w:val="9D627080E5024AB4B478A4A38D2C7A39"/>
        <w:category>
          <w:name w:val="Algemeen"/>
          <w:gallery w:val="placeholder"/>
        </w:category>
        <w:types>
          <w:type w:val="bbPlcHdr"/>
        </w:types>
        <w:behaviors>
          <w:behavior w:val="content"/>
        </w:behaviors>
        <w:guid w:val="{533F1C0F-B10E-4FD6-8AD0-63488E93CB9D}"/>
      </w:docPartPr>
      <w:docPartBody>
        <w:p w:rsidR="00000502" w:rsidRDefault="00000502">
          <w:pPr>
            <w:pStyle w:val="9D627080E5024AB4B478A4A38D2C7A39"/>
          </w:pPr>
          <w:r w:rsidRPr="00C42F60">
            <w:rPr>
              <w:rStyle w:val="Tekstvantijdelijkeaanduiding"/>
            </w:rPr>
            <w:t>Typ Te betrekken bij</w:t>
          </w:r>
        </w:p>
      </w:docPartBody>
    </w:docPart>
    <w:docPart>
      <w:docPartPr>
        <w:name w:val="D119871A29EC45F1B0B716DAA6D3386B"/>
        <w:category>
          <w:name w:val="Algemeen"/>
          <w:gallery w:val="placeholder"/>
        </w:category>
        <w:types>
          <w:type w:val="bbPlcHdr"/>
        </w:types>
        <w:behaviors>
          <w:behavior w:val="content"/>
        </w:behaviors>
        <w:guid w:val="{E0606684-E6B1-46BD-8C22-2F7D6E5BA643}"/>
      </w:docPartPr>
      <w:docPartBody>
        <w:p w:rsidR="00000502" w:rsidRDefault="00000502">
          <w:pPr>
            <w:pStyle w:val="D119871A29EC45F1B0B716DAA6D3386B"/>
          </w:pPr>
          <w:r w:rsidRPr="00841D95">
            <w:rPr>
              <w:rStyle w:val="Tekstvantijdelijkeaanduiding"/>
            </w:rPr>
            <w:t>Typ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19"/>
    <w:rsid w:val="00000502"/>
    <w:rsid w:val="00196832"/>
    <w:rsid w:val="00483353"/>
    <w:rsid w:val="00896B19"/>
    <w:rsid w:val="00B94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666666"/>
    </w:rPr>
  </w:style>
  <w:style w:type="paragraph" w:customStyle="1" w:styleId="E419BAAB116F4DAD9A631958EC3E1FF8">
    <w:name w:val="E419BAAB116F4DAD9A631958EC3E1FF8"/>
  </w:style>
  <w:style w:type="paragraph" w:customStyle="1" w:styleId="20AA8009BAEB4FFA93E293157C4C84A8">
    <w:name w:val="20AA8009BAEB4FFA93E293157C4C84A8"/>
  </w:style>
  <w:style w:type="paragraph" w:customStyle="1" w:styleId="0CB724DE155F4A9D981F37A7DD4825C1">
    <w:name w:val="0CB724DE155F4A9D981F37A7DD4825C1"/>
  </w:style>
  <w:style w:type="paragraph" w:customStyle="1" w:styleId="ED18005891EB408BAAE1CB554775DAD5">
    <w:name w:val="ED18005891EB408BAAE1CB554775DAD5"/>
  </w:style>
  <w:style w:type="paragraph" w:customStyle="1" w:styleId="2678743861B94EFFA12CF2DE106AAA3B">
    <w:name w:val="2678743861B94EFFA12CF2DE106AAA3B"/>
  </w:style>
  <w:style w:type="paragraph" w:customStyle="1" w:styleId="8395F0F9803D425D93B741CAEBEADC0D">
    <w:name w:val="8395F0F9803D425D93B741CAEBEADC0D"/>
  </w:style>
  <w:style w:type="paragraph" w:customStyle="1" w:styleId="E867DF5618074963A6C47C6E679B487A">
    <w:name w:val="E867DF5618074963A6C47C6E679B487A"/>
  </w:style>
  <w:style w:type="paragraph" w:customStyle="1" w:styleId="9D627080E5024AB4B478A4A38D2C7A39">
    <w:name w:val="9D627080E5024AB4B478A4A38D2C7A39"/>
  </w:style>
  <w:style w:type="paragraph" w:customStyle="1" w:styleId="D119871A29EC45F1B0B716DAA6D3386B">
    <w:name w:val="D119871A29EC45F1B0B716DAA6D33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K-365-Color">
      <a:dk1>
        <a:sysClr val="windowText" lastClr="000000"/>
      </a:dk1>
      <a:lt1>
        <a:sysClr val="window" lastClr="FFFFFF"/>
      </a:lt1>
      <a:dk2>
        <a:srgbClr val="B6C0C9"/>
      </a:dk2>
      <a:lt2>
        <a:srgbClr val="FFFFFF"/>
      </a:lt2>
      <a:accent1>
        <a:srgbClr val="121469"/>
      </a:accent1>
      <a:accent2>
        <a:srgbClr val="47A1B7"/>
      </a:accent2>
      <a:accent3>
        <a:srgbClr val="B6C0C9"/>
      </a:accent3>
      <a:accent4>
        <a:srgbClr val="E3A753"/>
      </a:accent4>
      <a:accent5>
        <a:srgbClr val="548166"/>
      </a:accent5>
      <a:accent6>
        <a:srgbClr val="C35C51"/>
      </a:accent6>
      <a:hlink>
        <a:srgbClr val="3E7D98"/>
      </a:hlink>
      <a:folHlink>
        <a:srgbClr val="6B91A1"/>
      </a:folHlink>
    </a:clrScheme>
    <a:fontScheme name="TK-365-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1681</ap:Words>
  <ap:Characters>9250</ap:Characters>
  <ap:DocSecurity>4</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2026-04-15T14:23:00.0000000Z</dcterms:created>
  <dcterms:modified xsi:type="dcterms:W3CDTF">2026-04-15T14:23:00.0000000Z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2026-1</vt:lpwstr>
  </property>
  <property fmtid="{D5CDD505-2E9C-101B-9397-08002B2CF9AE}" pid="3" name="Versiedatum">
    <vt:filetime>2026-01-21T10:00:00Z</vt:filetime>
  </property>
  <property fmtid="{D5CDD505-2E9C-101B-9397-08002B2CF9AE}" pid="4" name="Sjabloon">
    <vt:lpwstr>TK-Stafnotitie</vt:lpwstr>
  </property>
  <property fmtid="{D5CDD505-2E9C-101B-9397-08002B2CF9AE}" pid="5" name="ContentTypeId">
    <vt:lpwstr>0x010100652B67EEE1A68642A5D50A61AFC143750011F6856FA38DAF4BABE59A04E690355F</vt:lpwstr>
  </property>
  <property fmtid="{D5CDD505-2E9C-101B-9397-08002B2CF9AE}" pid="6" name="Selectielijstproces">
    <vt:lpwstr/>
  </property>
  <property fmtid="{D5CDD505-2E9C-101B-9397-08002B2CF9AE}" pid="7" name="Beperking">
    <vt:lpwstr/>
  </property>
</Properties>
</file>