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E05" w:rsidRDefault="00730E05" w14:paraId="7128038F" w14:textId="501DA89A">
      <w:r w:rsidRPr="00730E05">
        <w:t xml:space="preserve">Hierbij </w:t>
      </w:r>
      <w:r>
        <w:t>stuur ik u</w:t>
      </w:r>
      <w:r w:rsidRPr="00730E05">
        <w:t xml:space="preserve"> de </w:t>
      </w:r>
      <w:r w:rsidR="00F055D4">
        <w:t>beleidsreactie</w:t>
      </w:r>
      <w:r w:rsidRPr="00730E05">
        <w:t xml:space="preserve"> op </w:t>
      </w:r>
      <w:r w:rsidR="0019741E">
        <w:t xml:space="preserve">de brief </w:t>
      </w:r>
      <w:r w:rsidRPr="00730E05">
        <w:t>van de Inspectie J</w:t>
      </w:r>
      <w:r>
        <w:t>en</w:t>
      </w:r>
      <w:r w:rsidRPr="00730E05">
        <w:t xml:space="preserve">V over </w:t>
      </w:r>
      <w:r w:rsidR="005F789A">
        <w:t>haar</w:t>
      </w:r>
      <w:r>
        <w:t xml:space="preserve"> toezicht in 2025 op de opvanglocatie Ter Apel. Ik dank de Inspectie voor </w:t>
      </w:r>
      <w:r w:rsidR="002C4254">
        <w:t>haar</w:t>
      </w:r>
      <w:r>
        <w:t xml:space="preserve"> </w:t>
      </w:r>
      <w:r w:rsidR="00777831">
        <w:t xml:space="preserve">voortdurende </w:t>
      </w:r>
      <w:r>
        <w:t>betrokkenheid bij de opvanglocatie Ter Apel.</w:t>
      </w:r>
    </w:p>
    <w:p w:rsidR="008A1499" w:rsidRDefault="008A1499" w14:paraId="7468581D" w14:textId="77777777"/>
    <w:p w:rsidR="005B0850" w:rsidRDefault="008A1499" w14:paraId="164FE166" w14:textId="65D031E9">
      <w:r>
        <w:t>De Inspectie JenV concludeert in haar brief</w:t>
      </w:r>
      <w:r w:rsidR="005B0850">
        <w:t xml:space="preserve"> onder andere dat de</w:t>
      </w:r>
      <w:r>
        <w:t xml:space="preserve"> </w:t>
      </w:r>
      <w:r w:rsidRPr="008A1499">
        <w:t>doorgevoerde verbetermaatregelen op de opvanglocatie Ter Apel hebben geleid tot meer beheersbaarheid van de risico’s en een verbeterd zicht op de veiligheid van medewerkers en bewoners.</w:t>
      </w:r>
      <w:r w:rsidR="005B0850">
        <w:t xml:space="preserve"> Daarnaast geeft de Inspectie JenV aan dat </w:t>
      </w:r>
      <w:r w:rsidRPr="005B0850" w:rsidR="005B0850">
        <w:t>begeleiding van bewoners op de opvanglocatie Ter Apel is aangepast aan de feitelijk langere verblijfsduur waarmee bewoners beter in beeld zijn.</w:t>
      </w:r>
      <w:r w:rsidR="005B0850">
        <w:t xml:space="preserve"> Deze </w:t>
      </w:r>
      <w:r w:rsidR="00436CEF">
        <w:t xml:space="preserve">positieve </w:t>
      </w:r>
      <w:r w:rsidR="005B0850">
        <w:t xml:space="preserve">ontwikkelingen op de locatie stemmen mij positief en </w:t>
      </w:r>
      <w:r w:rsidR="009635EE">
        <w:t>zijn</w:t>
      </w:r>
      <w:r w:rsidR="005B0850">
        <w:t xml:space="preserve"> gerealiseerd dankzij </w:t>
      </w:r>
      <w:r w:rsidR="009635EE">
        <w:t xml:space="preserve">de inzet </w:t>
      </w:r>
      <w:r w:rsidR="005B0850">
        <w:t>van de vele partijen die in Ter Apel werkzaam zijn.</w:t>
      </w:r>
      <w:r w:rsidR="00FC5624">
        <w:t xml:space="preserve"> </w:t>
      </w:r>
      <w:r w:rsidR="005B0850">
        <w:t xml:space="preserve">Tegelijkertijd worden </w:t>
      </w:r>
      <w:r w:rsidR="009635EE">
        <w:t>in de brief</w:t>
      </w:r>
      <w:r w:rsidR="005B0850">
        <w:t xml:space="preserve"> ook knelpunten beschreven</w:t>
      </w:r>
      <w:r w:rsidR="00741853">
        <w:t xml:space="preserve"> </w:t>
      </w:r>
      <w:r w:rsidR="005F789A">
        <w:t>die</w:t>
      </w:r>
      <w:r w:rsidR="00741853">
        <w:t xml:space="preserve"> door de acute tekorten in de asielopvang ook nu zeer relevant zijn</w:t>
      </w:r>
      <w:r w:rsidR="005B0850">
        <w:t xml:space="preserve">. Hierop ga ik in deze brief graag in. </w:t>
      </w:r>
    </w:p>
    <w:p w:rsidR="00FC5624" w:rsidRDefault="00FC5624" w14:paraId="2FC97CD1" w14:textId="77777777"/>
    <w:p w:rsidRPr="00FC5624" w:rsidR="00FC5624" w:rsidRDefault="00B41005" w14:paraId="29D66AD1" w14:textId="7188080A">
      <w:pPr>
        <w:rPr>
          <w:b/>
          <w:bCs/>
        </w:rPr>
      </w:pPr>
      <w:r>
        <w:rPr>
          <w:b/>
          <w:bCs/>
        </w:rPr>
        <w:t>Bezetting in Ter Apel en doorstroom uit Ter Apel</w:t>
      </w:r>
    </w:p>
    <w:p w:rsidR="00E43D58" w:rsidP="00FC5624" w:rsidRDefault="00FC5624" w14:paraId="369AA012" w14:textId="05923E45">
      <w:r>
        <w:t xml:space="preserve">De Inspectie JenV signaleert dat knelpunten in </w:t>
      </w:r>
      <w:r w:rsidR="005F789A">
        <w:t xml:space="preserve">de </w:t>
      </w:r>
      <w:r>
        <w:t xml:space="preserve">doorstroom vanuit Ter Apel naar andere locaties ervoor zorgen dat de situatie kwetsbaar blijft. Terecht wordt beschreven dat </w:t>
      </w:r>
      <w:r w:rsidRPr="008A1499">
        <w:t xml:space="preserve">het opvangen en </w:t>
      </w:r>
      <w:r>
        <w:t>door</w:t>
      </w:r>
      <w:r w:rsidRPr="008A1499">
        <w:t>plaatsen van bewoners als gevolg van het structurele capaciteitstekort een probleem is.</w:t>
      </w:r>
      <w:r>
        <w:t xml:space="preserve"> </w:t>
      </w:r>
      <w:r w:rsidR="00E43D58">
        <w:t xml:space="preserve">Het capaciteitstekort </w:t>
      </w:r>
      <w:r>
        <w:t>zorgt ervoor dat de bezetting in Ter Apel te vaak boven de afgesproken 2.000 personen komt</w:t>
      </w:r>
      <w:r w:rsidR="00B41005">
        <w:t>.</w:t>
      </w:r>
      <w:r w:rsidR="00024FE3">
        <w:t xml:space="preserve"> </w:t>
      </w:r>
      <w:r w:rsidR="005B354B">
        <w:t xml:space="preserve">Dit komt de leefbaarheid en veiligheid op de locatie niet ten goede. </w:t>
      </w:r>
      <w:r w:rsidR="00024FE3">
        <w:t xml:space="preserve">De druk op Ter Apel is al lang hoog. </w:t>
      </w:r>
      <w:r w:rsidR="00B41005">
        <w:t>De inzet van zowel het COA als het departement is erop gericht de bezetting in Ter Apel</w:t>
      </w:r>
      <w:r w:rsidR="00024FE3">
        <w:t xml:space="preserve"> structureel</w:t>
      </w:r>
      <w:r w:rsidR="00B41005">
        <w:t xml:space="preserve"> onder de 2.000 personen te houden. </w:t>
      </w:r>
    </w:p>
    <w:p w:rsidR="00E43D58" w:rsidP="00FC5624" w:rsidRDefault="00E43D58" w14:paraId="25CBDA04" w14:textId="77777777"/>
    <w:p w:rsidRPr="00966EFC" w:rsidR="00514C80" w:rsidP="00FC5624" w:rsidRDefault="00FC5624" w14:paraId="5F18267C" w14:textId="7F17A2A3">
      <w:r>
        <w:t xml:space="preserve">Er wordt hard gewerkt </w:t>
      </w:r>
      <w:r w:rsidR="005F789A">
        <w:t xml:space="preserve">om </w:t>
      </w:r>
      <w:r>
        <w:t>voldoende opvang te realiseren</w:t>
      </w:r>
      <w:r w:rsidR="002C4254">
        <w:t>. D</w:t>
      </w:r>
      <w:r w:rsidR="00B41005">
        <w:t>e realiteit is echter dat het COA kampt met een groot tekort aan opvangplekken</w:t>
      </w:r>
      <w:r w:rsidR="00E43D58">
        <w:t xml:space="preserve">. </w:t>
      </w:r>
      <w:r w:rsidR="00514C80">
        <w:t xml:space="preserve">De oproep van de Inspectie JenV </w:t>
      </w:r>
      <w:r w:rsidRPr="00514C80" w:rsidR="00514C80">
        <w:t>aan het Rijk en lokale overheden om voldoende opvangplekken beschikbaar te stellen, zodat doorstroom mogelijk blijft en overbelasting van de opvanglocatie Ter Apel wordt voorkomen</w:t>
      </w:r>
      <w:r w:rsidR="009635EE">
        <w:t>,</w:t>
      </w:r>
      <w:r w:rsidR="00514C80">
        <w:t xml:space="preserve"> ondersteun ik dan ook van harte. </w:t>
      </w:r>
      <w:r w:rsidR="00E43D58">
        <w:t>Voor de korte termijn heb ik hiertoe een aantal maatregelen genomen om het tekort aan opvangplekken tegen te gaan</w:t>
      </w:r>
      <w:r w:rsidR="00225A50">
        <w:t xml:space="preserve">. Hierover heb ik </w:t>
      </w:r>
      <w:r w:rsidR="005F789A">
        <w:t>u</w:t>
      </w:r>
      <w:r w:rsidR="00E43D58">
        <w:t>w Kamer op 26 maart jl. geïnformeerd.</w:t>
      </w:r>
      <w:r w:rsidR="00E43D58">
        <w:rPr>
          <w:rStyle w:val="Voetnootmarkering"/>
        </w:rPr>
        <w:footnoteReference w:id="1"/>
      </w:r>
      <w:r w:rsidR="00E43D58">
        <w:t xml:space="preserve"> </w:t>
      </w:r>
      <w:r w:rsidRPr="008F7F19" w:rsidR="008F7F19">
        <w:t xml:space="preserve">Op de lange termijn zet het </w:t>
      </w:r>
      <w:r w:rsidR="008F7F19">
        <w:t>k</w:t>
      </w:r>
      <w:r w:rsidRPr="008F7F19" w:rsidR="008F7F19">
        <w:t xml:space="preserve">abinet in op een stabiel opvanglandschap. Daarom stuur ik op de uitvoering van de Spreidingswet en het bijbehorende interbestuurlijk toezicht en </w:t>
      </w:r>
      <w:r w:rsidR="00AF05A2">
        <w:t>heeft het kabinet</w:t>
      </w:r>
      <w:r w:rsidRPr="008F7F19" w:rsidR="008F7F19">
        <w:t xml:space="preserve"> stabiele financiering voor het COA gerealiseerd. </w:t>
      </w:r>
      <w:bookmarkStart w:name="_Hlk226536418" w:id="0"/>
      <w:r w:rsidRPr="008324D0" w:rsidR="008324D0">
        <w:t>Ook zet het kabinet in op een snellere doorstroom van statushouders naar alternatieve huisvesting in gemeenten.</w:t>
      </w:r>
      <w:r w:rsidR="008F7F19">
        <w:t xml:space="preserve"> Te</w:t>
      </w:r>
      <w:r w:rsidR="005F789A">
        <w:t xml:space="preserve"> </w:t>
      </w:r>
      <w:r w:rsidR="008F7F19">
        <w:t xml:space="preserve">veel statushouders </w:t>
      </w:r>
      <w:r w:rsidR="008F7F19">
        <w:lastRenderedPageBreak/>
        <w:t>verblijven in de asielopvang, de achterstand op de taakstelling is ongeveer 9.700 personen (d.d. 3 april).</w:t>
      </w:r>
      <w:r w:rsidRPr="008F7F19" w:rsidR="008F7F19">
        <w:t xml:space="preserve"> </w:t>
      </w:r>
      <w:r w:rsidR="008F7F19">
        <w:t>Het kabinet zet</w:t>
      </w:r>
      <w:r w:rsidRPr="008F7F19" w:rsidR="008F7F19">
        <w:t xml:space="preserve"> onder andere in op opschaling van verschillende vormen van alternatieve huisvesting zoals </w:t>
      </w:r>
      <w:proofErr w:type="spellStart"/>
      <w:r w:rsidRPr="008F7F19" w:rsidR="008F7F19">
        <w:t>flexwoningen</w:t>
      </w:r>
      <w:proofErr w:type="spellEnd"/>
      <w:r w:rsidRPr="008F7F19" w:rsidR="008F7F19">
        <w:t xml:space="preserve"> en woningdelen met als doel het verkorten van wachtlijsten voor alle woningzoekenden, waaronder statushouders. Daarnaast zijn er diverse financiële regelingen vanuit het Rijk beschikbaar om gemeenten te helpen in de huisvesting van statushouders (denk onder andere aan de HAR+, de SPUK doorstroomlocaties </w:t>
      </w:r>
      <w:r w:rsidRPr="00966EFC" w:rsidR="008F7F19">
        <w:t xml:space="preserve">en </w:t>
      </w:r>
      <w:bookmarkEnd w:id="0"/>
      <w:r w:rsidRPr="00966EFC" w:rsidR="00F46E41">
        <w:t xml:space="preserve">stimuleringsregeling </w:t>
      </w:r>
      <w:proofErr w:type="spellStart"/>
      <w:r w:rsidRPr="00966EFC" w:rsidR="00F46E41">
        <w:t>Flex</w:t>
      </w:r>
      <w:proofErr w:type="spellEnd"/>
      <w:r w:rsidRPr="00966EFC" w:rsidR="00F46E41">
        <w:t>- en Transformatiewoningen (SFT+)</w:t>
      </w:r>
      <w:r w:rsidR="00436CEF">
        <w:t>)</w:t>
      </w:r>
      <w:r w:rsidRPr="00966EFC" w:rsidR="00F46E41">
        <w:t>.</w:t>
      </w:r>
    </w:p>
    <w:p w:rsidR="00F46E41" w:rsidP="00FC5624" w:rsidRDefault="00F46E41" w14:paraId="35C18147" w14:textId="77777777"/>
    <w:p w:rsidR="00E43D58" w:rsidP="00FC5624" w:rsidRDefault="00F024B4" w14:paraId="72BA6A44" w14:textId="7069CE8F">
      <w:r w:rsidRPr="00F024B4">
        <w:t xml:space="preserve">De situatie in de asielopvang is momenteel echter dusdanig dat de resultaten uit 2025, waarin geen overnachtingen zijn geconstateerd in alternatieve overnachtingsruimten zoals wachtruimtes of </w:t>
      </w:r>
      <w:proofErr w:type="spellStart"/>
      <w:r w:rsidRPr="00F024B4">
        <w:t>portocabins</w:t>
      </w:r>
      <w:proofErr w:type="spellEnd"/>
      <w:r w:rsidRPr="00F024B4">
        <w:t xml:space="preserve">, in 2026 niet konden worden voortgezet. Afgelopen weken hebben op sommige dagen mensen die ’s nachts aankwamen in Ter Apel moeten overnachten op plekken die daartoe niet bestemd waren. </w:t>
      </w:r>
      <w:r w:rsidR="00514C80">
        <w:t xml:space="preserve">De </w:t>
      </w:r>
      <w:r w:rsidRPr="00024FE3" w:rsidR="00514C80">
        <w:t>aanbeveling van de Inspectie JenV om indien er onverhoopt toch meer dan de afgesproken 2.000 bewoners in de opvanglocatie in Ter Apel verblijven, de door het COA gestelde waarborgen voor veiligheid en kwaliteit van de voorzieningen in acht te nemen</w:t>
      </w:r>
      <w:r w:rsidR="002C4254">
        <w:t>,</w:t>
      </w:r>
      <w:r w:rsidRPr="00024FE3" w:rsidR="00514C80">
        <w:t xml:space="preserve"> </w:t>
      </w:r>
      <w:r w:rsidRPr="00024FE3" w:rsidR="00B03B67">
        <w:t>neem ik ter harte</w:t>
      </w:r>
      <w:r w:rsidRPr="00024FE3" w:rsidR="00514C80">
        <w:t xml:space="preserve">. De veiligheid van bewoners </w:t>
      </w:r>
      <w:r w:rsidR="005F789A">
        <w:t>en</w:t>
      </w:r>
      <w:r w:rsidRPr="00024FE3" w:rsidR="00514C80">
        <w:t xml:space="preserve"> COA-medewerkers </w:t>
      </w:r>
      <w:r w:rsidR="005F789A">
        <w:t>mag</w:t>
      </w:r>
      <w:r w:rsidRPr="00024FE3" w:rsidR="00514C80">
        <w:t xml:space="preserve"> niet in het geding komen.</w:t>
      </w:r>
    </w:p>
    <w:p w:rsidR="00E43D58" w:rsidP="00FC5624" w:rsidRDefault="00E43D58" w14:paraId="28993D24" w14:textId="77777777"/>
    <w:p w:rsidRPr="008A1499" w:rsidR="00741853" w:rsidP="00741853" w:rsidRDefault="00E43D58" w14:paraId="0F20BC0E" w14:textId="0CB79BCB">
      <w:r>
        <w:t xml:space="preserve">Het tekort aan opvangplekken in Nederland maakt </w:t>
      </w:r>
      <w:r w:rsidRPr="008A1499" w:rsidR="00FC5624">
        <w:t xml:space="preserve">het doorplaatsen van de groep bewoners die overlast veroorzaakt nog eens extra uitdagend. Vanwege de veiligheid in Ter Apel heeft het departement aan </w:t>
      </w:r>
      <w:r w:rsidR="00741853">
        <w:t>de keten</w:t>
      </w:r>
      <w:r w:rsidRPr="008A1499" w:rsidR="00FC5624">
        <w:t xml:space="preserve"> de opdracht verstrekt </w:t>
      </w:r>
      <w:r w:rsidR="005F789A">
        <w:t xml:space="preserve">om </w:t>
      </w:r>
      <w:r w:rsidRPr="008A1499" w:rsidR="00FC5624">
        <w:t>de doelgroep kansarme aanvragers, waarvan uit ervaringscijfers bekend is dat door hen relatief vaak overlast wordt veroorzaakt, zoveel mogelijk door te plaatsen</w:t>
      </w:r>
      <w:r w:rsidR="00E93CAE">
        <w:t xml:space="preserve"> en te verspreiden over het land</w:t>
      </w:r>
      <w:r w:rsidRPr="008A1499" w:rsidR="00FC5624">
        <w:t xml:space="preserve">. </w:t>
      </w:r>
      <w:r w:rsidRPr="008A1499" w:rsidR="00741853">
        <w:t xml:space="preserve">Als gevolg van de </w:t>
      </w:r>
      <w:r w:rsidR="00741853">
        <w:t xml:space="preserve">relatief hoge </w:t>
      </w:r>
      <w:r w:rsidRPr="008A1499" w:rsidR="00741853">
        <w:t xml:space="preserve">instroom </w:t>
      </w:r>
      <w:r w:rsidR="00741853">
        <w:t xml:space="preserve">van de doelgroep </w:t>
      </w:r>
      <w:r w:rsidR="00B535FD">
        <w:t xml:space="preserve">bleef </w:t>
      </w:r>
      <w:r w:rsidRPr="008A1499" w:rsidR="00741853">
        <w:t>de bezetting</w:t>
      </w:r>
      <w:r w:rsidR="00741853">
        <w:t>, ondanks toenemende doorplaatsing,</w:t>
      </w:r>
      <w:r w:rsidRPr="008A1499" w:rsidR="00741853">
        <w:t xml:space="preserve"> </w:t>
      </w:r>
      <w:r w:rsidR="00B535FD">
        <w:t xml:space="preserve">lange tijd </w:t>
      </w:r>
      <w:r w:rsidR="00741853">
        <w:t xml:space="preserve">relatief </w:t>
      </w:r>
      <w:r w:rsidRPr="008A1499" w:rsidR="00741853">
        <w:t xml:space="preserve">stabiel. </w:t>
      </w:r>
      <w:r w:rsidR="00741853">
        <w:t>De laatste weken</w:t>
      </w:r>
      <w:r w:rsidR="00B535FD">
        <w:t xml:space="preserve"> </w:t>
      </w:r>
      <w:r w:rsidR="00741853">
        <w:t xml:space="preserve">is een daling zichtbaar in de cijfers. </w:t>
      </w:r>
    </w:p>
    <w:p w:rsidRPr="008A1499" w:rsidR="00FC5624" w:rsidP="00FC5624" w:rsidRDefault="00FC5624" w14:paraId="3CB5F578" w14:textId="75DB2D64"/>
    <w:p w:rsidRPr="00E43D58" w:rsidR="00CF5BB4" w:rsidRDefault="00A607CA" w14:paraId="49AA777B" w14:textId="7E17FA2C">
      <w:pPr>
        <w:rPr>
          <w:b/>
          <w:bCs/>
        </w:rPr>
      </w:pPr>
      <w:r w:rsidRPr="00E43D58">
        <w:rPr>
          <w:b/>
          <w:bCs/>
        </w:rPr>
        <w:t>Veiligheid</w:t>
      </w:r>
    </w:p>
    <w:p w:rsidRPr="00741853" w:rsidR="00741853" w:rsidP="00741853" w:rsidRDefault="00741853" w14:paraId="2C970AA6" w14:textId="222DDD41">
      <w:pPr>
        <w:rPr>
          <w:color w:val="auto"/>
        </w:rPr>
      </w:pPr>
      <w:r w:rsidRPr="00741853">
        <w:rPr>
          <w:color w:val="auto"/>
        </w:rPr>
        <w:t>In haar brief benadrukt de Inspectie JenV het belang van doorontwikkeling van een integraal veiligheidsbeleid en het evalueren van incidenten om zo te kunnen werken aan passende maatregelen.</w:t>
      </w:r>
      <w:r>
        <w:rPr>
          <w:color w:val="auto"/>
        </w:rPr>
        <w:t xml:space="preserve"> Dit belang onderschrijf </w:t>
      </w:r>
      <w:r w:rsidRPr="00741853">
        <w:rPr>
          <w:color w:val="auto"/>
        </w:rPr>
        <w:t>ik. Alle middelgrote incidenten worden geëvalueerd</w:t>
      </w:r>
      <w:r w:rsidR="00024FE3">
        <w:rPr>
          <w:color w:val="auto"/>
        </w:rPr>
        <w:t xml:space="preserve"> door het COA</w:t>
      </w:r>
      <w:r w:rsidRPr="00741853">
        <w:rPr>
          <w:color w:val="auto"/>
        </w:rPr>
        <w:t xml:space="preserve"> en leiden tot aanpassing indien dit bijdraagt aan veiligheid en leefbaarheid. Daarnaast kent het veiligheidsplan deelprojecten die hieraan ook zeker een bijdrage (gaan) leveren </w:t>
      </w:r>
    </w:p>
    <w:p w:rsidR="00741853" w:rsidP="00741853" w:rsidRDefault="00741853" w14:paraId="516BF327" w14:textId="77777777">
      <w:pPr>
        <w:rPr>
          <w:color w:val="auto"/>
        </w:rPr>
      </w:pPr>
    </w:p>
    <w:p w:rsidRPr="005374AD" w:rsidR="005374AD" w:rsidP="005374AD" w:rsidRDefault="005374AD" w14:paraId="7CA9BB43" w14:textId="19120774">
      <w:pPr>
        <w:rPr>
          <w:color w:val="auto"/>
        </w:rPr>
      </w:pPr>
      <w:r w:rsidRPr="00C64FAC">
        <w:t xml:space="preserve">Met de nationale aanpak overlast wordt langs vier pijlers ingezet op een effectieve aanpak van </w:t>
      </w:r>
      <w:proofErr w:type="spellStart"/>
      <w:r w:rsidRPr="00C64FAC">
        <w:t>overlastgevende</w:t>
      </w:r>
      <w:proofErr w:type="spellEnd"/>
      <w:r w:rsidRPr="00C64FAC">
        <w:t xml:space="preserve"> asielzoekers</w:t>
      </w:r>
      <w:r w:rsidRPr="005374AD">
        <w:t>.</w:t>
      </w:r>
      <w:r w:rsidRPr="005374AD">
        <w:rPr>
          <w:color w:val="auto"/>
        </w:rPr>
        <w:t xml:space="preserve"> Er is een divers pakket aan maatregelen beschikbaar voor de inzet op overlast door asielzoekers in een gemeente.</w:t>
      </w:r>
      <w:r w:rsidRPr="005374AD">
        <w:t xml:space="preserve"> </w:t>
      </w:r>
      <w:r w:rsidRPr="00C64FAC">
        <w:t xml:space="preserve">In aanvulling daarop wordt nu toegewerkt naar een doorontwikkeling van een landelijke, persoonsgerichte aanpak van </w:t>
      </w:r>
      <w:proofErr w:type="spellStart"/>
      <w:r w:rsidRPr="00C64FAC">
        <w:t>overlastgevende</w:t>
      </w:r>
      <w:proofErr w:type="spellEnd"/>
      <w:r w:rsidRPr="00C64FAC">
        <w:t xml:space="preserve"> en criminele </w:t>
      </w:r>
      <w:r w:rsidR="002C4254">
        <w:t>v</w:t>
      </w:r>
      <w:r w:rsidRPr="00C64FAC">
        <w:t>reemdelingen om casusregie te voeren op de mobiele groep overlastgevers</w:t>
      </w:r>
      <w:r w:rsidRPr="005374AD">
        <w:t xml:space="preserve">. </w:t>
      </w:r>
      <w:r w:rsidRPr="005374AD">
        <w:rPr>
          <w:color w:val="auto"/>
        </w:rPr>
        <w:t xml:space="preserve">Hierbij kan vanuit een landelijke tafel een samenhangend pakket aan interventies worden ingezet zowel vreemdelingrechtelijk, zorg als handhaving. </w:t>
      </w:r>
      <w:r w:rsidRPr="00C64FAC">
        <w:t xml:space="preserve">Met een Decentrale Uitkering komt het Rijk gemeenten tegemoet in de aanpak van </w:t>
      </w:r>
      <w:proofErr w:type="spellStart"/>
      <w:r w:rsidRPr="00C64FAC">
        <w:t>overlastgevende</w:t>
      </w:r>
      <w:proofErr w:type="spellEnd"/>
      <w:r w:rsidRPr="00C64FAC">
        <w:t xml:space="preserve"> asielzoekers om lokale maatregelen te financieren, zoals extra inzet van </w:t>
      </w:r>
      <w:proofErr w:type="spellStart"/>
      <w:r w:rsidRPr="00C64FAC">
        <w:t>BOA’s</w:t>
      </w:r>
      <w:proofErr w:type="spellEnd"/>
      <w:r w:rsidRPr="00C64FAC">
        <w:t>, cameratoezicht of straattoezichtteams.</w:t>
      </w:r>
    </w:p>
    <w:p w:rsidRPr="005374AD" w:rsidR="00365A90" w:rsidRDefault="00365A90" w14:paraId="72CD740B" w14:textId="02869078">
      <w:pPr>
        <w:rPr>
          <w:b/>
          <w:bCs/>
          <w:color w:val="FF0000"/>
        </w:rPr>
      </w:pPr>
    </w:p>
    <w:p w:rsidRPr="00FB2B47" w:rsidR="00FB2B47" w:rsidP="00FB2B47" w:rsidRDefault="00FB2B47" w14:paraId="30AA4EAE" w14:textId="6C28C0AC">
      <w:pPr>
        <w:rPr>
          <w:color w:val="auto"/>
        </w:rPr>
      </w:pPr>
      <w:r w:rsidRPr="00FB2B47">
        <w:rPr>
          <w:color w:val="auto"/>
        </w:rPr>
        <w:t xml:space="preserve">De </w:t>
      </w:r>
      <w:r w:rsidR="009635EE">
        <w:rPr>
          <w:color w:val="auto"/>
        </w:rPr>
        <w:t>I</w:t>
      </w:r>
      <w:r w:rsidRPr="00FB2B47">
        <w:rPr>
          <w:color w:val="auto"/>
        </w:rPr>
        <w:t>nspectie</w:t>
      </w:r>
      <w:r w:rsidR="009635EE">
        <w:rPr>
          <w:color w:val="auto"/>
        </w:rPr>
        <w:t xml:space="preserve"> JenV</w:t>
      </w:r>
      <w:r w:rsidRPr="00FB2B47">
        <w:rPr>
          <w:color w:val="auto"/>
        </w:rPr>
        <w:t xml:space="preserve"> wijst in d</w:t>
      </w:r>
      <w:r w:rsidR="0019741E">
        <w:rPr>
          <w:color w:val="auto"/>
        </w:rPr>
        <w:t xml:space="preserve">eze brief </w:t>
      </w:r>
      <w:r w:rsidRPr="00FB2B47">
        <w:rPr>
          <w:color w:val="auto"/>
        </w:rPr>
        <w:t xml:space="preserve">en </w:t>
      </w:r>
      <w:r w:rsidR="009B4569">
        <w:rPr>
          <w:color w:val="auto"/>
        </w:rPr>
        <w:t>eerdere publicaties</w:t>
      </w:r>
      <w:r w:rsidRPr="00FB2B47">
        <w:rPr>
          <w:color w:val="auto"/>
        </w:rPr>
        <w:t xml:space="preserve"> op knelpunten waar het gaat om de zorg voor en aanpak van vreemdelingen met psychische problematiek. Op dit moment is het ministerie </w:t>
      </w:r>
      <w:r w:rsidR="005F789A">
        <w:rPr>
          <w:color w:val="auto"/>
        </w:rPr>
        <w:t xml:space="preserve">samen </w:t>
      </w:r>
      <w:r w:rsidRPr="00FB2B47">
        <w:rPr>
          <w:color w:val="auto"/>
        </w:rPr>
        <w:t xml:space="preserve">met andere betrokken </w:t>
      </w:r>
      <w:r w:rsidRPr="00FB2B47">
        <w:rPr>
          <w:color w:val="auto"/>
        </w:rPr>
        <w:lastRenderedPageBreak/>
        <w:t xml:space="preserve">ministeries verschillende oplossingsrichtingen aan het onderzoeken om deze knelpunten te mitigeren. U wordt hier op een later moment over geïnformeerd, waarbij breder </w:t>
      </w:r>
      <w:r w:rsidR="009635EE">
        <w:rPr>
          <w:color w:val="auto"/>
        </w:rPr>
        <w:t xml:space="preserve">wordt </w:t>
      </w:r>
      <w:r w:rsidRPr="00FB2B47">
        <w:rPr>
          <w:color w:val="auto"/>
        </w:rPr>
        <w:t>in</w:t>
      </w:r>
      <w:r w:rsidR="009635EE">
        <w:rPr>
          <w:color w:val="auto"/>
        </w:rPr>
        <w:t>ge</w:t>
      </w:r>
      <w:r w:rsidRPr="00FB2B47">
        <w:rPr>
          <w:color w:val="auto"/>
        </w:rPr>
        <w:t xml:space="preserve">gaan op alle verschillende aanbevelingen van de inspecties rondom deze complexe groep. Indien sprake is van </w:t>
      </w:r>
      <w:proofErr w:type="spellStart"/>
      <w:r w:rsidRPr="00FB2B47">
        <w:rPr>
          <w:color w:val="auto"/>
        </w:rPr>
        <w:t>overlastgevend</w:t>
      </w:r>
      <w:proofErr w:type="spellEnd"/>
      <w:r w:rsidRPr="00FB2B47">
        <w:rPr>
          <w:color w:val="auto"/>
        </w:rPr>
        <w:t xml:space="preserve"> en crimineel gedrag door deze groep </w:t>
      </w:r>
      <w:r w:rsidR="005F789A">
        <w:rPr>
          <w:color w:val="auto"/>
        </w:rPr>
        <w:t>in</w:t>
      </w:r>
      <w:r w:rsidRPr="00FB2B47">
        <w:rPr>
          <w:color w:val="auto"/>
        </w:rPr>
        <w:t xml:space="preserve"> gemeenten, kunnen ook interventies worden uitgezet via de landelijke, persoonsgerichte aanpak. </w:t>
      </w:r>
    </w:p>
    <w:p w:rsidR="00FB2B47" w:rsidRDefault="00FB2B47" w14:paraId="1999B770" w14:textId="77777777">
      <w:pPr>
        <w:rPr>
          <w:b/>
          <w:bCs/>
          <w:color w:val="FF0000"/>
        </w:rPr>
      </w:pPr>
    </w:p>
    <w:p w:rsidR="00A607CA" w:rsidRDefault="00A607CA" w14:paraId="6E6BA1DA" w14:textId="70B8014E">
      <w:pPr>
        <w:rPr>
          <w:b/>
          <w:bCs/>
        </w:rPr>
      </w:pPr>
      <w:r w:rsidRPr="00A607CA">
        <w:rPr>
          <w:b/>
          <w:bCs/>
        </w:rPr>
        <w:t>Procesbeschikbaarheidslocatie (</w:t>
      </w:r>
      <w:proofErr w:type="spellStart"/>
      <w:r w:rsidR="008A1499">
        <w:rPr>
          <w:b/>
          <w:bCs/>
        </w:rPr>
        <w:t>pbl</w:t>
      </w:r>
      <w:proofErr w:type="spellEnd"/>
      <w:r w:rsidRPr="00A607CA">
        <w:rPr>
          <w:b/>
          <w:bCs/>
        </w:rPr>
        <w:t>)</w:t>
      </w:r>
    </w:p>
    <w:p w:rsidR="005270B1" w:rsidP="008A1499" w:rsidRDefault="00722E8F" w14:paraId="07164DF8" w14:textId="40A52AA8">
      <w:r>
        <w:t>Ook gaat de Inspectie</w:t>
      </w:r>
      <w:r w:rsidR="009635EE">
        <w:t xml:space="preserve"> JenV</w:t>
      </w:r>
      <w:r>
        <w:t xml:space="preserve"> in haar brief in op de </w:t>
      </w:r>
      <w:proofErr w:type="spellStart"/>
      <w:r>
        <w:t>pbl</w:t>
      </w:r>
      <w:proofErr w:type="spellEnd"/>
      <w:r>
        <w:t xml:space="preserve">. </w:t>
      </w:r>
      <w:r w:rsidRPr="008A1499" w:rsidR="008A1499">
        <w:t>De opdrachtbrief</w:t>
      </w:r>
      <w:r w:rsidR="005F789A">
        <w:t>,</w:t>
      </w:r>
      <w:r w:rsidRPr="008A1499" w:rsidR="008A1499">
        <w:t xml:space="preserve"> waarin de keten wordt verzocht de </w:t>
      </w:r>
      <w:proofErr w:type="spellStart"/>
      <w:r w:rsidR="005F789A">
        <w:t>pbl</w:t>
      </w:r>
      <w:proofErr w:type="spellEnd"/>
      <w:r w:rsidRPr="008A1499" w:rsidR="008A1499">
        <w:t xml:space="preserve"> toe te voegen aan de pilot </w:t>
      </w:r>
      <w:proofErr w:type="spellStart"/>
      <w:r w:rsidR="005F789A">
        <w:t>pba</w:t>
      </w:r>
      <w:proofErr w:type="spellEnd"/>
      <w:r w:rsidR="005F789A">
        <w:t>,</w:t>
      </w:r>
      <w:r w:rsidRPr="008A1499" w:rsidR="008A1499">
        <w:t xml:space="preserve"> is op 11 juni 2025 verzonden. </w:t>
      </w:r>
      <w:r w:rsidRPr="009C5136" w:rsidR="008A1499">
        <w:rPr>
          <w:color w:val="auto"/>
        </w:rPr>
        <w:t xml:space="preserve">De </w:t>
      </w:r>
      <w:proofErr w:type="spellStart"/>
      <w:r w:rsidRPr="009C5136" w:rsidR="008A1499">
        <w:rPr>
          <w:color w:val="auto"/>
        </w:rPr>
        <w:t>ketenbrede</w:t>
      </w:r>
      <w:proofErr w:type="spellEnd"/>
      <w:r w:rsidRPr="009C5136" w:rsidR="008A1499">
        <w:rPr>
          <w:color w:val="auto"/>
        </w:rPr>
        <w:t xml:space="preserve"> werkinstructie is enkele </w:t>
      </w:r>
      <w:r w:rsidRPr="009C5136" w:rsidR="009C5136">
        <w:rPr>
          <w:color w:val="auto"/>
        </w:rPr>
        <w:t>weken</w:t>
      </w:r>
      <w:r w:rsidRPr="009C5136" w:rsidR="008A1499">
        <w:rPr>
          <w:color w:val="auto"/>
        </w:rPr>
        <w:t xml:space="preserve"> later op 15 ju</w:t>
      </w:r>
      <w:r w:rsidRPr="009C5136" w:rsidR="009C5136">
        <w:rPr>
          <w:color w:val="auto"/>
        </w:rPr>
        <w:t>l</w:t>
      </w:r>
      <w:r w:rsidRPr="009C5136" w:rsidR="008A1499">
        <w:rPr>
          <w:color w:val="auto"/>
        </w:rPr>
        <w:t xml:space="preserve">i openbaar gemaakt. Vanzelfsprekend is aan deze publicatie een uitgebreid afstemmingsproces met de </w:t>
      </w:r>
      <w:r w:rsidRPr="008A1499" w:rsidR="008A1499">
        <w:t xml:space="preserve">ketenpartners </w:t>
      </w:r>
      <w:r w:rsidRPr="008A1499" w:rsidR="008C5A44">
        <w:t>voorafgegaan</w:t>
      </w:r>
      <w:r w:rsidRPr="008A1499" w:rsidR="008A1499">
        <w:t xml:space="preserve">. Hierbij is door de keten aangegeven op welke manier en binnen welke kaders de </w:t>
      </w:r>
      <w:r w:rsidR="009C5136">
        <w:t>p</w:t>
      </w:r>
      <w:r w:rsidRPr="008A1499" w:rsidR="008A1499">
        <w:t xml:space="preserve">rocesbeschikbaarheidslocatie zou kunnen worden opgestart. </w:t>
      </w:r>
      <w:r w:rsidRPr="005270B1" w:rsidR="005270B1">
        <w:t>Ik ben en blijf in gesprek met de uitvoeringorganisaties om hun signalen en ervaringen een plek te geven in de verdere doorontwikkeling.</w:t>
      </w:r>
    </w:p>
    <w:p w:rsidRPr="008A1499" w:rsidR="008A1499" w:rsidP="008A1499" w:rsidRDefault="008A1499" w14:paraId="61DA9109" w14:textId="4A42FDFA">
      <w:r w:rsidRPr="008A1499">
        <w:br/>
        <w:t xml:space="preserve">Verder </w:t>
      </w:r>
      <w:r w:rsidR="00FC5624">
        <w:t xml:space="preserve">schrijft de Inspectie JenV </w:t>
      </w:r>
      <w:r w:rsidRPr="008A1499">
        <w:t xml:space="preserve">dat </w:t>
      </w:r>
      <w:r w:rsidR="005F789A">
        <w:t xml:space="preserve">er </w:t>
      </w:r>
      <w:r w:rsidRPr="008A1499">
        <w:t>geen heldere afspraken zijn gemaakt ten aanzien van de handhaving van het gebieds</w:t>
      </w:r>
      <w:r w:rsidR="007B19BB">
        <w:t>ge</w:t>
      </w:r>
      <w:r w:rsidRPr="008A1499">
        <w:t xml:space="preserve">bod indien opgelegd in het kader van de </w:t>
      </w:r>
      <w:proofErr w:type="spellStart"/>
      <w:r w:rsidRPr="008A1499">
        <w:t>pbl</w:t>
      </w:r>
      <w:proofErr w:type="spellEnd"/>
      <w:r w:rsidRPr="008A1499">
        <w:t>. Bij brief is de Tweede Kamer op 30 mei 2025 geïnformeerd over de wijze waarop de handhaving vorm wordt gegeven.</w:t>
      </w:r>
      <w:r w:rsidR="00FC5624">
        <w:rPr>
          <w:rStyle w:val="Voetnootmarkering"/>
        </w:rPr>
        <w:footnoteReference w:id="2"/>
      </w:r>
      <w:r w:rsidRPr="008A1499">
        <w:t xml:space="preserve"> Daarnaast is dit onderwerp besproken met de lokale driehoek van </w:t>
      </w:r>
      <w:proofErr w:type="spellStart"/>
      <w:r w:rsidRPr="008A1499">
        <w:t>Westerwolde</w:t>
      </w:r>
      <w:proofErr w:type="spellEnd"/>
      <w:r w:rsidRPr="008A1499">
        <w:t xml:space="preserve"> waarna operationele afspraken zijn gemaakt.</w:t>
      </w:r>
      <w:r w:rsidR="00741853">
        <w:t xml:space="preserve"> </w:t>
      </w:r>
      <w:r w:rsidRPr="008A1499" w:rsidR="00741853">
        <w:br/>
      </w:r>
      <w:r w:rsidRPr="008A1499">
        <w:br/>
        <w:t>De conclusie dat de pilot weinig toegevoegde waarde heeft</w:t>
      </w:r>
      <w:r w:rsidR="005F789A">
        <w:t>,</w:t>
      </w:r>
      <w:r w:rsidRPr="008A1499">
        <w:t xml:space="preserve"> vind ik voorbarig. De effectiviteit van de aanpak wordt op dit moment onderzocht middels een evaluatie. Daaropvolgend zal worden bezien of aanpassingen noodzakelijk zijn. </w:t>
      </w:r>
      <w:r w:rsidR="00FC5624">
        <w:t>De</w:t>
      </w:r>
      <w:r w:rsidRPr="008A1499">
        <w:t xml:space="preserve"> aanbeveling ten aanzien van de wijze van opdrachtverstrekking vanuit het departement neem ik mee in de evaluatie van de </w:t>
      </w:r>
      <w:proofErr w:type="spellStart"/>
      <w:r w:rsidRPr="008A1499">
        <w:t>pb</w:t>
      </w:r>
      <w:r w:rsidR="00FB2B47">
        <w:t>a</w:t>
      </w:r>
      <w:proofErr w:type="spellEnd"/>
      <w:r w:rsidRPr="008A1499">
        <w:t xml:space="preserve"> in brede zin. </w:t>
      </w:r>
    </w:p>
    <w:p w:rsidR="00CF5BB4" w:rsidRDefault="00CF5BB4" w14:paraId="2BB6840C" w14:textId="77777777"/>
    <w:p w:rsidR="00CF5BB4" w:rsidRDefault="00CF5BB4" w14:paraId="13F49C73" w14:textId="77777777"/>
    <w:p w:rsidRPr="00514C80" w:rsidR="008A1499" w:rsidP="00514C80" w:rsidRDefault="00730E05" w14:paraId="6FE79F84" w14:textId="75593EBC">
      <w:pPr>
        <w:autoSpaceDN/>
        <w:spacing w:after="160" w:line="276" w:lineRule="auto"/>
        <w:textAlignment w:val="auto"/>
        <w:rPr>
          <w:rFonts w:eastAsia="Calibri" w:cs="Times New Roman"/>
          <w:color w:val="auto"/>
          <w:kern w:val="2"/>
          <w:lang w:eastAsia="en-US"/>
          <w14:ligatures w14:val="standardContextual"/>
        </w:rPr>
      </w:pPr>
      <w:r w:rsidRPr="00994A01">
        <w:rPr>
          <w:rFonts w:eastAsia="Calibri" w:cs="Times New Roman"/>
          <w:color w:val="auto"/>
          <w:kern w:val="2"/>
          <w:lang w:eastAsia="en-US"/>
          <w14:ligatures w14:val="standardContextual"/>
        </w:rPr>
        <w:t xml:space="preserve">De </w:t>
      </w:r>
      <w:r>
        <w:rPr>
          <w:rFonts w:eastAsia="Calibri" w:cs="Times New Roman"/>
          <w:color w:val="auto"/>
          <w:kern w:val="2"/>
          <w:lang w:eastAsia="en-US"/>
          <w14:ligatures w14:val="standardContextual"/>
        </w:rPr>
        <w:t>M</w:t>
      </w:r>
      <w:r w:rsidRPr="00994A01">
        <w:rPr>
          <w:rFonts w:eastAsia="Calibri" w:cs="Times New Roman"/>
          <w:color w:val="auto"/>
          <w:kern w:val="2"/>
          <w:lang w:eastAsia="en-US"/>
          <w14:ligatures w14:val="standardContextual"/>
        </w:rPr>
        <w:t>inister van Asiel en Migratie,</w:t>
      </w:r>
      <w:r w:rsidRPr="00994A01">
        <w:rPr>
          <w:rFonts w:eastAsia="Calibri" w:cs="Times New Roman"/>
          <w:color w:val="auto"/>
          <w:kern w:val="2"/>
          <w:lang w:eastAsia="en-US"/>
          <w14:ligatures w14:val="standardContextual"/>
        </w:rPr>
        <w:br/>
      </w:r>
      <w:r w:rsidRPr="00994A01">
        <w:rPr>
          <w:rFonts w:eastAsia="Calibri" w:cs="Times New Roman"/>
          <w:color w:val="auto"/>
          <w:kern w:val="2"/>
          <w:lang w:eastAsia="en-US"/>
          <w14:ligatures w14:val="standardContextual"/>
        </w:rPr>
        <w:br/>
      </w:r>
      <w:r w:rsidRPr="00994A01">
        <w:rPr>
          <w:rFonts w:eastAsia="Calibri" w:cs="Times New Roman"/>
          <w:color w:val="auto"/>
          <w:kern w:val="2"/>
          <w:lang w:eastAsia="en-US"/>
          <w14:ligatures w14:val="standardContextual"/>
        </w:rPr>
        <w:br/>
      </w:r>
      <w:r w:rsidRPr="00994A01">
        <w:rPr>
          <w:rFonts w:eastAsia="Calibri" w:cs="Times New Roman"/>
          <w:color w:val="auto"/>
          <w:kern w:val="2"/>
          <w:lang w:eastAsia="en-US"/>
          <w14:ligatures w14:val="standardContextual"/>
        </w:rPr>
        <w:br/>
      </w:r>
      <w:r w:rsidRPr="00994A01">
        <w:rPr>
          <w:rFonts w:eastAsia="Calibri" w:cs="Times New Roman"/>
          <w:color w:val="auto"/>
          <w:kern w:val="2"/>
          <w:lang w:eastAsia="en-US"/>
          <w14:ligatures w14:val="standardContextual"/>
        </w:rPr>
        <w:br/>
        <w:t>Bart van den Brink</w:t>
      </w:r>
    </w:p>
    <w:sectPr w:rsidRPr="00514C80" w:rsidR="008A149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D3CA" w14:textId="77777777" w:rsidR="00023B3B" w:rsidRDefault="00023B3B">
      <w:pPr>
        <w:spacing w:line="240" w:lineRule="auto"/>
      </w:pPr>
      <w:r>
        <w:separator/>
      </w:r>
    </w:p>
  </w:endnote>
  <w:endnote w:type="continuationSeparator" w:id="0">
    <w:p w14:paraId="65218D92" w14:textId="77777777" w:rsidR="00023B3B" w:rsidRDefault="00023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18BD" w14:textId="77777777" w:rsidR="00CF5BB4" w:rsidRDefault="00CF5BB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0A2C" w14:textId="77777777" w:rsidR="00023B3B" w:rsidRDefault="00023B3B">
      <w:pPr>
        <w:spacing w:line="240" w:lineRule="auto"/>
      </w:pPr>
      <w:r>
        <w:separator/>
      </w:r>
    </w:p>
  </w:footnote>
  <w:footnote w:type="continuationSeparator" w:id="0">
    <w:p w14:paraId="468B0DF1" w14:textId="77777777" w:rsidR="00023B3B" w:rsidRDefault="00023B3B">
      <w:pPr>
        <w:spacing w:line="240" w:lineRule="auto"/>
      </w:pPr>
      <w:r>
        <w:continuationSeparator/>
      </w:r>
    </w:p>
  </w:footnote>
  <w:footnote w:id="1">
    <w:p w14:paraId="793A1C1D" w14:textId="2C2FFA10" w:rsidR="00E43D58" w:rsidRPr="00FC5624" w:rsidRDefault="00E43D58" w:rsidP="00E43D58">
      <w:pPr>
        <w:pStyle w:val="Voetnoottekst"/>
        <w:rPr>
          <w:lang w:val="en-US"/>
        </w:rPr>
      </w:pPr>
      <w:r>
        <w:rPr>
          <w:rStyle w:val="Voetnootmarkering"/>
        </w:rPr>
        <w:footnoteRef/>
      </w:r>
      <w:r>
        <w:t xml:space="preserve"> </w:t>
      </w:r>
      <w:proofErr w:type="spellStart"/>
      <w:r w:rsidR="00B93E1E" w:rsidRPr="00B93E1E">
        <w:rPr>
          <w:sz w:val="14"/>
          <w:szCs w:val="14"/>
          <w:lang w:val="en-US"/>
        </w:rPr>
        <w:t>Kamerstukken</w:t>
      </w:r>
      <w:proofErr w:type="spellEnd"/>
      <w:r w:rsidR="00B93E1E" w:rsidRPr="00B93E1E">
        <w:rPr>
          <w:sz w:val="14"/>
          <w:szCs w:val="14"/>
          <w:lang w:val="en-US"/>
        </w:rPr>
        <w:t xml:space="preserve"> </w:t>
      </w:r>
      <w:r w:rsidR="00B93E1E">
        <w:rPr>
          <w:sz w:val="14"/>
          <w:szCs w:val="14"/>
          <w:lang w:val="en-US"/>
        </w:rPr>
        <w:t xml:space="preserve">II, 2026/3, </w:t>
      </w:r>
      <w:r w:rsidR="00B93E1E" w:rsidRPr="00B93E1E">
        <w:rPr>
          <w:sz w:val="14"/>
          <w:szCs w:val="14"/>
          <w:lang w:val="en-US"/>
        </w:rPr>
        <w:t>19637-3523</w:t>
      </w:r>
    </w:p>
  </w:footnote>
  <w:footnote w:id="2">
    <w:p w14:paraId="38AC9F4B" w14:textId="176D3FC6" w:rsidR="00FC5624" w:rsidRPr="00FC5624" w:rsidRDefault="00FC5624">
      <w:pPr>
        <w:pStyle w:val="Voetnoottekst"/>
        <w:rPr>
          <w:lang w:val="en-US"/>
        </w:rPr>
      </w:pPr>
      <w:r>
        <w:rPr>
          <w:rStyle w:val="Voetnootmarkering"/>
        </w:rPr>
        <w:footnoteRef/>
      </w:r>
      <w:r>
        <w:t xml:space="preserve"> </w:t>
      </w:r>
      <w:proofErr w:type="spellStart"/>
      <w:r w:rsidR="00B93E1E">
        <w:rPr>
          <w:sz w:val="14"/>
          <w:szCs w:val="14"/>
          <w:lang w:val="en-US"/>
        </w:rPr>
        <w:t>Ka</w:t>
      </w:r>
      <w:r w:rsidR="00B93E1E" w:rsidRPr="00B93E1E">
        <w:rPr>
          <w:sz w:val="14"/>
          <w:szCs w:val="14"/>
          <w:lang w:val="en-US"/>
        </w:rPr>
        <w:t>merstukken</w:t>
      </w:r>
      <w:proofErr w:type="spellEnd"/>
      <w:r w:rsidR="00B93E1E" w:rsidRPr="00B93E1E">
        <w:rPr>
          <w:sz w:val="14"/>
          <w:szCs w:val="14"/>
          <w:lang w:val="en-US"/>
        </w:rPr>
        <w:t xml:space="preserve"> II, 2025/5, 19637-3431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C938" w14:textId="77777777" w:rsidR="00CF5BB4" w:rsidRDefault="0056411C">
    <w:r>
      <w:rPr>
        <w:noProof/>
      </w:rPr>
      <mc:AlternateContent>
        <mc:Choice Requires="wps">
          <w:drawing>
            <wp:anchor distT="0" distB="0" distL="0" distR="0" simplePos="0" relativeHeight="251652608" behindDoc="0" locked="1" layoutInCell="1" allowOverlap="1" wp14:anchorId="2C0CF2CE" wp14:editId="07CB9AA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22D951" w14:textId="77777777" w:rsidR="00CF5BB4" w:rsidRDefault="0056411C">
                          <w:pPr>
                            <w:pStyle w:val="Referentiegegevensbold"/>
                          </w:pPr>
                          <w:r>
                            <w:t>Directoraat-Generaal Migratie</w:t>
                          </w:r>
                        </w:p>
                        <w:p w14:paraId="0BF7B293" w14:textId="77777777" w:rsidR="00CF5BB4" w:rsidRDefault="0056411C">
                          <w:pPr>
                            <w:pStyle w:val="Referentiegegevens"/>
                          </w:pPr>
                          <w:r>
                            <w:t>Directie Regie Migratieketen</w:t>
                          </w:r>
                        </w:p>
                        <w:p w14:paraId="388A6315" w14:textId="77777777" w:rsidR="00CF5BB4" w:rsidRDefault="0056411C">
                          <w:pPr>
                            <w:pStyle w:val="Referentiegegevens"/>
                          </w:pPr>
                          <w:r>
                            <w:t>Ketensturing</w:t>
                          </w:r>
                        </w:p>
                        <w:p w14:paraId="3007E084" w14:textId="77777777" w:rsidR="00CF5BB4" w:rsidRDefault="00CF5BB4">
                          <w:pPr>
                            <w:pStyle w:val="WitregelW2"/>
                          </w:pPr>
                        </w:p>
                        <w:p w14:paraId="393CF129" w14:textId="77777777" w:rsidR="00CF5BB4" w:rsidRDefault="0056411C">
                          <w:pPr>
                            <w:pStyle w:val="Referentiegegevensbold"/>
                          </w:pPr>
                          <w:r>
                            <w:t>Datum</w:t>
                          </w:r>
                        </w:p>
                        <w:p w14:paraId="71FC7720" w14:textId="69AB210C" w:rsidR="00CF5BB4" w:rsidRDefault="007B0CEB">
                          <w:pPr>
                            <w:pStyle w:val="Referentiegegevens"/>
                          </w:pPr>
                          <w:sdt>
                            <w:sdtPr>
                              <w:id w:val="-576977608"/>
                              <w:date w:fullDate="2026-04-15T00:00:00Z">
                                <w:dateFormat w:val="d MMMM yyyy"/>
                                <w:lid w:val="nl"/>
                                <w:storeMappedDataAs w:val="dateTime"/>
                                <w:calendar w:val="gregorian"/>
                              </w:date>
                            </w:sdtPr>
                            <w:sdtEndPr/>
                            <w:sdtContent>
                              <w:r>
                                <w:rPr>
                                  <w:lang w:val="nl"/>
                                </w:rPr>
                                <w:t>15 april 2026</w:t>
                              </w:r>
                            </w:sdtContent>
                          </w:sdt>
                        </w:p>
                        <w:p w14:paraId="7D730088" w14:textId="77777777" w:rsidR="00CF5BB4" w:rsidRDefault="00CF5BB4">
                          <w:pPr>
                            <w:pStyle w:val="WitregelW1"/>
                          </w:pPr>
                        </w:p>
                        <w:p w14:paraId="3FE84FA0" w14:textId="77777777" w:rsidR="00CF5BB4" w:rsidRDefault="0056411C">
                          <w:pPr>
                            <w:pStyle w:val="Referentiegegevensbold"/>
                          </w:pPr>
                          <w:r>
                            <w:t>Onze referentie</w:t>
                          </w:r>
                        </w:p>
                        <w:p w14:paraId="4E438E75" w14:textId="77777777" w:rsidR="00CF5BB4" w:rsidRDefault="0056411C">
                          <w:pPr>
                            <w:pStyle w:val="Referentiegegevens"/>
                          </w:pPr>
                          <w:r>
                            <w:t>7481765</w:t>
                          </w:r>
                        </w:p>
                      </w:txbxContent>
                    </wps:txbx>
                    <wps:bodyPr vert="horz" wrap="square" lIns="0" tIns="0" rIns="0" bIns="0" anchor="t" anchorCtr="0"/>
                  </wps:wsp>
                </a:graphicData>
              </a:graphic>
            </wp:anchor>
          </w:drawing>
        </mc:Choice>
        <mc:Fallback>
          <w:pict>
            <v:shapetype w14:anchorId="2C0CF2C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822D951" w14:textId="77777777" w:rsidR="00CF5BB4" w:rsidRDefault="0056411C">
                    <w:pPr>
                      <w:pStyle w:val="Referentiegegevensbold"/>
                    </w:pPr>
                    <w:r>
                      <w:t>Directoraat-Generaal Migratie</w:t>
                    </w:r>
                  </w:p>
                  <w:p w14:paraId="0BF7B293" w14:textId="77777777" w:rsidR="00CF5BB4" w:rsidRDefault="0056411C">
                    <w:pPr>
                      <w:pStyle w:val="Referentiegegevens"/>
                    </w:pPr>
                    <w:r>
                      <w:t>Directie Regie Migratieketen</w:t>
                    </w:r>
                  </w:p>
                  <w:p w14:paraId="388A6315" w14:textId="77777777" w:rsidR="00CF5BB4" w:rsidRDefault="0056411C">
                    <w:pPr>
                      <w:pStyle w:val="Referentiegegevens"/>
                    </w:pPr>
                    <w:r>
                      <w:t>Ketensturing</w:t>
                    </w:r>
                  </w:p>
                  <w:p w14:paraId="3007E084" w14:textId="77777777" w:rsidR="00CF5BB4" w:rsidRDefault="00CF5BB4">
                    <w:pPr>
                      <w:pStyle w:val="WitregelW2"/>
                    </w:pPr>
                  </w:p>
                  <w:p w14:paraId="393CF129" w14:textId="77777777" w:rsidR="00CF5BB4" w:rsidRDefault="0056411C">
                    <w:pPr>
                      <w:pStyle w:val="Referentiegegevensbold"/>
                    </w:pPr>
                    <w:r>
                      <w:t>Datum</w:t>
                    </w:r>
                  </w:p>
                  <w:p w14:paraId="71FC7720" w14:textId="69AB210C" w:rsidR="00CF5BB4" w:rsidRDefault="007B0CEB">
                    <w:pPr>
                      <w:pStyle w:val="Referentiegegevens"/>
                    </w:pPr>
                    <w:sdt>
                      <w:sdtPr>
                        <w:id w:val="-576977608"/>
                        <w:date w:fullDate="2026-04-15T00:00:00Z">
                          <w:dateFormat w:val="d MMMM yyyy"/>
                          <w:lid w:val="nl"/>
                          <w:storeMappedDataAs w:val="dateTime"/>
                          <w:calendar w:val="gregorian"/>
                        </w:date>
                      </w:sdtPr>
                      <w:sdtEndPr/>
                      <w:sdtContent>
                        <w:r>
                          <w:rPr>
                            <w:lang w:val="nl"/>
                          </w:rPr>
                          <w:t>15 april 2026</w:t>
                        </w:r>
                      </w:sdtContent>
                    </w:sdt>
                  </w:p>
                  <w:p w14:paraId="7D730088" w14:textId="77777777" w:rsidR="00CF5BB4" w:rsidRDefault="00CF5BB4">
                    <w:pPr>
                      <w:pStyle w:val="WitregelW1"/>
                    </w:pPr>
                  </w:p>
                  <w:p w14:paraId="3FE84FA0" w14:textId="77777777" w:rsidR="00CF5BB4" w:rsidRDefault="0056411C">
                    <w:pPr>
                      <w:pStyle w:val="Referentiegegevensbold"/>
                    </w:pPr>
                    <w:r>
                      <w:t>Onze referentie</w:t>
                    </w:r>
                  </w:p>
                  <w:p w14:paraId="4E438E75" w14:textId="77777777" w:rsidR="00CF5BB4" w:rsidRDefault="0056411C">
                    <w:pPr>
                      <w:pStyle w:val="Referentiegegevens"/>
                    </w:pPr>
                    <w:r>
                      <w:t>7481765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8F9065C" wp14:editId="7475BD6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483CE0" w14:textId="77777777" w:rsidR="00C443A1" w:rsidRDefault="00C443A1"/>
                      </w:txbxContent>
                    </wps:txbx>
                    <wps:bodyPr vert="horz" wrap="square" lIns="0" tIns="0" rIns="0" bIns="0" anchor="t" anchorCtr="0"/>
                  </wps:wsp>
                </a:graphicData>
              </a:graphic>
            </wp:anchor>
          </w:drawing>
        </mc:Choice>
        <mc:Fallback>
          <w:pict>
            <v:shape w14:anchorId="28F9065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C483CE0" w14:textId="77777777" w:rsidR="00C443A1" w:rsidRDefault="00C443A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3F00B48" wp14:editId="0AEDB48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F70040" w14:textId="5CBA4FBD" w:rsidR="00CF5BB4" w:rsidRDefault="0056411C">
                          <w:pPr>
                            <w:pStyle w:val="Referentiegegevens"/>
                          </w:pPr>
                          <w:r>
                            <w:t xml:space="preserve">Pagina </w:t>
                          </w:r>
                          <w:r>
                            <w:fldChar w:fldCharType="begin"/>
                          </w:r>
                          <w:r>
                            <w:instrText>PAGE</w:instrText>
                          </w:r>
                          <w:r>
                            <w:fldChar w:fldCharType="separate"/>
                          </w:r>
                          <w:r w:rsidR="00E44615">
                            <w:rPr>
                              <w:noProof/>
                            </w:rPr>
                            <w:t>2</w:t>
                          </w:r>
                          <w:r>
                            <w:fldChar w:fldCharType="end"/>
                          </w:r>
                          <w:r>
                            <w:t xml:space="preserve"> van </w:t>
                          </w:r>
                          <w:r>
                            <w:fldChar w:fldCharType="begin"/>
                          </w:r>
                          <w:r>
                            <w:instrText>NUMPAGES</w:instrText>
                          </w:r>
                          <w:r>
                            <w:fldChar w:fldCharType="separate"/>
                          </w:r>
                          <w:r w:rsidR="00597D35">
                            <w:rPr>
                              <w:noProof/>
                            </w:rPr>
                            <w:t>1</w:t>
                          </w:r>
                          <w:r>
                            <w:fldChar w:fldCharType="end"/>
                          </w:r>
                        </w:p>
                      </w:txbxContent>
                    </wps:txbx>
                    <wps:bodyPr vert="horz" wrap="square" lIns="0" tIns="0" rIns="0" bIns="0" anchor="t" anchorCtr="0"/>
                  </wps:wsp>
                </a:graphicData>
              </a:graphic>
            </wp:anchor>
          </w:drawing>
        </mc:Choice>
        <mc:Fallback>
          <w:pict>
            <v:shape w14:anchorId="63F00B4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9F70040" w14:textId="5CBA4FBD" w:rsidR="00CF5BB4" w:rsidRDefault="0056411C">
                    <w:pPr>
                      <w:pStyle w:val="Referentiegegevens"/>
                    </w:pPr>
                    <w:r>
                      <w:t xml:space="preserve">Pagina </w:t>
                    </w:r>
                    <w:r>
                      <w:fldChar w:fldCharType="begin"/>
                    </w:r>
                    <w:r>
                      <w:instrText>PAGE</w:instrText>
                    </w:r>
                    <w:r>
                      <w:fldChar w:fldCharType="separate"/>
                    </w:r>
                    <w:r w:rsidR="00E44615">
                      <w:rPr>
                        <w:noProof/>
                      </w:rPr>
                      <w:t>2</w:t>
                    </w:r>
                    <w:r>
                      <w:fldChar w:fldCharType="end"/>
                    </w:r>
                    <w:r>
                      <w:t xml:space="preserve"> van </w:t>
                    </w:r>
                    <w:r>
                      <w:fldChar w:fldCharType="begin"/>
                    </w:r>
                    <w:r>
                      <w:instrText>NUMPAGES</w:instrText>
                    </w:r>
                    <w:r>
                      <w:fldChar w:fldCharType="separate"/>
                    </w:r>
                    <w:r w:rsidR="00597D3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A986" w14:textId="77777777" w:rsidR="00CF5BB4" w:rsidRDefault="0056411C">
    <w:pPr>
      <w:spacing w:after="6377" w:line="14" w:lineRule="exact"/>
    </w:pPr>
    <w:r>
      <w:rPr>
        <w:noProof/>
      </w:rPr>
      <mc:AlternateContent>
        <mc:Choice Requires="wps">
          <w:drawing>
            <wp:anchor distT="0" distB="0" distL="0" distR="0" simplePos="0" relativeHeight="251655680" behindDoc="0" locked="1" layoutInCell="1" allowOverlap="1" wp14:anchorId="5C33840B" wp14:editId="3F5D948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0166DC3" w14:textId="77777777" w:rsidR="007B0CEB" w:rsidRDefault="0056411C">
                          <w:r>
                            <w:t>Aan de Voorzitter van de Tweede Kamer</w:t>
                          </w:r>
                        </w:p>
                        <w:p w14:paraId="3481F5D0" w14:textId="07AE9853" w:rsidR="00CF5BB4" w:rsidRDefault="0056411C">
                          <w:r>
                            <w:t>der Staten-Generaal</w:t>
                          </w:r>
                        </w:p>
                        <w:p w14:paraId="78C004FA" w14:textId="77777777" w:rsidR="00CF5BB4" w:rsidRDefault="0056411C">
                          <w:r>
                            <w:t xml:space="preserve">Postbus 20018 </w:t>
                          </w:r>
                        </w:p>
                        <w:p w14:paraId="798BD18B" w14:textId="77777777" w:rsidR="00CF5BB4" w:rsidRDefault="0056411C">
                          <w:r>
                            <w:t>2500 EA  DEN HAAG</w:t>
                          </w:r>
                        </w:p>
                      </w:txbxContent>
                    </wps:txbx>
                    <wps:bodyPr vert="horz" wrap="square" lIns="0" tIns="0" rIns="0" bIns="0" anchor="t" anchorCtr="0"/>
                  </wps:wsp>
                </a:graphicData>
              </a:graphic>
            </wp:anchor>
          </w:drawing>
        </mc:Choice>
        <mc:Fallback>
          <w:pict>
            <v:shapetype w14:anchorId="5C33840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0166DC3" w14:textId="77777777" w:rsidR="007B0CEB" w:rsidRDefault="0056411C">
                    <w:r>
                      <w:t>Aan de Voorzitter van de Tweede Kamer</w:t>
                    </w:r>
                  </w:p>
                  <w:p w14:paraId="3481F5D0" w14:textId="07AE9853" w:rsidR="00CF5BB4" w:rsidRDefault="0056411C">
                    <w:r>
                      <w:t>der Staten-Generaal</w:t>
                    </w:r>
                  </w:p>
                  <w:p w14:paraId="78C004FA" w14:textId="77777777" w:rsidR="00CF5BB4" w:rsidRDefault="0056411C">
                    <w:r>
                      <w:t xml:space="preserve">Postbus 20018 </w:t>
                    </w:r>
                  </w:p>
                  <w:p w14:paraId="798BD18B" w14:textId="77777777" w:rsidR="00CF5BB4" w:rsidRDefault="0056411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416F208" wp14:editId="7F4FD63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F5BB4" w14:paraId="3ED3493B" w14:textId="77777777">
                            <w:trPr>
                              <w:trHeight w:val="240"/>
                            </w:trPr>
                            <w:tc>
                              <w:tcPr>
                                <w:tcW w:w="1140" w:type="dxa"/>
                              </w:tcPr>
                              <w:p w14:paraId="132BBFB5" w14:textId="77777777" w:rsidR="00CF5BB4" w:rsidRDefault="0056411C">
                                <w:r>
                                  <w:t>Datum</w:t>
                                </w:r>
                              </w:p>
                            </w:tc>
                            <w:tc>
                              <w:tcPr>
                                <w:tcW w:w="5918" w:type="dxa"/>
                              </w:tcPr>
                              <w:p w14:paraId="1066478B" w14:textId="79B774D2" w:rsidR="00CF5BB4" w:rsidRDefault="007B0CEB">
                                <w:sdt>
                                  <w:sdtPr>
                                    <w:id w:val="-999583576"/>
                                    <w:date w:fullDate="2026-04-15T00:00:00Z">
                                      <w:dateFormat w:val="d MMMM yyyy"/>
                                      <w:lid w:val="nl"/>
                                      <w:storeMappedDataAs w:val="dateTime"/>
                                      <w:calendar w:val="gregorian"/>
                                    </w:date>
                                  </w:sdtPr>
                                  <w:sdtEndPr/>
                                  <w:sdtContent>
                                    <w:r>
                                      <w:rPr>
                                        <w:lang w:val="nl"/>
                                      </w:rPr>
                                      <w:t>15 april 2026</w:t>
                                    </w:r>
                                  </w:sdtContent>
                                </w:sdt>
                              </w:p>
                            </w:tc>
                          </w:tr>
                          <w:tr w:rsidR="00CF5BB4" w14:paraId="0B9AA81B" w14:textId="77777777">
                            <w:trPr>
                              <w:trHeight w:val="240"/>
                            </w:trPr>
                            <w:tc>
                              <w:tcPr>
                                <w:tcW w:w="1140" w:type="dxa"/>
                              </w:tcPr>
                              <w:p w14:paraId="4AAD3CF1" w14:textId="77777777" w:rsidR="00CF5BB4" w:rsidRDefault="0056411C">
                                <w:r>
                                  <w:t>Betreft</w:t>
                                </w:r>
                              </w:p>
                            </w:tc>
                            <w:tc>
                              <w:tcPr>
                                <w:tcW w:w="5918" w:type="dxa"/>
                              </w:tcPr>
                              <w:p w14:paraId="7307C197" w14:textId="33481915" w:rsidR="00CF5BB4" w:rsidRDefault="00F055D4">
                                <w:r>
                                  <w:t>Beleidsreactie</w:t>
                                </w:r>
                                <w:r w:rsidR="0056411C">
                                  <w:t xml:space="preserve"> </w:t>
                                </w:r>
                                <w:r w:rsidR="0019741E">
                                  <w:t>brief</w:t>
                                </w:r>
                                <w:r w:rsidR="0056411C">
                                  <w:t xml:space="preserve"> Inspectie JenV - Ter Apel</w:t>
                                </w:r>
                                <w:r w:rsidR="0019741E">
                                  <w:t xml:space="preserve"> 2025</w:t>
                                </w:r>
                              </w:p>
                            </w:tc>
                          </w:tr>
                        </w:tbl>
                        <w:p w14:paraId="472FDD2A" w14:textId="77777777" w:rsidR="00C443A1" w:rsidRDefault="00C443A1"/>
                      </w:txbxContent>
                    </wps:txbx>
                    <wps:bodyPr vert="horz" wrap="square" lIns="0" tIns="0" rIns="0" bIns="0" anchor="t" anchorCtr="0"/>
                  </wps:wsp>
                </a:graphicData>
              </a:graphic>
            </wp:anchor>
          </w:drawing>
        </mc:Choice>
        <mc:Fallback>
          <w:pict>
            <v:shape w14:anchorId="0416F208"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F5BB4" w14:paraId="3ED3493B" w14:textId="77777777">
                      <w:trPr>
                        <w:trHeight w:val="240"/>
                      </w:trPr>
                      <w:tc>
                        <w:tcPr>
                          <w:tcW w:w="1140" w:type="dxa"/>
                        </w:tcPr>
                        <w:p w14:paraId="132BBFB5" w14:textId="77777777" w:rsidR="00CF5BB4" w:rsidRDefault="0056411C">
                          <w:r>
                            <w:t>Datum</w:t>
                          </w:r>
                        </w:p>
                      </w:tc>
                      <w:tc>
                        <w:tcPr>
                          <w:tcW w:w="5918" w:type="dxa"/>
                        </w:tcPr>
                        <w:p w14:paraId="1066478B" w14:textId="79B774D2" w:rsidR="00CF5BB4" w:rsidRDefault="007B0CEB">
                          <w:sdt>
                            <w:sdtPr>
                              <w:id w:val="-999583576"/>
                              <w:date w:fullDate="2026-04-15T00:00:00Z">
                                <w:dateFormat w:val="d MMMM yyyy"/>
                                <w:lid w:val="nl"/>
                                <w:storeMappedDataAs w:val="dateTime"/>
                                <w:calendar w:val="gregorian"/>
                              </w:date>
                            </w:sdtPr>
                            <w:sdtEndPr/>
                            <w:sdtContent>
                              <w:r>
                                <w:rPr>
                                  <w:lang w:val="nl"/>
                                </w:rPr>
                                <w:t>15 april 2026</w:t>
                              </w:r>
                            </w:sdtContent>
                          </w:sdt>
                        </w:p>
                      </w:tc>
                    </w:tr>
                    <w:tr w:rsidR="00CF5BB4" w14:paraId="0B9AA81B" w14:textId="77777777">
                      <w:trPr>
                        <w:trHeight w:val="240"/>
                      </w:trPr>
                      <w:tc>
                        <w:tcPr>
                          <w:tcW w:w="1140" w:type="dxa"/>
                        </w:tcPr>
                        <w:p w14:paraId="4AAD3CF1" w14:textId="77777777" w:rsidR="00CF5BB4" w:rsidRDefault="0056411C">
                          <w:r>
                            <w:t>Betreft</w:t>
                          </w:r>
                        </w:p>
                      </w:tc>
                      <w:tc>
                        <w:tcPr>
                          <w:tcW w:w="5918" w:type="dxa"/>
                        </w:tcPr>
                        <w:p w14:paraId="7307C197" w14:textId="33481915" w:rsidR="00CF5BB4" w:rsidRDefault="00F055D4">
                          <w:r>
                            <w:t>Beleidsreactie</w:t>
                          </w:r>
                          <w:r w:rsidR="0056411C">
                            <w:t xml:space="preserve"> </w:t>
                          </w:r>
                          <w:r w:rsidR="0019741E">
                            <w:t>brief</w:t>
                          </w:r>
                          <w:r w:rsidR="0056411C">
                            <w:t xml:space="preserve"> Inspectie JenV - Ter Apel</w:t>
                          </w:r>
                          <w:r w:rsidR="0019741E">
                            <w:t xml:space="preserve"> 2025</w:t>
                          </w:r>
                        </w:p>
                      </w:tc>
                    </w:tr>
                  </w:tbl>
                  <w:p w14:paraId="472FDD2A" w14:textId="77777777" w:rsidR="00C443A1" w:rsidRDefault="00C443A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4DA4730" wp14:editId="34E9C74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40B243" w14:textId="77777777" w:rsidR="00CF5BB4" w:rsidRDefault="0056411C">
                          <w:pPr>
                            <w:pStyle w:val="Referentiegegevensbold"/>
                          </w:pPr>
                          <w:r>
                            <w:t>Directoraat-Generaal Migratie</w:t>
                          </w:r>
                        </w:p>
                        <w:p w14:paraId="7E03A33B" w14:textId="77777777" w:rsidR="00CF5BB4" w:rsidRDefault="0056411C">
                          <w:pPr>
                            <w:pStyle w:val="Referentiegegevens"/>
                          </w:pPr>
                          <w:r>
                            <w:t>Directie Regie Migratieketen</w:t>
                          </w:r>
                        </w:p>
                        <w:p w14:paraId="6C9A080A" w14:textId="77777777" w:rsidR="00CF5BB4" w:rsidRDefault="0056411C">
                          <w:pPr>
                            <w:pStyle w:val="Referentiegegevens"/>
                          </w:pPr>
                          <w:r>
                            <w:t>Ketensturing</w:t>
                          </w:r>
                        </w:p>
                        <w:p w14:paraId="6C336057" w14:textId="77777777" w:rsidR="00CF5BB4" w:rsidRDefault="00CF5BB4">
                          <w:pPr>
                            <w:pStyle w:val="WitregelW1"/>
                          </w:pPr>
                        </w:p>
                        <w:p w14:paraId="0A03DB6D" w14:textId="77777777" w:rsidR="00CF5BB4" w:rsidRDefault="0056411C">
                          <w:pPr>
                            <w:pStyle w:val="Referentiegegevens"/>
                          </w:pPr>
                          <w:r>
                            <w:t>Turfmarkt 147</w:t>
                          </w:r>
                        </w:p>
                        <w:p w14:paraId="510594C7" w14:textId="77777777" w:rsidR="00CF5BB4" w:rsidRDefault="0056411C">
                          <w:pPr>
                            <w:pStyle w:val="Referentiegegevens"/>
                          </w:pPr>
                          <w:r>
                            <w:t>2511 DP  Den Haag</w:t>
                          </w:r>
                        </w:p>
                        <w:p w14:paraId="5E296843" w14:textId="77777777" w:rsidR="00CF5BB4" w:rsidRDefault="0056411C">
                          <w:pPr>
                            <w:pStyle w:val="Referentiegegevens"/>
                          </w:pPr>
                          <w:r>
                            <w:t>Postbus 20011</w:t>
                          </w:r>
                        </w:p>
                        <w:p w14:paraId="7591C79A" w14:textId="77777777" w:rsidR="00CF5BB4" w:rsidRDefault="0056411C">
                          <w:pPr>
                            <w:pStyle w:val="Referentiegegevens"/>
                          </w:pPr>
                          <w:r>
                            <w:t>2500 EH  Den Haag</w:t>
                          </w:r>
                        </w:p>
                        <w:p w14:paraId="74A3430C" w14:textId="77777777" w:rsidR="00CF5BB4" w:rsidRDefault="0056411C">
                          <w:pPr>
                            <w:pStyle w:val="Referentiegegevens"/>
                          </w:pPr>
                          <w:r>
                            <w:t>www.rijksoverheid.nl/jenv</w:t>
                          </w:r>
                        </w:p>
                        <w:p w14:paraId="365016FA" w14:textId="77777777" w:rsidR="00CF5BB4" w:rsidRDefault="00CF5BB4">
                          <w:pPr>
                            <w:pStyle w:val="WitregelW2"/>
                          </w:pPr>
                        </w:p>
                        <w:p w14:paraId="398E32C9" w14:textId="77777777" w:rsidR="00CF5BB4" w:rsidRDefault="0056411C">
                          <w:pPr>
                            <w:pStyle w:val="Referentiegegevensbold"/>
                          </w:pPr>
                          <w:r>
                            <w:t>Onze referentie</w:t>
                          </w:r>
                        </w:p>
                        <w:p w14:paraId="1F3F2B2E" w14:textId="77777777" w:rsidR="00CF5BB4" w:rsidRDefault="0056411C">
                          <w:pPr>
                            <w:pStyle w:val="Referentiegegevens"/>
                          </w:pPr>
                          <w:r>
                            <w:t>7481765</w:t>
                          </w:r>
                        </w:p>
                        <w:p w14:paraId="721456AA" w14:textId="77777777" w:rsidR="007B0CEB" w:rsidRDefault="007B0CEB" w:rsidP="007B0CEB"/>
                        <w:p w14:paraId="6BFC1C88" w14:textId="5ABF801E" w:rsidR="007B0CEB" w:rsidRPr="007B0CEB" w:rsidRDefault="007B0CEB" w:rsidP="007B0CEB">
                          <w:pPr>
                            <w:pStyle w:val="Referentiegegevens"/>
                            <w:rPr>
                              <w:b/>
                              <w:bCs/>
                            </w:rPr>
                          </w:pPr>
                          <w:r w:rsidRPr="007B0CEB">
                            <w:rPr>
                              <w:b/>
                              <w:bCs/>
                            </w:rPr>
                            <w:t>Bijlagen</w:t>
                          </w:r>
                        </w:p>
                        <w:p w14:paraId="26DFEB22" w14:textId="774C45CC" w:rsidR="007B0CEB" w:rsidRPr="007B0CEB" w:rsidRDefault="007B0CEB" w:rsidP="007B0CEB">
                          <w:pPr>
                            <w:pStyle w:val="Referentiegegevens"/>
                          </w:pPr>
                          <w:r>
                            <w:t>1</w:t>
                          </w:r>
                        </w:p>
                      </w:txbxContent>
                    </wps:txbx>
                    <wps:bodyPr vert="horz" wrap="square" lIns="0" tIns="0" rIns="0" bIns="0" anchor="t" anchorCtr="0"/>
                  </wps:wsp>
                </a:graphicData>
              </a:graphic>
            </wp:anchor>
          </w:drawing>
        </mc:Choice>
        <mc:Fallback>
          <w:pict>
            <v:shape w14:anchorId="34DA473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540B243" w14:textId="77777777" w:rsidR="00CF5BB4" w:rsidRDefault="0056411C">
                    <w:pPr>
                      <w:pStyle w:val="Referentiegegevensbold"/>
                    </w:pPr>
                    <w:r>
                      <w:t>Directoraat-Generaal Migratie</w:t>
                    </w:r>
                  </w:p>
                  <w:p w14:paraId="7E03A33B" w14:textId="77777777" w:rsidR="00CF5BB4" w:rsidRDefault="0056411C">
                    <w:pPr>
                      <w:pStyle w:val="Referentiegegevens"/>
                    </w:pPr>
                    <w:r>
                      <w:t>Directie Regie Migratieketen</w:t>
                    </w:r>
                  </w:p>
                  <w:p w14:paraId="6C9A080A" w14:textId="77777777" w:rsidR="00CF5BB4" w:rsidRDefault="0056411C">
                    <w:pPr>
                      <w:pStyle w:val="Referentiegegevens"/>
                    </w:pPr>
                    <w:r>
                      <w:t>Ketensturing</w:t>
                    </w:r>
                  </w:p>
                  <w:p w14:paraId="6C336057" w14:textId="77777777" w:rsidR="00CF5BB4" w:rsidRDefault="00CF5BB4">
                    <w:pPr>
                      <w:pStyle w:val="WitregelW1"/>
                    </w:pPr>
                  </w:p>
                  <w:p w14:paraId="0A03DB6D" w14:textId="77777777" w:rsidR="00CF5BB4" w:rsidRDefault="0056411C">
                    <w:pPr>
                      <w:pStyle w:val="Referentiegegevens"/>
                    </w:pPr>
                    <w:r>
                      <w:t>Turfmarkt 147</w:t>
                    </w:r>
                  </w:p>
                  <w:p w14:paraId="510594C7" w14:textId="77777777" w:rsidR="00CF5BB4" w:rsidRDefault="0056411C">
                    <w:pPr>
                      <w:pStyle w:val="Referentiegegevens"/>
                    </w:pPr>
                    <w:r>
                      <w:t>2511 DP  Den Haag</w:t>
                    </w:r>
                  </w:p>
                  <w:p w14:paraId="5E296843" w14:textId="77777777" w:rsidR="00CF5BB4" w:rsidRDefault="0056411C">
                    <w:pPr>
                      <w:pStyle w:val="Referentiegegevens"/>
                    </w:pPr>
                    <w:r>
                      <w:t>Postbus 20011</w:t>
                    </w:r>
                  </w:p>
                  <w:p w14:paraId="7591C79A" w14:textId="77777777" w:rsidR="00CF5BB4" w:rsidRDefault="0056411C">
                    <w:pPr>
                      <w:pStyle w:val="Referentiegegevens"/>
                    </w:pPr>
                    <w:r>
                      <w:t>2500 EH  Den Haag</w:t>
                    </w:r>
                  </w:p>
                  <w:p w14:paraId="74A3430C" w14:textId="77777777" w:rsidR="00CF5BB4" w:rsidRDefault="0056411C">
                    <w:pPr>
                      <w:pStyle w:val="Referentiegegevens"/>
                    </w:pPr>
                    <w:r>
                      <w:t>www.rijksoverheid.nl/jenv</w:t>
                    </w:r>
                  </w:p>
                  <w:p w14:paraId="365016FA" w14:textId="77777777" w:rsidR="00CF5BB4" w:rsidRDefault="00CF5BB4">
                    <w:pPr>
                      <w:pStyle w:val="WitregelW2"/>
                    </w:pPr>
                  </w:p>
                  <w:p w14:paraId="398E32C9" w14:textId="77777777" w:rsidR="00CF5BB4" w:rsidRDefault="0056411C">
                    <w:pPr>
                      <w:pStyle w:val="Referentiegegevensbold"/>
                    </w:pPr>
                    <w:r>
                      <w:t>Onze referentie</w:t>
                    </w:r>
                  </w:p>
                  <w:p w14:paraId="1F3F2B2E" w14:textId="77777777" w:rsidR="00CF5BB4" w:rsidRDefault="0056411C">
                    <w:pPr>
                      <w:pStyle w:val="Referentiegegevens"/>
                    </w:pPr>
                    <w:r>
                      <w:t>7481765</w:t>
                    </w:r>
                  </w:p>
                  <w:p w14:paraId="721456AA" w14:textId="77777777" w:rsidR="007B0CEB" w:rsidRDefault="007B0CEB" w:rsidP="007B0CEB"/>
                  <w:p w14:paraId="6BFC1C88" w14:textId="5ABF801E" w:rsidR="007B0CEB" w:rsidRPr="007B0CEB" w:rsidRDefault="007B0CEB" w:rsidP="007B0CEB">
                    <w:pPr>
                      <w:pStyle w:val="Referentiegegevens"/>
                      <w:rPr>
                        <w:b/>
                        <w:bCs/>
                      </w:rPr>
                    </w:pPr>
                    <w:r w:rsidRPr="007B0CEB">
                      <w:rPr>
                        <w:b/>
                        <w:bCs/>
                      </w:rPr>
                      <w:t>Bijlagen</w:t>
                    </w:r>
                  </w:p>
                  <w:p w14:paraId="26DFEB22" w14:textId="774C45CC" w:rsidR="007B0CEB" w:rsidRPr="007B0CEB" w:rsidRDefault="007B0CEB" w:rsidP="007B0CEB">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8F4D55" wp14:editId="1F967B7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CF4179" w14:textId="77777777" w:rsidR="00C443A1" w:rsidRDefault="00C443A1"/>
                      </w:txbxContent>
                    </wps:txbx>
                    <wps:bodyPr vert="horz" wrap="square" lIns="0" tIns="0" rIns="0" bIns="0" anchor="t" anchorCtr="0"/>
                  </wps:wsp>
                </a:graphicData>
              </a:graphic>
            </wp:anchor>
          </w:drawing>
        </mc:Choice>
        <mc:Fallback>
          <w:pict>
            <v:shape w14:anchorId="078F4D5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9CF4179" w14:textId="77777777" w:rsidR="00C443A1" w:rsidRDefault="00C443A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B0C3A6E" wp14:editId="4F2A8DD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23AA44" w14:textId="77777777" w:rsidR="00CF5BB4" w:rsidRDefault="0056411C">
                          <w:pPr>
                            <w:pStyle w:val="Referentiegegevens"/>
                          </w:pPr>
                          <w:r>
                            <w:t xml:space="preserve">Pagina </w:t>
                          </w:r>
                          <w:r>
                            <w:fldChar w:fldCharType="begin"/>
                          </w:r>
                          <w:r>
                            <w:instrText>PAGE</w:instrText>
                          </w:r>
                          <w:r>
                            <w:fldChar w:fldCharType="separate"/>
                          </w:r>
                          <w:r w:rsidR="00597D35">
                            <w:rPr>
                              <w:noProof/>
                            </w:rPr>
                            <w:t>1</w:t>
                          </w:r>
                          <w:r>
                            <w:fldChar w:fldCharType="end"/>
                          </w:r>
                          <w:r>
                            <w:t xml:space="preserve"> van </w:t>
                          </w:r>
                          <w:r>
                            <w:fldChar w:fldCharType="begin"/>
                          </w:r>
                          <w:r>
                            <w:instrText>NUMPAGES</w:instrText>
                          </w:r>
                          <w:r>
                            <w:fldChar w:fldCharType="separate"/>
                          </w:r>
                          <w:r w:rsidR="00597D35">
                            <w:rPr>
                              <w:noProof/>
                            </w:rPr>
                            <w:t>1</w:t>
                          </w:r>
                          <w:r>
                            <w:fldChar w:fldCharType="end"/>
                          </w:r>
                        </w:p>
                      </w:txbxContent>
                    </wps:txbx>
                    <wps:bodyPr vert="horz" wrap="square" lIns="0" tIns="0" rIns="0" bIns="0" anchor="t" anchorCtr="0"/>
                  </wps:wsp>
                </a:graphicData>
              </a:graphic>
            </wp:anchor>
          </w:drawing>
        </mc:Choice>
        <mc:Fallback>
          <w:pict>
            <v:shape w14:anchorId="6B0C3A6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323AA44" w14:textId="77777777" w:rsidR="00CF5BB4" w:rsidRDefault="0056411C">
                    <w:pPr>
                      <w:pStyle w:val="Referentiegegevens"/>
                    </w:pPr>
                    <w:r>
                      <w:t xml:space="preserve">Pagina </w:t>
                    </w:r>
                    <w:r>
                      <w:fldChar w:fldCharType="begin"/>
                    </w:r>
                    <w:r>
                      <w:instrText>PAGE</w:instrText>
                    </w:r>
                    <w:r>
                      <w:fldChar w:fldCharType="separate"/>
                    </w:r>
                    <w:r w:rsidR="00597D35">
                      <w:rPr>
                        <w:noProof/>
                      </w:rPr>
                      <w:t>1</w:t>
                    </w:r>
                    <w:r>
                      <w:fldChar w:fldCharType="end"/>
                    </w:r>
                    <w:r>
                      <w:t xml:space="preserve"> van </w:t>
                    </w:r>
                    <w:r>
                      <w:fldChar w:fldCharType="begin"/>
                    </w:r>
                    <w:r>
                      <w:instrText>NUMPAGES</w:instrText>
                    </w:r>
                    <w:r>
                      <w:fldChar w:fldCharType="separate"/>
                    </w:r>
                    <w:r w:rsidR="00597D3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E913386" wp14:editId="1372662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9B80E0" w14:textId="77777777" w:rsidR="00CF5BB4" w:rsidRDefault="0056411C">
                          <w:pPr>
                            <w:spacing w:line="240" w:lineRule="auto"/>
                          </w:pPr>
                          <w:r>
                            <w:rPr>
                              <w:noProof/>
                            </w:rPr>
                            <w:drawing>
                              <wp:inline distT="0" distB="0" distL="0" distR="0" wp14:anchorId="6EBBA9D1" wp14:editId="306EB94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91338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F9B80E0" w14:textId="77777777" w:rsidR="00CF5BB4" w:rsidRDefault="0056411C">
                    <w:pPr>
                      <w:spacing w:line="240" w:lineRule="auto"/>
                    </w:pPr>
                    <w:r>
                      <w:rPr>
                        <w:noProof/>
                      </w:rPr>
                      <w:drawing>
                        <wp:inline distT="0" distB="0" distL="0" distR="0" wp14:anchorId="6EBBA9D1" wp14:editId="306EB94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6C5FB80" wp14:editId="144E37B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ECF458" w14:textId="77777777" w:rsidR="00CF5BB4" w:rsidRDefault="0056411C">
                          <w:pPr>
                            <w:spacing w:line="240" w:lineRule="auto"/>
                          </w:pPr>
                          <w:r>
                            <w:rPr>
                              <w:noProof/>
                            </w:rPr>
                            <w:drawing>
                              <wp:inline distT="0" distB="0" distL="0" distR="0" wp14:anchorId="22C79AE9" wp14:editId="5E8EB19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C5FB8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CECF458" w14:textId="77777777" w:rsidR="00CF5BB4" w:rsidRDefault="0056411C">
                    <w:pPr>
                      <w:spacing w:line="240" w:lineRule="auto"/>
                    </w:pPr>
                    <w:r>
                      <w:rPr>
                        <w:noProof/>
                      </w:rPr>
                      <w:drawing>
                        <wp:inline distT="0" distB="0" distL="0" distR="0" wp14:anchorId="22C79AE9" wp14:editId="5E8EB19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7BC35A2" wp14:editId="2A624CA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8302C1" w14:textId="77777777" w:rsidR="00CF5BB4" w:rsidRDefault="0056411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7BC35A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18302C1" w14:textId="77777777" w:rsidR="00CF5BB4" w:rsidRDefault="0056411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76DBBC"/>
    <w:multiLevelType w:val="multilevel"/>
    <w:tmpl w:val="E6E2441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7E448F9"/>
    <w:multiLevelType w:val="multilevel"/>
    <w:tmpl w:val="B0D73E5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8A913D8"/>
    <w:multiLevelType w:val="multilevel"/>
    <w:tmpl w:val="73E635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8F31301"/>
    <w:multiLevelType w:val="hybridMultilevel"/>
    <w:tmpl w:val="A0D2145E"/>
    <w:lvl w:ilvl="0" w:tplc="9F90D99A">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BC0ADF"/>
    <w:multiLevelType w:val="multilevel"/>
    <w:tmpl w:val="F5E974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1BD589A"/>
    <w:multiLevelType w:val="multilevel"/>
    <w:tmpl w:val="9154E42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CA38AFE"/>
    <w:multiLevelType w:val="multilevel"/>
    <w:tmpl w:val="DBCFFD6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83962026">
    <w:abstractNumId w:val="0"/>
  </w:num>
  <w:num w:numId="2" w16cid:durableId="2025478552">
    <w:abstractNumId w:val="1"/>
  </w:num>
  <w:num w:numId="3" w16cid:durableId="1798795234">
    <w:abstractNumId w:val="6"/>
  </w:num>
  <w:num w:numId="4" w16cid:durableId="2055159604">
    <w:abstractNumId w:val="2"/>
  </w:num>
  <w:num w:numId="5" w16cid:durableId="1578244435">
    <w:abstractNumId w:val="5"/>
  </w:num>
  <w:num w:numId="6" w16cid:durableId="1718358882">
    <w:abstractNumId w:val="4"/>
  </w:num>
  <w:num w:numId="7" w16cid:durableId="764692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35"/>
    <w:rsid w:val="00023B3B"/>
    <w:rsid w:val="00024FE3"/>
    <w:rsid w:val="001269B0"/>
    <w:rsid w:val="0015454C"/>
    <w:rsid w:val="00165328"/>
    <w:rsid w:val="001812A1"/>
    <w:rsid w:val="0019741E"/>
    <w:rsid w:val="002125F5"/>
    <w:rsid w:val="00225A50"/>
    <w:rsid w:val="0023226E"/>
    <w:rsid w:val="00247107"/>
    <w:rsid w:val="00255821"/>
    <w:rsid w:val="002C4254"/>
    <w:rsid w:val="003107F3"/>
    <w:rsid w:val="0032773F"/>
    <w:rsid w:val="00350CF7"/>
    <w:rsid w:val="00365A90"/>
    <w:rsid w:val="0037603B"/>
    <w:rsid w:val="003972C6"/>
    <w:rsid w:val="00436CEF"/>
    <w:rsid w:val="00477E7A"/>
    <w:rsid w:val="004819AE"/>
    <w:rsid w:val="004A22D7"/>
    <w:rsid w:val="004B3588"/>
    <w:rsid w:val="004B525C"/>
    <w:rsid w:val="004C1B4E"/>
    <w:rsid w:val="00514C80"/>
    <w:rsid w:val="005270B1"/>
    <w:rsid w:val="005374AD"/>
    <w:rsid w:val="00552F03"/>
    <w:rsid w:val="0055300B"/>
    <w:rsid w:val="0056411C"/>
    <w:rsid w:val="00597D35"/>
    <w:rsid w:val="005B0850"/>
    <w:rsid w:val="005B354B"/>
    <w:rsid w:val="005F4BFB"/>
    <w:rsid w:val="005F789A"/>
    <w:rsid w:val="0061106F"/>
    <w:rsid w:val="006373AD"/>
    <w:rsid w:val="00656F3B"/>
    <w:rsid w:val="00664310"/>
    <w:rsid w:val="00677BF5"/>
    <w:rsid w:val="006D3742"/>
    <w:rsid w:val="00722E8F"/>
    <w:rsid w:val="00730E05"/>
    <w:rsid w:val="00741853"/>
    <w:rsid w:val="00742E42"/>
    <w:rsid w:val="00772B73"/>
    <w:rsid w:val="00777831"/>
    <w:rsid w:val="007B0CEB"/>
    <w:rsid w:val="007B19BB"/>
    <w:rsid w:val="007C3CEC"/>
    <w:rsid w:val="00807F36"/>
    <w:rsid w:val="008324D0"/>
    <w:rsid w:val="00874361"/>
    <w:rsid w:val="00891678"/>
    <w:rsid w:val="008A1499"/>
    <w:rsid w:val="008B7885"/>
    <w:rsid w:val="008C5A44"/>
    <w:rsid w:val="008E158F"/>
    <w:rsid w:val="008F7F19"/>
    <w:rsid w:val="00907ABD"/>
    <w:rsid w:val="00935A85"/>
    <w:rsid w:val="009473B3"/>
    <w:rsid w:val="009635EE"/>
    <w:rsid w:val="00966EFC"/>
    <w:rsid w:val="009B4569"/>
    <w:rsid w:val="009C5136"/>
    <w:rsid w:val="009F0D81"/>
    <w:rsid w:val="00A01247"/>
    <w:rsid w:val="00A0371D"/>
    <w:rsid w:val="00A607CA"/>
    <w:rsid w:val="00A76F50"/>
    <w:rsid w:val="00AA6E64"/>
    <w:rsid w:val="00AB5DF1"/>
    <w:rsid w:val="00AF05A2"/>
    <w:rsid w:val="00AF1012"/>
    <w:rsid w:val="00AF6DE4"/>
    <w:rsid w:val="00B03B67"/>
    <w:rsid w:val="00B21679"/>
    <w:rsid w:val="00B21DB2"/>
    <w:rsid w:val="00B41005"/>
    <w:rsid w:val="00B535FD"/>
    <w:rsid w:val="00B93E1E"/>
    <w:rsid w:val="00B93F90"/>
    <w:rsid w:val="00BF2A85"/>
    <w:rsid w:val="00C01910"/>
    <w:rsid w:val="00C35C7D"/>
    <w:rsid w:val="00C443A1"/>
    <w:rsid w:val="00C53386"/>
    <w:rsid w:val="00C56940"/>
    <w:rsid w:val="00CB2BDF"/>
    <w:rsid w:val="00CD43CB"/>
    <w:rsid w:val="00CE3A1A"/>
    <w:rsid w:val="00CF5BB4"/>
    <w:rsid w:val="00D54D8F"/>
    <w:rsid w:val="00DB3BB5"/>
    <w:rsid w:val="00DC23D9"/>
    <w:rsid w:val="00DE115C"/>
    <w:rsid w:val="00DF7228"/>
    <w:rsid w:val="00E43D58"/>
    <w:rsid w:val="00E44615"/>
    <w:rsid w:val="00E7471C"/>
    <w:rsid w:val="00E93CAE"/>
    <w:rsid w:val="00EC39D1"/>
    <w:rsid w:val="00F024B4"/>
    <w:rsid w:val="00F04E04"/>
    <w:rsid w:val="00F055D4"/>
    <w:rsid w:val="00F46E41"/>
    <w:rsid w:val="00FB2B47"/>
    <w:rsid w:val="00FB7FE1"/>
    <w:rsid w:val="00FC5624"/>
    <w:rsid w:val="00FC74BA"/>
    <w:rsid w:val="00FD6F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E7D58"/>
  <w15:docId w15:val="{717066AC-26E9-45AE-BC2B-C38DC120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97D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97D35"/>
    <w:rPr>
      <w:rFonts w:ascii="Verdana" w:hAnsi="Verdana"/>
      <w:color w:val="000000"/>
      <w:sz w:val="18"/>
      <w:szCs w:val="18"/>
    </w:rPr>
  </w:style>
  <w:style w:type="paragraph" w:styleId="Lijstalinea">
    <w:name w:val="List Paragraph"/>
    <w:basedOn w:val="Standaard"/>
    <w:uiPriority w:val="34"/>
    <w:semiHidden/>
    <w:rsid w:val="00E44615"/>
    <w:pPr>
      <w:ind w:left="720"/>
      <w:contextualSpacing/>
    </w:pPr>
  </w:style>
  <w:style w:type="paragraph" w:styleId="Voetnoottekst">
    <w:name w:val="footnote text"/>
    <w:basedOn w:val="Standaard"/>
    <w:link w:val="VoetnoottekstChar"/>
    <w:uiPriority w:val="99"/>
    <w:semiHidden/>
    <w:unhideWhenUsed/>
    <w:rsid w:val="00FC562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C5624"/>
    <w:rPr>
      <w:rFonts w:ascii="Verdana" w:hAnsi="Verdana"/>
      <w:color w:val="000000"/>
    </w:rPr>
  </w:style>
  <w:style w:type="character" w:styleId="Voetnootmarkering">
    <w:name w:val="footnote reference"/>
    <w:basedOn w:val="Standaardalinea-lettertype"/>
    <w:uiPriority w:val="99"/>
    <w:semiHidden/>
    <w:unhideWhenUsed/>
    <w:rsid w:val="00FC5624"/>
    <w:rPr>
      <w:vertAlign w:val="superscript"/>
    </w:rPr>
  </w:style>
  <w:style w:type="character" w:styleId="Verwijzingopmerking">
    <w:name w:val="annotation reference"/>
    <w:basedOn w:val="Standaardalinea-lettertype"/>
    <w:uiPriority w:val="99"/>
    <w:semiHidden/>
    <w:unhideWhenUsed/>
    <w:rsid w:val="00E43D58"/>
    <w:rPr>
      <w:sz w:val="16"/>
      <w:szCs w:val="16"/>
    </w:rPr>
  </w:style>
  <w:style w:type="paragraph" w:styleId="Tekstopmerking">
    <w:name w:val="annotation text"/>
    <w:basedOn w:val="Standaard"/>
    <w:link w:val="TekstopmerkingChar"/>
    <w:uiPriority w:val="99"/>
    <w:unhideWhenUsed/>
    <w:rsid w:val="00E43D58"/>
    <w:pPr>
      <w:spacing w:line="240" w:lineRule="auto"/>
    </w:pPr>
    <w:rPr>
      <w:sz w:val="20"/>
      <w:szCs w:val="20"/>
    </w:rPr>
  </w:style>
  <w:style w:type="character" w:customStyle="1" w:styleId="TekstopmerkingChar">
    <w:name w:val="Tekst opmerking Char"/>
    <w:basedOn w:val="Standaardalinea-lettertype"/>
    <w:link w:val="Tekstopmerking"/>
    <w:uiPriority w:val="99"/>
    <w:rsid w:val="00E43D5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43D58"/>
    <w:rPr>
      <w:b/>
      <w:bCs/>
    </w:rPr>
  </w:style>
  <w:style w:type="character" w:customStyle="1" w:styleId="OnderwerpvanopmerkingChar">
    <w:name w:val="Onderwerp van opmerking Char"/>
    <w:basedOn w:val="TekstopmerkingChar"/>
    <w:link w:val="Onderwerpvanopmerking"/>
    <w:uiPriority w:val="99"/>
    <w:semiHidden/>
    <w:rsid w:val="00E43D58"/>
    <w:rPr>
      <w:rFonts w:ascii="Verdana" w:hAnsi="Verdana"/>
      <w:b/>
      <w:bCs/>
      <w:color w:val="000000"/>
    </w:rPr>
  </w:style>
  <w:style w:type="paragraph" w:styleId="Revisie">
    <w:name w:val="Revision"/>
    <w:hidden/>
    <w:uiPriority w:val="99"/>
    <w:semiHidden/>
    <w:rsid w:val="00E93CA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7540">
      <w:bodyDiv w:val="1"/>
      <w:marLeft w:val="0"/>
      <w:marRight w:val="0"/>
      <w:marTop w:val="0"/>
      <w:marBottom w:val="0"/>
      <w:divBdr>
        <w:top w:val="none" w:sz="0" w:space="0" w:color="auto"/>
        <w:left w:val="none" w:sz="0" w:space="0" w:color="auto"/>
        <w:bottom w:val="none" w:sz="0" w:space="0" w:color="auto"/>
        <w:right w:val="none" w:sz="0" w:space="0" w:color="auto"/>
      </w:divBdr>
    </w:div>
    <w:div w:id="219748995">
      <w:bodyDiv w:val="1"/>
      <w:marLeft w:val="0"/>
      <w:marRight w:val="0"/>
      <w:marTop w:val="0"/>
      <w:marBottom w:val="0"/>
      <w:divBdr>
        <w:top w:val="none" w:sz="0" w:space="0" w:color="auto"/>
        <w:left w:val="none" w:sz="0" w:space="0" w:color="auto"/>
        <w:bottom w:val="none" w:sz="0" w:space="0" w:color="auto"/>
        <w:right w:val="none" w:sz="0" w:space="0" w:color="auto"/>
      </w:divBdr>
    </w:div>
    <w:div w:id="265696718">
      <w:bodyDiv w:val="1"/>
      <w:marLeft w:val="0"/>
      <w:marRight w:val="0"/>
      <w:marTop w:val="0"/>
      <w:marBottom w:val="0"/>
      <w:divBdr>
        <w:top w:val="none" w:sz="0" w:space="0" w:color="auto"/>
        <w:left w:val="none" w:sz="0" w:space="0" w:color="auto"/>
        <w:bottom w:val="none" w:sz="0" w:space="0" w:color="auto"/>
        <w:right w:val="none" w:sz="0" w:space="0" w:color="auto"/>
      </w:divBdr>
    </w:div>
    <w:div w:id="310065079">
      <w:bodyDiv w:val="1"/>
      <w:marLeft w:val="0"/>
      <w:marRight w:val="0"/>
      <w:marTop w:val="0"/>
      <w:marBottom w:val="0"/>
      <w:divBdr>
        <w:top w:val="none" w:sz="0" w:space="0" w:color="auto"/>
        <w:left w:val="none" w:sz="0" w:space="0" w:color="auto"/>
        <w:bottom w:val="none" w:sz="0" w:space="0" w:color="auto"/>
        <w:right w:val="none" w:sz="0" w:space="0" w:color="auto"/>
      </w:divBdr>
    </w:div>
    <w:div w:id="314603644">
      <w:bodyDiv w:val="1"/>
      <w:marLeft w:val="0"/>
      <w:marRight w:val="0"/>
      <w:marTop w:val="0"/>
      <w:marBottom w:val="0"/>
      <w:divBdr>
        <w:top w:val="none" w:sz="0" w:space="0" w:color="auto"/>
        <w:left w:val="none" w:sz="0" w:space="0" w:color="auto"/>
        <w:bottom w:val="none" w:sz="0" w:space="0" w:color="auto"/>
        <w:right w:val="none" w:sz="0" w:space="0" w:color="auto"/>
      </w:divBdr>
      <w:divsChild>
        <w:div w:id="2002077858">
          <w:marLeft w:val="0"/>
          <w:marRight w:val="0"/>
          <w:marTop w:val="0"/>
          <w:marBottom w:val="0"/>
          <w:divBdr>
            <w:top w:val="none" w:sz="0" w:space="0" w:color="auto"/>
            <w:left w:val="none" w:sz="0" w:space="0" w:color="auto"/>
            <w:bottom w:val="none" w:sz="0" w:space="0" w:color="auto"/>
            <w:right w:val="none" w:sz="0" w:space="0" w:color="auto"/>
          </w:divBdr>
        </w:div>
      </w:divsChild>
    </w:div>
    <w:div w:id="426317205">
      <w:bodyDiv w:val="1"/>
      <w:marLeft w:val="0"/>
      <w:marRight w:val="0"/>
      <w:marTop w:val="0"/>
      <w:marBottom w:val="0"/>
      <w:divBdr>
        <w:top w:val="none" w:sz="0" w:space="0" w:color="auto"/>
        <w:left w:val="none" w:sz="0" w:space="0" w:color="auto"/>
        <w:bottom w:val="none" w:sz="0" w:space="0" w:color="auto"/>
        <w:right w:val="none" w:sz="0" w:space="0" w:color="auto"/>
      </w:divBdr>
    </w:div>
    <w:div w:id="519971182">
      <w:bodyDiv w:val="1"/>
      <w:marLeft w:val="0"/>
      <w:marRight w:val="0"/>
      <w:marTop w:val="0"/>
      <w:marBottom w:val="0"/>
      <w:divBdr>
        <w:top w:val="none" w:sz="0" w:space="0" w:color="auto"/>
        <w:left w:val="none" w:sz="0" w:space="0" w:color="auto"/>
        <w:bottom w:val="none" w:sz="0" w:space="0" w:color="auto"/>
        <w:right w:val="none" w:sz="0" w:space="0" w:color="auto"/>
      </w:divBdr>
    </w:div>
    <w:div w:id="583297335">
      <w:bodyDiv w:val="1"/>
      <w:marLeft w:val="0"/>
      <w:marRight w:val="0"/>
      <w:marTop w:val="0"/>
      <w:marBottom w:val="0"/>
      <w:divBdr>
        <w:top w:val="none" w:sz="0" w:space="0" w:color="auto"/>
        <w:left w:val="none" w:sz="0" w:space="0" w:color="auto"/>
        <w:bottom w:val="none" w:sz="0" w:space="0" w:color="auto"/>
        <w:right w:val="none" w:sz="0" w:space="0" w:color="auto"/>
      </w:divBdr>
    </w:div>
    <w:div w:id="605237257">
      <w:bodyDiv w:val="1"/>
      <w:marLeft w:val="0"/>
      <w:marRight w:val="0"/>
      <w:marTop w:val="0"/>
      <w:marBottom w:val="0"/>
      <w:divBdr>
        <w:top w:val="none" w:sz="0" w:space="0" w:color="auto"/>
        <w:left w:val="none" w:sz="0" w:space="0" w:color="auto"/>
        <w:bottom w:val="none" w:sz="0" w:space="0" w:color="auto"/>
        <w:right w:val="none" w:sz="0" w:space="0" w:color="auto"/>
      </w:divBdr>
    </w:div>
    <w:div w:id="732238783">
      <w:bodyDiv w:val="1"/>
      <w:marLeft w:val="0"/>
      <w:marRight w:val="0"/>
      <w:marTop w:val="0"/>
      <w:marBottom w:val="0"/>
      <w:divBdr>
        <w:top w:val="none" w:sz="0" w:space="0" w:color="auto"/>
        <w:left w:val="none" w:sz="0" w:space="0" w:color="auto"/>
        <w:bottom w:val="none" w:sz="0" w:space="0" w:color="auto"/>
        <w:right w:val="none" w:sz="0" w:space="0" w:color="auto"/>
      </w:divBdr>
    </w:div>
    <w:div w:id="1062949076">
      <w:bodyDiv w:val="1"/>
      <w:marLeft w:val="0"/>
      <w:marRight w:val="0"/>
      <w:marTop w:val="0"/>
      <w:marBottom w:val="0"/>
      <w:divBdr>
        <w:top w:val="none" w:sz="0" w:space="0" w:color="auto"/>
        <w:left w:val="none" w:sz="0" w:space="0" w:color="auto"/>
        <w:bottom w:val="none" w:sz="0" w:space="0" w:color="auto"/>
        <w:right w:val="none" w:sz="0" w:space="0" w:color="auto"/>
      </w:divBdr>
    </w:div>
    <w:div w:id="1131636429">
      <w:bodyDiv w:val="1"/>
      <w:marLeft w:val="0"/>
      <w:marRight w:val="0"/>
      <w:marTop w:val="0"/>
      <w:marBottom w:val="0"/>
      <w:divBdr>
        <w:top w:val="none" w:sz="0" w:space="0" w:color="auto"/>
        <w:left w:val="none" w:sz="0" w:space="0" w:color="auto"/>
        <w:bottom w:val="none" w:sz="0" w:space="0" w:color="auto"/>
        <w:right w:val="none" w:sz="0" w:space="0" w:color="auto"/>
      </w:divBdr>
      <w:divsChild>
        <w:div w:id="1353994791">
          <w:marLeft w:val="0"/>
          <w:marRight w:val="0"/>
          <w:marTop w:val="0"/>
          <w:marBottom w:val="0"/>
          <w:divBdr>
            <w:top w:val="none" w:sz="0" w:space="0" w:color="auto"/>
            <w:left w:val="none" w:sz="0" w:space="0" w:color="auto"/>
            <w:bottom w:val="none" w:sz="0" w:space="0" w:color="auto"/>
            <w:right w:val="none" w:sz="0" w:space="0" w:color="auto"/>
          </w:divBdr>
        </w:div>
      </w:divsChild>
    </w:div>
    <w:div w:id="1420323422">
      <w:bodyDiv w:val="1"/>
      <w:marLeft w:val="0"/>
      <w:marRight w:val="0"/>
      <w:marTop w:val="0"/>
      <w:marBottom w:val="0"/>
      <w:divBdr>
        <w:top w:val="none" w:sz="0" w:space="0" w:color="auto"/>
        <w:left w:val="none" w:sz="0" w:space="0" w:color="auto"/>
        <w:bottom w:val="none" w:sz="0" w:space="0" w:color="auto"/>
        <w:right w:val="none" w:sz="0" w:space="0" w:color="auto"/>
      </w:divBdr>
      <w:divsChild>
        <w:div w:id="1879269421">
          <w:marLeft w:val="0"/>
          <w:marRight w:val="0"/>
          <w:marTop w:val="0"/>
          <w:marBottom w:val="0"/>
          <w:divBdr>
            <w:top w:val="none" w:sz="0" w:space="0" w:color="auto"/>
            <w:left w:val="none" w:sz="0" w:space="0" w:color="auto"/>
            <w:bottom w:val="none" w:sz="0" w:space="0" w:color="auto"/>
            <w:right w:val="none" w:sz="0" w:space="0" w:color="auto"/>
          </w:divBdr>
        </w:div>
      </w:divsChild>
    </w:div>
    <w:div w:id="1467317712">
      <w:bodyDiv w:val="1"/>
      <w:marLeft w:val="0"/>
      <w:marRight w:val="0"/>
      <w:marTop w:val="0"/>
      <w:marBottom w:val="0"/>
      <w:divBdr>
        <w:top w:val="none" w:sz="0" w:space="0" w:color="auto"/>
        <w:left w:val="none" w:sz="0" w:space="0" w:color="auto"/>
        <w:bottom w:val="none" w:sz="0" w:space="0" w:color="auto"/>
        <w:right w:val="none" w:sz="0" w:space="0" w:color="auto"/>
      </w:divBdr>
    </w:div>
    <w:div w:id="1515267942">
      <w:bodyDiv w:val="1"/>
      <w:marLeft w:val="0"/>
      <w:marRight w:val="0"/>
      <w:marTop w:val="0"/>
      <w:marBottom w:val="0"/>
      <w:divBdr>
        <w:top w:val="none" w:sz="0" w:space="0" w:color="auto"/>
        <w:left w:val="none" w:sz="0" w:space="0" w:color="auto"/>
        <w:bottom w:val="none" w:sz="0" w:space="0" w:color="auto"/>
        <w:right w:val="none" w:sz="0" w:space="0" w:color="auto"/>
      </w:divBdr>
      <w:divsChild>
        <w:div w:id="647397267">
          <w:marLeft w:val="0"/>
          <w:marRight w:val="0"/>
          <w:marTop w:val="0"/>
          <w:marBottom w:val="0"/>
          <w:divBdr>
            <w:top w:val="none" w:sz="0" w:space="0" w:color="auto"/>
            <w:left w:val="none" w:sz="0" w:space="0" w:color="auto"/>
            <w:bottom w:val="none" w:sz="0" w:space="0" w:color="auto"/>
            <w:right w:val="none" w:sz="0" w:space="0" w:color="auto"/>
          </w:divBdr>
        </w:div>
      </w:divsChild>
    </w:div>
    <w:div w:id="1696690975">
      <w:bodyDiv w:val="1"/>
      <w:marLeft w:val="0"/>
      <w:marRight w:val="0"/>
      <w:marTop w:val="0"/>
      <w:marBottom w:val="0"/>
      <w:divBdr>
        <w:top w:val="none" w:sz="0" w:space="0" w:color="auto"/>
        <w:left w:val="none" w:sz="0" w:space="0" w:color="auto"/>
        <w:bottom w:val="none" w:sz="0" w:space="0" w:color="auto"/>
        <w:right w:val="none" w:sz="0" w:space="0" w:color="auto"/>
      </w:divBdr>
    </w:div>
    <w:div w:id="1819571282">
      <w:bodyDiv w:val="1"/>
      <w:marLeft w:val="0"/>
      <w:marRight w:val="0"/>
      <w:marTop w:val="0"/>
      <w:marBottom w:val="0"/>
      <w:divBdr>
        <w:top w:val="none" w:sz="0" w:space="0" w:color="auto"/>
        <w:left w:val="none" w:sz="0" w:space="0" w:color="auto"/>
        <w:bottom w:val="none" w:sz="0" w:space="0" w:color="auto"/>
        <w:right w:val="none" w:sz="0" w:space="0" w:color="auto"/>
      </w:divBdr>
    </w:div>
    <w:div w:id="1838183614">
      <w:bodyDiv w:val="1"/>
      <w:marLeft w:val="0"/>
      <w:marRight w:val="0"/>
      <w:marTop w:val="0"/>
      <w:marBottom w:val="0"/>
      <w:divBdr>
        <w:top w:val="none" w:sz="0" w:space="0" w:color="auto"/>
        <w:left w:val="none" w:sz="0" w:space="0" w:color="auto"/>
        <w:bottom w:val="none" w:sz="0" w:space="0" w:color="auto"/>
        <w:right w:val="none" w:sz="0" w:space="0" w:color="auto"/>
      </w:divBdr>
    </w:div>
    <w:div w:id="1957443133">
      <w:bodyDiv w:val="1"/>
      <w:marLeft w:val="0"/>
      <w:marRight w:val="0"/>
      <w:marTop w:val="0"/>
      <w:marBottom w:val="0"/>
      <w:divBdr>
        <w:top w:val="none" w:sz="0" w:space="0" w:color="auto"/>
        <w:left w:val="none" w:sz="0" w:space="0" w:color="auto"/>
        <w:bottom w:val="none" w:sz="0" w:space="0" w:color="auto"/>
        <w:right w:val="none" w:sz="0" w:space="0" w:color="auto"/>
      </w:divBdr>
    </w:div>
    <w:div w:id="1974822157">
      <w:bodyDiv w:val="1"/>
      <w:marLeft w:val="0"/>
      <w:marRight w:val="0"/>
      <w:marTop w:val="0"/>
      <w:marBottom w:val="0"/>
      <w:divBdr>
        <w:top w:val="none" w:sz="0" w:space="0" w:color="auto"/>
        <w:left w:val="none" w:sz="0" w:space="0" w:color="auto"/>
        <w:bottom w:val="none" w:sz="0" w:space="0" w:color="auto"/>
        <w:right w:val="none" w:sz="0" w:space="0" w:color="auto"/>
      </w:divBdr>
    </w:div>
    <w:div w:id="2080521710">
      <w:bodyDiv w:val="1"/>
      <w:marLeft w:val="0"/>
      <w:marRight w:val="0"/>
      <w:marTop w:val="0"/>
      <w:marBottom w:val="0"/>
      <w:divBdr>
        <w:top w:val="none" w:sz="0" w:space="0" w:color="auto"/>
        <w:left w:val="none" w:sz="0" w:space="0" w:color="auto"/>
        <w:bottom w:val="none" w:sz="0" w:space="0" w:color="auto"/>
        <w:right w:val="none" w:sz="0" w:space="0" w:color="auto"/>
      </w:divBdr>
    </w:div>
    <w:div w:id="214716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1232</ap:Words>
  <ap:Characters>6776</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Brief aan Parlement - Kabinetsreactie rapport Inspectie JenV - Ter Apel</vt:lpstr>
    </vt:vector>
  </ap:TitlesOfParts>
  <ap:LinksUpToDate>false</ap:LinksUpToDate>
  <ap:CharactersWithSpaces>7993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2026-04-15T13:59:00.0000000Z</dcterms:created>
  <dcterms:modified xsi:type="dcterms:W3CDTF">2026-04-15T13:59:00.0000000Z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Kabinetsreactie rapport Inspectie JenV - Ter Apel</vt:lpwstr>
  </property>
  <property fmtid="{D5CDD505-2E9C-101B-9397-08002B2CF9AE}" pid="5" name="Publicatiedatum">
    <vt:lpwstr/>
  </property>
  <property fmtid="{D5CDD505-2E9C-101B-9397-08002B2CF9AE}" pid="6" name="Verantwoordelijke organisatie">
    <vt:lpwstr>Directie Regie Migratieketen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25 maart 2026</vt:lpwstr>
  </property>
  <property fmtid="{D5CDD505-2E9C-101B-9397-08002B2CF9AE}" pid="13" name="Opgesteld door, Naam">
    <vt:lpwstr>Merel Kweekel</vt:lpwstr>
  </property>
  <property fmtid="{D5CDD505-2E9C-101B-9397-08002B2CF9AE}" pid="14" name="Opgesteld door, Telefoonnummer">
    <vt:lpwstr/>
  </property>
  <property fmtid="{D5CDD505-2E9C-101B-9397-08002B2CF9AE}" pid="15" name="Kenmerk">
    <vt:lpwstr>7481765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