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1BD7" w:rsidR="00EA68AA" w:rsidP="00EA68AA" w:rsidRDefault="00EA68AA" w14:paraId="3B724918" w14:textId="77777777">
      <w:pPr>
        <w:pStyle w:val="Salutation"/>
        <w:spacing w:line="22" w:lineRule="atLeast"/>
      </w:pPr>
      <w:bookmarkStart w:name="_GoBack" w:id="0"/>
      <w:bookmarkEnd w:id="0"/>
      <w:r w:rsidRPr="000D1BD7">
        <w:t>Geachte voorzitter,</w:t>
      </w:r>
    </w:p>
    <w:p w:rsidRPr="000D1BD7" w:rsidR="00A1686A" w:rsidP="00EA68AA" w:rsidRDefault="00EA68AA" w14:paraId="38409ACA" w14:textId="15071871">
      <w:pPr>
        <w:pStyle w:val="Default"/>
        <w:spacing w:line="22" w:lineRule="atLeast"/>
        <w:rPr>
          <w:rFonts w:ascii="Verdana" w:hAnsi="Verdana"/>
          <w:sz w:val="18"/>
          <w:szCs w:val="18"/>
        </w:rPr>
      </w:pPr>
      <w:r w:rsidRPr="000D1BD7">
        <w:rPr>
          <w:rFonts w:ascii="Verdana" w:hAnsi="Verdana"/>
          <w:sz w:val="18"/>
          <w:szCs w:val="18"/>
        </w:rPr>
        <w:t xml:space="preserve">Hierbij </w:t>
      </w:r>
      <w:r w:rsidR="003D1850">
        <w:rPr>
          <w:rFonts w:ascii="Verdana" w:hAnsi="Verdana"/>
          <w:sz w:val="18"/>
          <w:szCs w:val="18"/>
        </w:rPr>
        <w:t>bied ik</w:t>
      </w:r>
      <w:r w:rsidRPr="000D1BD7" w:rsidR="003D1850">
        <w:rPr>
          <w:rFonts w:ascii="Verdana" w:hAnsi="Verdana"/>
          <w:sz w:val="18"/>
          <w:szCs w:val="18"/>
        </w:rPr>
        <w:t xml:space="preserve"> </w:t>
      </w:r>
      <w:r w:rsidRPr="000D1BD7">
        <w:rPr>
          <w:rFonts w:ascii="Verdana" w:hAnsi="Verdana"/>
          <w:sz w:val="18"/>
          <w:szCs w:val="18"/>
        </w:rPr>
        <w:t xml:space="preserve">u </w:t>
      </w:r>
      <w:r w:rsidR="00D55E5D">
        <w:rPr>
          <w:rFonts w:ascii="Verdana" w:hAnsi="Verdana"/>
          <w:sz w:val="18"/>
          <w:szCs w:val="18"/>
        </w:rPr>
        <w:t xml:space="preserve">mede namens de staatssecretaris van </w:t>
      </w:r>
      <w:r w:rsidR="00E04D61">
        <w:rPr>
          <w:rFonts w:ascii="Verdana" w:hAnsi="Verdana"/>
          <w:sz w:val="18"/>
          <w:szCs w:val="18"/>
        </w:rPr>
        <w:t>I</w:t>
      </w:r>
      <w:r w:rsidR="00D55E5D">
        <w:rPr>
          <w:rFonts w:ascii="Verdana" w:hAnsi="Verdana"/>
          <w:sz w:val="18"/>
          <w:szCs w:val="18"/>
        </w:rPr>
        <w:t xml:space="preserve">nfrastructuur en </w:t>
      </w:r>
      <w:r w:rsidR="00E04D61">
        <w:rPr>
          <w:rFonts w:ascii="Verdana" w:hAnsi="Verdana"/>
          <w:sz w:val="18"/>
          <w:szCs w:val="18"/>
        </w:rPr>
        <w:t>W</w:t>
      </w:r>
      <w:r w:rsidR="00D55E5D">
        <w:rPr>
          <w:rFonts w:ascii="Verdana" w:hAnsi="Verdana"/>
          <w:sz w:val="18"/>
          <w:szCs w:val="18"/>
        </w:rPr>
        <w:t xml:space="preserve">aterstaat </w:t>
      </w:r>
      <w:r w:rsidRPr="000D1BD7">
        <w:rPr>
          <w:rFonts w:ascii="Verdana" w:hAnsi="Verdana"/>
          <w:sz w:val="18"/>
          <w:szCs w:val="18"/>
        </w:rPr>
        <w:t xml:space="preserve">de periodieke rapportage van beleidsartikel </w:t>
      </w:r>
      <w:r>
        <w:rPr>
          <w:rFonts w:ascii="Verdana" w:hAnsi="Verdana"/>
          <w:sz w:val="18"/>
          <w:szCs w:val="18"/>
        </w:rPr>
        <w:t>22</w:t>
      </w:r>
      <w:r w:rsidRPr="000D1BD7">
        <w:rPr>
          <w:rFonts w:ascii="Verdana" w:hAnsi="Verdana"/>
          <w:sz w:val="18"/>
          <w:szCs w:val="18"/>
        </w:rPr>
        <w:t xml:space="preserve"> </w:t>
      </w:r>
      <w:r>
        <w:rPr>
          <w:rFonts w:ascii="Verdana" w:hAnsi="Verdana"/>
          <w:sz w:val="18"/>
          <w:szCs w:val="18"/>
        </w:rPr>
        <w:t>Omgevingsveiligheid en Milieurisico’s</w:t>
      </w:r>
      <w:r w:rsidRPr="000D1BD7">
        <w:rPr>
          <w:rFonts w:ascii="Verdana" w:hAnsi="Verdana"/>
          <w:sz w:val="18"/>
          <w:szCs w:val="18"/>
        </w:rPr>
        <w:t xml:space="preserve"> van </w:t>
      </w:r>
      <w:r w:rsidR="003D1850">
        <w:rPr>
          <w:rFonts w:ascii="Verdana" w:hAnsi="Verdana"/>
          <w:sz w:val="18"/>
          <w:szCs w:val="18"/>
        </w:rPr>
        <w:t xml:space="preserve">hoofdstuk XII </w:t>
      </w:r>
      <w:r w:rsidR="00AA73EF">
        <w:rPr>
          <w:rFonts w:ascii="Verdana" w:hAnsi="Verdana"/>
          <w:sz w:val="18"/>
          <w:szCs w:val="18"/>
        </w:rPr>
        <w:t xml:space="preserve">Infrastructuur en Waterstaat van de Rijksbegroting aan. Dit is in navolging op mijn brief van </w:t>
      </w:r>
      <w:r w:rsidR="00FE4EB4">
        <w:rPr>
          <w:rFonts w:ascii="Verdana" w:hAnsi="Verdana"/>
          <w:sz w:val="18"/>
          <w:szCs w:val="18"/>
        </w:rPr>
        <w:t>23 september 2024</w:t>
      </w:r>
      <w:r w:rsidR="00AA73EF">
        <w:rPr>
          <w:rFonts w:ascii="Verdana" w:hAnsi="Verdana"/>
          <w:sz w:val="18"/>
          <w:szCs w:val="18"/>
        </w:rPr>
        <w:t>, waarin ik uw Kamer heb geïnformeerd over het voornemen, de opzet en de afbakening van deze periodieke rapportage.</w:t>
      </w:r>
      <w:r w:rsidR="00AF6652">
        <w:rPr>
          <w:rStyle w:val="FootnoteReference"/>
          <w:rFonts w:ascii="Verdana" w:hAnsi="Verdana"/>
          <w:sz w:val="18"/>
          <w:szCs w:val="18"/>
        </w:rPr>
        <w:footnoteReference w:id="1"/>
      </w:r>
      <w:r w:rsidR="00FE4EB4">
        <w:rPr>
          <w:rFonts w:ascii="Verdana" w:hAnsi="Verdana"/>
          <w:sz w:val="18"/>
          <w:szCs w:val="18"/>
        </w:rPr>
        <w:t xml:space="preserve"> Met deze brief, het bijbehorende rapport van onderzoeksbureau Decisio en de externe </w:t>
      </w:r>
      <w:r w:rsidRPr="00E07370" w:rsidR="004C38FF">
        <w:rPr>
          <w:rFonts w:ascii="Verdana" w:hAnsi="Verdana"/>
          <w:color w:val="auto"/>
          <w:sz w:val="18"/>
          <w:szCs w:val="18"/>
        </w:rPr>
        <w:t>beoordelin</w:t>
      </w:r>
      <w:r w:rsidRPr="000E7941" w:rsidR="004C38FF">
        <w:rPr>
          <w:rFonts w:ascii="Verdana" w:hAnsi="Verdana"/>
          <w:color w:val="auto"/>
          <w:sz w:val="18"/>
          <w:szCs w:val="18"/>
        </w:rPr>
        <w:t>gen</w:t>
      </w:r>
      <w:r w:rsidR="00FE4EB4">
        <w:rPr>
          <w:rFonts w:ascii="Verdana" w:hAnsi="Verdana"/>
          <w:sz w:val="18"/>
          <w:szCs w:val="18"/>
        </w:rPr>
        <w:t xml:space="preserve"> van</w:t>
      </w:r>
      <w:r w:rsidR="003E0FF5">
        <w:rPr>
          <w:rFonts w:ascii="Verdana" w:hAnsi="Verdana"/>
          <w:sz w:val="18"/>
          <w:szCs w:val="18"/>
        </w:rPr>
        <w:t xml:space="preserve"> twee</w:t>
      </w:r>
      <w:r w:rsidR="00FE4EB4">
        <w:rPr>
          <w:rFonts w:ascii="Verdana" w:hAnsi="Verdana"/>
          <w:sz w:val="18"/>
          <w:szCs w:val="18"/>
        </w:rPr>
        <w:t xml:space="preserve"> onafhankelijk deskundigen geef ik hier opvolging aan.</w:t>
      </w:r>
    </w:p>
    <w:p w:rsidR="00EA68AA" w:rsidP="00EA68AA" w:rsidRDefault="00EA68AA" w14:paraId="661EB044" w14:textId="77777777">
      <w:pPr>
        <w:pStyle w:val="Default"/>
        <w:spacing w:line="22" w:lineRule="atLeast"/>
        <w:rPr>
          <w:rFonts w:ascii="Verdana" w:hAnsi="Verdana"/>
          <w:sz w:val="18"/>
          <w:szCs w:val="18"/>
        </w:rPr>
      </w:pPr>
    </w:p>
    <w:p w:rsidR="00EA68AA" w:rsidP="00EA68AA" w:rsidRDefault="00EA68AA" w14:paraId="425D17D7" w14:textId="1753709B">
      <w:pPr>
        <w:pStyle w:val="Default"/>
        <w:spacing w:line="22" w:lineRule="atLeast"/>
        <w:rPr>
          <w:rFonts w:ascii="Verdana" w:hAnsi="Verdana"/>
          <w:sz w:val="18"/>
          <w:szCs w:val="18"/>
        </w:rPr>
      </w:pPr>
      <w:r w:rsidRPr="000D1BD7">
        <w:rPr>
          <w:rFonts w:ascii="Verdana" w:hAnsi="Verdana"/>
          <w:sz w:val="18"/>
          <w:szCs w:val="18"/>
        </w:rPr>
        <w:t xml:space="preserve">De </w:t>
      </w:r>
      <w:r>
        <w:rPr>
          <w:rFonts w:ascii="Verdana" w:hAnsi="Verdana"/>
          <w:sz w:val="18"/>
          <w:szCs w:val="18"/>
        </w:rPr>
        <w:t>periodieke rapportage</w:t>
      </w:r>
      <w:r w:rsidRPr="000D1BD7">
        <w:rPr>
          <w:rFonts w:ascii="Verdana" w:hAnsi="Verdana"/>
          <w:sz w:val="18"/>
          <w:szCs w:val="18"/>
        </w:rPr>
        <w:t xml:space="preserve"> </w:t>
      </w:r>
      <w:r w:rsidR="00A1686A">
        <w:rPr>
          <w:rFonts w:ascii="Verdana" w:hAnsi="Verdana"/>
          <w:sz w:val="18"/>
          <w:szCs w:val="18"/>
        </w:rPr>
        <w:t xml:space="preserve">is een sluitstuk van de Strategische Evaluatieagenda (SEA). Het </w:t>
      </w:r>
      <w:r w:rsidR="009E334C">
        <w:rPr>
          <w:rFonts w:ascii="Verdana" w:hAnsi="Verdana"/>
          <w:sz w:val="18"/>
          <w:szCs w:val="18"/>
        </w:rPr>
        <w:t xml:space="preserve">betreft </w:t>
      </w:r>
      <w:r w:rsidRPr="000D1BD7">
        <w:rPr>
          <w:rFonts w:ascii="Verdana" w:hAnsi="Verdana"/>
          <w:sz w:val="18"/>
          <w:szCs w:val="18"/>
        </w:rPr>
        <w:t>een syntheseonderzoek dat is gebaseerd op bestaande evaluaties</w:t>
      </w:r>
      <w:r w:rsidR="003E0FF5">
        <w:rPr>
          <w:rFonts w:ascii="Verdana" w:hAnsi="Verdana"/>
          <w:sz w:val="18"/>
          <w:szCs w:val="18"/>
        </w:rPr>
        <w:t xml:space="preserve"> en andere </w:t>
      </w:r>
      <w:r w:rsidR="005218FE">
        <w:rPr>
          <w:rFonts w:ascii="Verdana" w:hAnsi="Verdana"/>
          <w:sz w:val="18"/>
          <w:szCs w:val="18"/>
        </w:rPr>
        <w:t xml:space="preserve">relevante </w:t>
      </w:r>
      <w:r w:rsidR="003E0FF5">
        <w:rPr>
          <w:rFonts w:ascii="Verdana" w:hAnsi="Verdana"/>
          <w:sz w:val="18"/>
          <w:szCs w:val="18"/>
        </w:rPr>
        <w:t xml:space="preserve">bronnen, zoals </w:t>
      </w:r>
      <w:r w:rsidRPr="000D1BD7">
        <w:rPr>
          <w:rFonts w:ascii="Verdana" w:hAnsi="Verdana"/>
          <w:sz w:val="18"/>
          <w:szCs w:val="18"/>
        </w:rPr>
        <w:t>voortgang</w:t>
      </w:r>
      <w:r w:rsidR="00A1686A">
        <w:rPr>
          <w:rFonts w:ascii="Verdana" w:hAnsi="Verdana"/>
          <w:sz w:val="18"/>
          <w:szCs w:val="18"/>
        </w:rPr>
        <w:t>s</w:t>
      </w:r>
      <w:r w:rsidRPr="000D1BD7">
        <w:rPr>
          <w:rFonts w:ascii="Verdana" w:hAnsi="Verdana"/>
          <w:sz w:val="18"/>
          <w:szCs w:val="18"/>
        </w:rPr>
        <w:t>rapportages en</w:t>
      </w:r>
      <w:r w:rsidR="003E0FF5">
        <w:rPr>
          <w:rFonts w:ascii="Verdana" w:hAnsi="Verdana"/>
          <w:sz w:val="18"/>
          <w:szCs w:val="18"/>
        </w:rPr>
        <w:t xml:space="preserve"> interviews.</w:t>
      </w:r>
      <w:r w:rsidRPr="000D1BD7">
        <w:rPr>
          <w:rFonts w:ascii="Verdana" w:hAnsi="Verdana"/>
          <w:sz w:val="18"/>
          <w:szCs w:val="18"/>
        </w:rPr>
        <w:t xml:space="preserve"> </w:t>
      </w:r>
      <w:r w:rsidR="00AF6652">
        <w:rPr>
          <w:rFonts w:ascii="Verdana" w:hAnsi="Verdana"/>
          <w:sz w:val="18"/>
          <w:szCs w:val="18"/>
        </w:rPr>
        <w:t xml:space="preserve">Het doel </w:t>
      </w:r>
      <w:r w:rsidR="00F87054">
        <w:rPr>
          <w:rFonts w:ascii="Verdana" w:hAnsi="Verdana"/>
          <w:sz w:val="18"/>
          <w:szCs w:val="18"/>
        </w:rPr>
        <w:t>van</w:t>
      </w:r>
      <w:r w:rsidR="009E334C">
        <w:rPr>
          <w:rFonts w:ascii="Verdana" w:hAnsi="Verdana"/>
          <w:sz w:val="18"/>
          <w:szCs w:val="18"/>
        </w:rPr>
        <w:t xml:space="preserve"> de rapportage</w:t>
      </w:r>
      <w:r w:rsidR="00AF6652">
        <w:rPr>
          <w:rFonts w:ascii="Verdana" w:hAnsi="Verdana"/>
          <w:sz w:val="18"/>
          <w:szCs w:val="18"/>
        </w:rPr>
        <w:t xml:space="preserve"> is om inzicht</w:t>
      </w:r>
      <w:r w:rsidR="00A1686A">
        <w:rPr>
          <w:rFonts w:ascii="Verdana" w:hAnsi="Verdana"/>
          <w:sz w:val="18"/>
          <w:szCs w:val="18"/>
        </w:rPr>
        <w:t xml:space="preserve"> te </w:t>
      </w:r>
      <w:r w:rsidR="009E334C">
        <w:rPr>
          <w:rFonts w:ascii="Verdana" w:hAnsi="Verdana"/>
          <w:sz w:val="18"/>
          <w:szCs w:val="18"/>
        </w:rPr>
        <w:t>bieden</w:t>
      </w:r>
      <w:r w:rsidR="00A1686A">
        <w:rPr>
          <w:rFonts w:ascii="Verdana" w:hAnsi="Verdana"/>
          <w:sz w:val="18"/>
          <w:szCs w:val="18"/>
        </w:rPr>
        <w:t xml:space="preserve"> in de doeltreffendheid en doelmatigheid van het gevoerde beleid </w:t>
      </w:r>
      <w:r w:rsidR="004537DB">
        <w:rPr>
          <w:rFonts w:ascii="Verdana" w:hAnsi="Verdana"/>
          <w:sz w:val="18"/>
          <w:szCs w:val="18"/>
        </w:rPr>
        <w:t xml:space="preserve">bij </w:t>
      </w:r>
      <w:r w:rsidR="00A1686A">
        <w:rPr>
          <w:rFonts w:ascii="Verdana" w:hAnsi="Verdana"/>
          <w:sz w:val="18"/>
          <w:szCs w:val="18"/>
        </w:rPr>
        <w:t>het betreffende be</w:t>
      </w:r>
      <w:r w:rsidR="004537DB">
        <w:rPr>
          <w:rFonts w:ascii="Verdana" w:hAnsi="Verdana"/>
          <w:sz w:val="18"/>
          <w:szCs w:val="18"/>
        </w:rPr>
        <w:t>leidsthema</w:t>
      </w:r>
      <w:r w:rsidR="00A1686A">
        <w:rPr>
          <w:rFonts w:ascii="Verdana" w:hAnsi="Verdana"/>
          <w:sz w:val="18"/>
          <w:szCs w:val="18"/>
        </w:rPr>
        <w:t xml:space="preserve"> en de voorwaarden daarvoor </w:t>
      </w:r>
      <w:r w:rsidRPr="000D1BD7">
        <w:rPr>
          <w:rFonts w:ascii="Verdana" w:hAnsi="Verdana"/>
          <w:sz w:val="18"/>
          <w:szCs w:val="18"/>
        </w:rPr>
        <w:t xml:space="preserve">Bij </w:t>
      </w:r>
      <w:r w:rsidR="0077310C">
        <w:rPr>
          <w:rFonts w:ascii="Verdana" w:hAnsi="Verdana"/>
          <w:sz w:val="18"/>
          <w:szCs w:val="18"/>
        </w:rPr>
        <w:t>het opstellen</w:t>
      </w:r>
      <w:r w:rsidRPr="000D1BD7">
        <w:rPr>
          <w:rFonts w:ascii="Verdana" w:hAnsi="Verdana"/>
          <w:sz w:val="18"/>
          <w:szCs w:val="18"/>
        </w:rPr>
        <w:t xml:space="preserve"> van de </w:t>
      </w:r>
      <w:r w:rsidR="00A1686A">
        <w:rPr>
          <w:rFonts w:ascii="Verdana" w:hAnsi="Verdana"/>
          <w:sz w:val="18"/>
          <w:szCs w:val="18"/>
        </w:rPr>
        <w:t>periodieke rapportage</w:t>
      </w:r>
      <w:r w:rsidRPr="000D1BD7" w:rsidR="00A1686A">
        <w:rPr>
          <w:rFonts w:ascii="Verdana" w:hAnsi="Verdana"/>
          <w:sz w:val="18"/>
          <w:szCs w:val="18"/>
        </w:rPr>
        <w:t xml:space="preserve"> </w:t>
      </w:r>
      <w:r w:rsidRPr="000D1BD7">
        <w:rPr>
          <w:rFonts w:ascii="Verdana" w:hAnsi="Verdana"/>
          <w:sz w:val="18"/>
          <w:szCs w:val="18"/>
        </w:rPr>
        <w:t xml:space="preserve">zijn de </w:t>
      </w:r>
      <w:r>
        <w:rPr>
          <w:rFonts w:ascii="Verdana" w:hAnsi="Verdana"/>
          <w:sz w:val="18"/>
          <w:szCs w:val="18"/>
        </w:rPr>
        <w:t>criteria</w:t>
      </w:r>
      <w:r w:rsidRPr="000D1BD7">
        <w:rPr>
          <w:rFonts w:ascii="Verdana" w:hAnsi="Verdana"/>
          <w:sz w:val="18"/>
          <w:szCs w:val="18"/>
        </w:rPr>
        <w:t xml:space="preserve"> uit de Regeling periodiek evaluatieonderzoek </w:t>
      </w:r>
      <w:r w:rsidR="0023478E">
        <w:rPr>
          <w:rFonts w:ascii="Verdana" w:hAnsi="Verdana"/>
          <w:sz w:val="18"/>
          <w:szCs w:val="18"/>
        </w:rPr>
        <w:t xml:space="preserve">2022 </w:t>
      </w:r>
      <w:r w:rsidRPr="000D1BD7">
        <w:rPr>
          <w:rFonts w:ascii="Verdana" w:hAnsi="Verdana"/>
          <w:sz w:val="18"/>
          <w:szCs w:val="18"/>
        </w:rPr>
        <w:t xml:space="preserve">(RPE) </w:t>
      </w:r>
      <w:r w:rsidR="004537DB">
        <w:rPr>
          <w:rFonts w:ascii="Verdana" w:hAnsi="Verdana"/>
          <w:sz w:val="18"/>
          <w:szCs w:val="18"/>
        </w:rPr>
        <w:t>gevolgd</w:t>
      </w:r>
      <w:r>
        <w:rPr>
          <w:rFonts w:ascii="Verdana" w:hAnsi="Verdana"/>
          <w:sz w:val="18"/>
          <w:szCs w:val="18"/>
        </w:rPr>
        <w:t>.</w:t>
      </w:r>
      <w:r w:rsidR="003E0FF5">
        <w:rPr>
          <w:rFonts w:ascii="Verdana" w:hAnsi="Verdana"/>
          <w:sz w:val="18"/>
          <w:szCs w:val="18"/>
        </w:rPr>
        <w:t xml:space="preserve"> </w:t>
      </w:r>
      <w:r w:rsidRPr="00E91C9A">
        <w:rPr>
          <w:rFonts w:ascii="Verdana" w:hAnsi="Verdana"/>
          <w:sz w:val="18"/>
          <w:szCs w:val="18"/>
        </w:rPr>
        <w:t xml:space="preserve">Daarbij is ook rekening gehouden met de aandachtspunten die door </w:t>
      </w:r>
      <w:r>
        <w:rPr>
          <w:rFonts w:ascii="Verdana" w:hAnsi="Verdana"/>
          <w:sz w:val="18"/>
          <w:szCs w:val="18"/>
        </w:rPr>
        <w:t>de</w:t>
      </w:r>
      <w:r w:rsidRPr="00E91C9A">
        <w:rPr>
          <w:rFonts w:ascii="Verdana" w:hAnsi="Verdana"/>
          <w:sz w:val="18"/>
          <w:szCs w:val="18"/>
        </w:rPr>
        <w:t xml:space="preserve"> Kamer zijn meegegeven</w:t>
      </w:r>
      <w:r>
        <w:rPr>
          <w:rFonts w:ascii="Verdana" w:hAnsi="Verdana"/>
          <w:sz w:val="18"/>
          <w:szCs w:val="18"/>
        </w:rPr>
        <w:t>.</w:t>
      </w:r>
      <w:r w:rsidR="004C18D2">
        <w:rPr>
          <w:rStyle w:val="FootnoteReference"/>
          <w:rFonts w:ascii="Verdana" w:hAnsi="Verdana"/>
          <w:sz w:val="18"/>
          <w:szCs w:val="18"/>
        </w:rPr>
        <w:footnoteReference w:id="2"/>
      </w:r>
    </w:p>
    <w:p w:rsidR="00EA68AA" w:rsidP="00EA68AA" w:rsidRDefault="00EA68AA" w14:paraId="0868659B" w14:textId="77777777">
      <w:pPr>
        <w:pStyle w:val="Default"/>
        <w:spacing w:line="22" w:lineRule="atLeast"/>
        <w:rPr>
          <w:rFonts w:ascii="Verdana" w:hAnsi="Verdana"/>
          <w:sz w:val="18"/>
          <w:szCs w:val="18"/>
        </w:rPr>
      </w:pPr>
    </w:p>
    <w:p w:rsidR="00EA68AA" w:rsidP="00EA68AA" w:rsidRDefault="004B34A2" w14:paraId="280E9E43" w14:textId="7345810C">
      <w:pPr>
        <w:pStyle w:val="Default"/>
        <w:spacing w:line="22" w:lineRule="atLeast"/>
        <w:rPr>
          <w:rFonts w:ascii="Verdana" w:hAnsi="Verdana"/>
          <w:sz w:val="18"/>
          <w:szCs w:val="18"/>
        </w:rPr>
      </w:pPr>
      <w:r>
        <w:rPr>
          <w:rFonts w:ascii="Verdana" w:hAnsi="Verdana"/>
          <w:sz w:val="18"/>
          <w:szCs w:val="18"/>
        </w:rPr>
        <w:t xml:space="preserve">Onafhankelijk deskundigen prof. dr. </w:t>
      </w:r>
      <w:r w:rsidR="00EA68AA">
        <w:rPr>
          <w:rFonts w:ascii="Verdana" w:hAnsi="Verdana"/>
          <w:sz w:val="18"/>
          <w:szCs w:val="18"/>
        </w:rPr>
        <w:t>Carl Koopmans (SEO</w:t>
      </w:r>
      <w:r w:rsidR="0023478E">
        <w:rPr>
          <w:rFonts w:ascii="Verdana" w:hAnsi="Verdana"/>
          <w:sz w:val="18"/>
          <w:szCs w:val="18"/>
        </w:rPr>
        <w:t xml:space="preserve"> Economisch Onderzoek</w:t>
      </w:r>
      <w:r w:rsidR="00EA68AA">
        <w:rPr>
          <w:rFonts w:ascii="Verdana" w:hAnsi="Verdana"/>
          <w:sz w:val="18"/>
          <w:szCs w:val="18"/>
        </w:rPr>
        <w:t xml:space="preserve">) en </w:t>
      </w:r>
      <w:r>
        <w:rPr>
          <w:rFonts w:ascii="Verdana" w:hAnsi="Verdana"/>
          <w:sz w:val="18"/>
          <w:szCs w:val="18"/>
        </w:rPr>
        <w:t xml:space="preserve">dr. </w:t>
      </w:r>
      <w:r w:rsidR="00EA68AA">
        <w:rPr>
          <w:rFonts w:ascii="Verdana" w:hAnsi="Verdana"/>
          <w:sz w:val="18"/>
          <w:szCs w:val="18"/>
        </w:rPr>
        <w:t xml:space="preserve">Edwin van der Werf </w:t>
      </w:r>
      <w:r w:rsidR="0023478E">
        <w:rPr>
          <w:rFonts w:ascii="Verdana" w:hAnsi="Verdana"/>
          <w:sz w:val="18"/>
          <w:szCs w:val="18"/>
        </w:rPr>
        <w:t xml:space="preserve">(Planbureau voor de Leefomgeving) </w:t>
      </w:r>
      <w:r w:rsidR="00EA68AA">
        <w:rPr>
          <w:rFonts w:ascii="Verdana" w:hAnsi="Verdana"/>
          <w:sz w:val="18"/>
          <w:szCs w:val="18"/>
        </w:rPr>
        <w:t xml:space="preserve">hebben </w:t>
      </w:r>
      <w:r w:rsidR="0023478E">
        <w:rPr>
          <w:rFonts w:ascii="Verdana" w:hAnsi="Verdana"/>
          <w:sz w:val="18"/>
          <w:szCs w:val="18"/>
        </w:rPr>
        <w:t xml:space="preserve">een </w:t>
      </w:r>
      <w:r w:rsidR="00EA68AA">
        <w:rPr>
          <w:rFonts w:ascii="Verdana" w:hAnsi="Verdana"/>
          <w:sz w:val="18"/>
          <w:szCs w:val="18"/>
        </w:rPr>
        <w:t xml:space="preserve">oordeel opgesteld </w:t>
      </w:r>
      <w:r w:rsidR="0023478E">
        <w:rPr>
          <w:rFonts w:ascii="Verdana" w:hAnsi="Verdana"/>
          <w:sz w:val="18"/>
          <w:szCs w:val="18"/>
        </w:rPr>
        <w:t xml:space="preserve">over </w:t>
      </w:r>
      <w:r w:rsidR="007264EB">
        <w:rPr>
          <w:rFonts w:ascii="Verdana" w:hAnsi="Verdana"/>
          <w:sz w:val="18"/>
          <w:szCs w:val="18"/>
        </w:rPr>
        <w:t xml:space="preserve">de validiteit en betrouwbaarheid van de bevindingen van </w:t>
      </w:r>
      <w:r w:rsidR="0023478E">
        <w:rPr>
          <w:rFonts w:ascii="Verdana" w:hAnsi="Verdana"/>
          <w:sz w:val="18"/>
          <w:szCs w:val="18"/>
        </w:rPr>
        <w:t>de periodieke rapportage. D</w:t>
      </w:r>
      <w:r w:rsidR="00EA68AA">
        <w:rPr>
          <w:rFonts w:ascii="Verdana" w:hAnsi="Verdana"/>
          <w:sz w:val="18"/>
          <w:szCs w:val="18"/>
        </w:rPr>
        <w:t xml:space="preserve">eze </w:t>
      </w:r>
      <w:r w:rsidRPr="000E7941" w:rsidR="00EA68AA">
        <w:rPr>
          <w:rFonts w:ascii="Verdana" w:hAnsi="Verdana"/>
          <w:color w:val="auto"/>
          <w:sz w:val="18"/>
          <w:szCs w:val="18"/>
        </w:rPr>
        <w:t>review</w:t>
      </w:r>
      <w:r w:rsidRPr="000E7941" w:rsidR="00E07370">
        <w:rPr>
          <w:rFonts w:ascii="Verdana" w:hAnsi="Verdana"/>
          <w:color w:val="auto"/>
          <w:sz w:val="18"/>
          <w:szCs w:val="18"/>
        </w:rPr>
        <w:t>s</w:t>
      </w:r>
      <w:r w:rsidRPr="000E7941" w:rsidR="00EA68AA">
        <w:rPr>
          <w:rFonts w:ascii="Verdana" w:hAnsi="Verdana"/>
          <w:color w:val="auto"/>
          <w:sz w:val="18"/>
          <w:szCs w:val="18"/>
        </w:rPr>
        <w:t xml:space="preserve"> </w:t>
      </w:r>
      <w:r w:rsidR="00F948B2">
        <w:rPr>
          <w:rFonts w:ascii="Verdana" w:hAnsi="Verdana"/>
          <w:color w:val="auto"/>
          <w:sz w:val="18"/>
          <w:szCs w:val="18"/>
        </w:rPr>
        <w:t>vindt u als bijlagen bij deze brief.</w:t>
      </w:r>
    </w:p>
    <w:p w:rsidR="00517C39" w:rsidP="00EA68AA" w:rsidRDefault="00EA68AA" w14:paraId="5FDC9BA7" w14:textId="6600F50A">
      <w:pPr>
        <w:pStyle w:val="Slotzin"/>
        <w:spacing w:line="22" w:lineRule="atLeast"/>
        <w:rPr>
          <w:color w:val="211D1F"/>
        </w:rPr>
      </w:pPr>
      <w:r>
        <w:rPr>
          <w:color w:val="211D1F"/>
        </w:rPr>
        <w:t xml:space="preserve">In deze brief worden de </w:t>
      </w:r>
      <w:r w:rsidRPr="00A30433">
        <w:rPr>
          <w:color w:val="211D1F"/>
        </w:rPr>
        <w:t>conclusies en aanbevelingen uit de periodieke rapportage genoemd</w:t>
      </w:r>
      <w:r w:rsidR="00A004E9">
        <w:rPr>
          <w:color w:val="211D1F"/>
        </w:rPr>
        <w:t>. D</w:t>
      </w:r>
      <w:r>
        <w:rPr>
          <w:color w:val="211D1F"/>
        </w:rPr>
        <w:t xml:space="preserve">aarbij </w:t>
      </w:r>
      <w:r w:rsidR="00A004E9">
        <w:rPr>
          <w:color w:val="211D1F"/>
        </w:rPr>
        <w:t xml:space="preserve">wordt </w:t>
      </w:r>
      <w:r>
        <w:rPr>
          <w:color w:val="211D1F"/>
        </w:rPr>
        <w:t xml:space="preserve">aangeven hoe </w:t>
      </w:r>
      <w:r w:rsidR="00261DF8">
        <w:rPr>
          <w:color w:val="211D1F"/>
        </w:rPr>
        <w:t>opvolging</w:t>
      </w:r>
      <w:r>
        <w:rPr>
          <w:color w:val="211D1F"/>
        </w:rPr>
        <w:t xml:space="preserve"> </w:t>
      </w:r>
      <w:r w:rsidR="00A004E9">
        <w:rPr>
          <w:color w:val="211D1F"/>
        </w:rPr>
        <w:t>wordt</w:t>
      </w:r>
      <w:r w:rsidR="00261DF8">
        <w:rPr>
          <w:color w:val="211D1F"/>
        </w:rPr>
        <w:t xml:space="preserve"> </w:t>
      </w:r>
      <w:r>
        <w:rPr>
          <w:color w:val="211D1F"/>
        </w:rPr>
        <w:t>gegeven</w:t>
      </w:r>
      <w:r w:rsidR="00261DF8">
        <w:rPr>
          <w:color w:val="211D1F"/>
        </w:rPr>
        <w:t xml:space="preserve"> </w:t>
      </w:r>
      <w:r w:rsidR="00517C39">
        <w:rPr>
          <w:color w:val="211D1F"/>
        </w:rPr>
        <w:t>aan de aanbevelingen</w:t>
      </w:r>
      <w:r w:rsidR="00261DF8">
        <w:rPr>
          <w:color w:val="211D1F"/>
        </w:rPr>
        <w:t>.</w:t>
      </w:r>
    </w:p>
    <w:p w:rsidRPr="003D5E80" w:rsidR="003D5E80" w:rsidP="003D5E80" w:rsidRDefault="003D5E80" w14:paraId="0710B4B4" w14:textId="77777777"/>
    <w:p w:rsidRPr="00517C39" w:rsidR="00EA68AA" w:rsidP="00517C39" w:rsidRDefault="00EA68AA" w14:paraId="7593B874" w14:textId="0E477AEA">
      <w:pPr>
        <w:pStyle w:val="Slotzin"/>
        <w:spacing w:before="0" w:line="22" w:lineRule="atLeast"/>
        <w:rPr>
          <w:color w:val="211D1F"/>
        </w:rPr>
      </w:pPr>
      <w:r w:rsidRPr="00A30433">
        <w:rPr>
          <w:b/>
          <w:bCs/>
          <w:color w:val="211D1F"/>
        </w:rPr>
        <w:t xml:space="preserve">Conclusies </w:t>
      </w:r>
      <w:r>
        <w:rPr>
          <w:b/>
          <w:bCs/>
          <w:color w:val="211D1F"/>
        </w:rPr>
        <w:t xml:space="preserve">en aanbevelingen </w:t>
      </w:r>
      <w:r w:rsidRPr="00A30433">
        <w:rPr>
          <w:b/>
          <w:bCs/>
          <w:color w:val="211D1F"/>
        </w:rPr>
        <w:t>van de periodieke rapportage</w:t>
      </w:r>
    </w:p>
    <w:p w:rsidR="00092C70" w:rsidP="00EA68AA" w:rsidRDefault="00092C70" w14:paraId="4DA1E08C" w14:textId="77777777"/>
    <w:p w:rsidRPr="00092C70" w:rsidR="00092C70" w:rsidP="00EA68AA" w:rsidRDefault="00092C70" w14:paraId="114E951E" w14:textId="28700BC4">
      <w:pPr>
        <w:rPr>
          <w:i/>
          <w:iCs/>
        </w:rPr>
      </w:pPr>
      <w:r>
        <w:rPr>
          <w:i/>
          <w:iCs/>
        </w:rPr>
        <w:t>Conclusies</w:t>
      </w:r>
    </w:p>
    <w:p w:rsidR="009A2452" w:rsidP="00EA68AA" w:rsidRDefault="009657B6" w14:paraId="3FE60318" w14:textId="775181BD">
      <w:bookmarkStart w:name="_Hlk220589035" w:id="2"/>
      <w:r>
        <w:t xml:space="preserve">De onderzoekers </w:t>
      </w:r>
      <w:r w:rsidR="00017C2A">
        <w:t>trekken de volgende c</w:t>
      </w:r>
      <w:r w:rsidR="001E035E">
        <w:t>onclusies</w:t>
      </w:r>
      <w:r w:rsidR="009A2452">
        <w:t>:</w:t>
      </w:r>
    </w:p>
    <w:p w:rsidR="009A2452" w:rsidP="00EA68AA" w:rsidRDefault="001E035E" w14:paraId="6D810631" w14:textId="03D4E20D">
      <w:pPr>
        <w:pStyle w:val="ListParagraph"/>
        <w:numPr>
          <w:ilvl w:val="0"/>
          <w:numId w:val="32"/>
        </w:numPr>
      </w:pPr>
      <w:r>
        <w:t>D</w:t>
      </w:r>
      <w:r w:rsidR="00016494">
        <w:t xml:space="preserve">e </w:t>
      </w:r>
      <w:r w:rsidR="009854B1">
        <w:t xml:space="preserve">structuur van de begroting </w:t>
      </w:r>
      <w:r>
        <w:t xml:space="preserve">sluit </w:t>
      </w:r>
      <w:r w:rsidR="009854B1">
        <w:t>onvoldoende aan op de inhoudelijke organisatie en de doelenbomen van de directie.</w:t>
      </w:r>
    </w:p>
    <w:p w:rsidR="009A2452" w:rsidP="00EA68AA" w:rsidRDefault="001E035E" w14:paraId="3B624FEA" w14:textId="6E13F4ED">
      <w:pPr>
        <w:pStyle w:val="ListParagraph"/>
        <w:numPr>
          <w:ilvl w:val="0"/>
          <w:numId w:val="32"/>
        </w:numPr>
      </w:pPr>
      <w:r>
        <w:lastRenderedPageBreak/>
        <w:t>H</w:t>
      </w:r>
      <w:r w:rsidR="009854B1">
        <w:t xml:space="preserve">et beschikbare </w:t>
      </w:r>
      <w:r w:rsidR="009657B6">
        <w:t>e</w:t>
      </w:r>
      <w:r w:rsidR="009854B1">
        <w:t xml:space="preserve">valuatiemateriaal toont </w:t>
      </w:r>
      <w:r>
        <w:t xml:space="preserve">aan </w:t>
      </w:r>
      <w:r w:rsidR="009854B1">
        <w:t xml:space="preserve">dat de beleidsinzet in het algemeen als doeltreffend kan worden beschouwd. Wel constateren </w:t>
      </w:r>
      <w:r w:rsidR="00B512E2">
        <w:t>de onderzoekers</w:t>
      </w:r>
      <w:r w:rsidR="009854B1">
        <w:t xml:space="preserve"> dat de </w:t>
      </w:r>
      <w:r w:rsidR="009657B6">
        <w:t xml:space="preserve">beschikbare </w:t>
      </w:r>
      <w:r w:rsidR="009854B1">
        <w:t xml:space="preserve">indicatoren en </w:t>
      </w:r>
      <w:r w:rsidR="009657B6">
        <w:t>monitor</w:t>
      </w:r>
      <w:r w:rsidR="009A2452">
        <w:t>s</w:t>
      </w:r>
      <w:r w:rsidR="009657B6">
        <w:t xml:space="preserve"> </w:t>
      </w:r>
      <w:r w:rsidR="009854B1">
        <w:t>beperkt inzicht geven in het bereiken van de hoofddoelen</w:t>
      </w:r>
      <w:r w:rsidR="00017C2A">
        <w:t xml:space="preserve">, </w:t>
      </w:r>
      <w:r w:rsidR="009854B1">
        <w:t>de outcome</w:t>
      </w:r>
      <w:r w:rsidR="00017C2A">
        <w:t xml:space="preserve">, </w:t>
      </w:r>
      <w:r w:rsidR="00B512E2">
        <w:t>en</w:t>
      </w:r>
      <w:r w:rsidR="00017C2A">
        <w:t xml:space="preserve"> zich vooral</w:t>
      </w:r>
      <w:r w:rsidR="009854B1">
        <w:t xml:space="preserve"> richten op</w:t>
      </w:r>
      <w:r w:rsidR="00017C2A">
        <w:t xml:space="preserve"> de</w:t>
      </w:r>
      <w:r w:rsidR="009854B1">
        <w:t xml:space="preserve"> output</w:t>
      </w:r>
      <w:r w:rsidR="00017C2A">
        <w:t xml:space="preserve"> (</w:t>
      </w:r>
      <w:r w:rsidRPr="00017C2A" w:rsidR="00017C2A">
        <w:t>activiteiten, inspecties, meldingen)</w:t>
      </w:r>
      <w:r w:rsidR="00017C2A">
        <w:t xml:space="preserve">. Ook </w:t>
      </w:r>
      <w:r>
        <w:t>is de effectiviteit en efficiëntie van samenwerkingsprogramma’s en convenanten wisselend.</w:t>
      </w:r>
    </w:p>
    <w:p w:rsidR="00A004E9" w:rsidP="00EA68AA" w:rsidRDefault="001E035E" w14:paraId="7CF81B3C" w14:textId="4EC9A393">
      <w:pPr>
        <w:pStyle w:val="ListParagraph"/>
        <w:numPr>
          <w:ilvl w:val="0"/>
          <w:numId w:val="32"/>
        </w:numPr>
      </w:pPr>
      <w:r>
        <w:t>D</w:t>
      </w:r>
      <w:r w:rsidRPr="001E035E">
        <w:t xml:space="preserve">e belangrijkste thema’s waar het ministerie de afgelopen jaren inzet op heeft gepleegd </w:t>
      </w:r>
      <w:r>
        <w:t xml:space="preserve">zijn </w:t>
      </w:r>
      <w:r w:rsidRPr="001E035E">
        <w:t xml:space="preserve">geëvalueerd. </w:t>
      </w:r>
      <w:r>
        <w:t>D</w:t>
      </w:r>
      <w:r w:rsidRPr="001E035E">
        <w:t>e publieke verantwoording over de inzet van agentschappen</w:t>
      </w:r>
      <w:r>
        <w:t xml:space="preserve"> en informatie over de veiligheidsbeleving van inwoners</w:t>
      </w:r>
      <w:r w:rsidRPr="001E035E">
        <w:t xml:space="preserve"> </w:t>
      </w:r>
      <w:r>
        <w:t xml:space="preserve">is </w:t>
      </w:r>
      <w:r w:rsidRPr="001E035E">
        <w:t>beperkt</w:t>
      </w:r>
      <w:r>
        <w:t xml:space="preserve"> beschikbaar.</w:t>
      </w:r>
      <w:r w:rsidR="000D578F">
        <w:t xml:space="preserve"> </w:t>
      </w:r>
    </w:p>
    <w:p w:rsidR="001E035E" w:rsidP="00EA68AA" w:rsidRDefault="001E035E" w14:paraId="5DE95F05" w14:textId="3531AEF1">
      <w:pPr>
        <w:pStyle w:val="ListParagraph"/>
        <w:numPr>
          <w:ilvl w:val="0"/>
          <w:numId w:val="32"/>
        </w:numPr>
      </w:pPr>
      <w:r w:rsidRPr="001E035E">
        <w:t xml:space="preserve">Een </w:t>
      </w:r>
      <w:r w:rsidR="0033377E">
        <w:t xml:space="preserve">fictieve </w:t>
      </w:r>
      <w:r w:rsidRPr="001E035E">
        <w:t>besparing van 20% op de budgettaire grondslag van het beleid</w:t>
      </w:r>
      <w:r w:rsidR="0033377E">
        <w:t xml:space="preserve"> – die conform de RPE in beeld moet worden gebracht </w:t>
      </w:r>
      <w:r w:rsidR="00EB49D7">
        <w:t>–</w:t>
      </w:r>
      <w:r w:rsidRPr="001E035E">
        <w:t xml:space="preserve"> is mogelijk, maar tegelijkertijd lastig inhoudelijk te onderbouwen.</w:t>
      </w:r>
      <w:r>
        <w:t xml:space="preserve"> </w:t>
      </w:r>
      <w:r w:rsidRPr="001E035E">
        <w:t>Dat komt</w:t>
      </w:r>
      <w:r w:rsidR="0033377E">
        <w:t xml:space="preserve"> </w:t>
      </w:r>
      <w:r w:rsidRPr="001E035E">
        <w:t>doordat de inhoudelijke inzet van de beleidsdirectie niet goed is te koppelen aan de inzet van middelen</w:t>
      </w:r>
      <w:r w:rsidR="0033377E">
        <w:t>, die vervolgens</w:t>
      </w:r>
      <w:r w:rsidRPr="0033377E" w:rsidR="0033377E">
        <w:t xml:space="preserve"> verspreid zijn over de verschillende posten</w:t>
      </w:r>
      <w:r w:rsidR="0033377E">
        <w:t xml:space="preserve"> op de begroting.</w:t>
      </w:r>
      <w:r w:rsidRPr="0033377E" w:rsidR="0033377E">
        <w:rPr>
          <w:rFonts w:ascii="Franklin Gothic Book" w:hAnsi="Franklin Gothic Book" w:cs="Franklin Gothic Book"/>
          <w:sz w:val="20"/>
          <w:szCs w:val="20"/>
        </w:rPr>
        <w:t xml:space="preserve"> </w:t>
      </w:r>
      <w:r w:rsidRPr="0033377E" w:rsidR="0033377E">
        <w:t>De voorgestelde besparingsvarianten zijn</w:t>
      </w:r>
      <w:r w:rsidR="0033377E">
        <w:t xml:space="preserve"> </w:t>
      </w:r>
      <w:r w:rsidRPr="0033377E" w:rsidR="0033377E">
        <w:t>niet zonder consequentie. Wanneer gekeken wordt naar de besparing</w:t>
      </w:r>
      <w:r w:rsidR="0033377E">
        <w:t>svariant</w:t>
      </w:r>
      <w:r w:rsidRPr="0033377E" w:rsidR="0033377E">
        <w:t xml:space="preserve"> ‘bijdrage aan agentschappen’, dan zal dit vooral gevolgen hebben voor de kennispositie van het ministerie en de uitvoeringskracht op een aantal programma’s zal omlaag gaan. Voor een deel zal dat weer ‘in huis’ gehaald moeten worden. De besparing</w:t>
      </w:r>
      <w:r w:rsidR="0033377E">
        <w:t>svariant</w:t>
      </w:r>
      <w:r w:rsidRPr="0033377E" w:rsidR="0033377E">
        <w:t xml:space="preserve"> op het VTH-stelsel z</w:t>
      </w:r>
      <w:r w:rsidR="0033377E">
        <w:t>al</w:t>
      </w:r>
      <w:r w:rsidRPr="0033377E" w:rsidR="0033377E">
        <w:t xml:space="preserve"> met name de sturende rol van het ministerie in het stelsel voor het milieudomein ondermijnen. Het voorstel voor de besparing op alle begrotingsonderdelen zal een aanzienlijk </w:t>
      </w:r>
      <w:r w:rsidR="0033377E">
        <w:t>lagere</w:t>
      </w:r>
      <w:r w:rsidRPr="0033377E" w:rsidR="0033377E">
        <w:t xml:space="preserve"> ‘productie’ van instrumenten opleveren (wetten en regels, programma’s, subsidieregelingen, etc.)</w:t>
      </w:r>
      <w:r w:rsidR="0033377E">
        <w:t>.</w:t>
      </w:r>
    </w:p>
    <w:bookmarkEnd w:id="2"/>
    <w:p w:rsidR="001E035E" w:rsidP="001E035E" w:rsidRDefault="001E035E" w14:paraId="11059159" w14:textId="77777777"/>
    <w:p w:rsidRPr="00092C70" w:rsidR="00092C70" w:rsidP="00EA68AA" w:rsidRDefault="00D2034A" w14:paraId="68916B15" w14:textId="4DB69AD8">
      <w:pPr>
        <w:rPr>
          <w:i/>
          <w:iCs/>
          <w:color w:val="auto"/>
        </w:rPr>
      </w:pPr>
      <w:r>
        <w:rPr>
          <w:i/>
          <w:iCs/>
          <w:color w:val="auto"/>
        </w:rPr>
        <w:t xml:space="preserve">Reactie op </w:t>
      </w:r>
      <w:r w:rsidR="00275647">
        <w:rPr>
          <w:i/>
          <w:iCs/>
          <w:color w:val="auto"/>
        </w:rPr>
        <w:t xml:space="preserve">de conclusies en </w:t>
      </w:r>
      <w:r>
        <w:rPr>
          <w:i/>
          <w:iCs/>
          <w:color w:val="auto"/>
        </w:rPr>
        <w:t>a</w:t>
      </w:r>
      <w:r w:rsidR="00092C70">
        <w:rPr>
          <w:i/>
          <w:iCs/>
          <w:color w:val="auto"/>
        </w:rPr>
        <w:t>anbevelingen</w:t>
      </w:r>
    </w:p>
    <w:p w:rsidR="00EB49D7" w:rsidP="00EA68AA" w:rsidRDefault="0033377E" w14:paraId="27018E2F" w14:textId="49FB8FC4">
      <w:r>
        <w:t>Het ministerie herkent de conclusies</w:t>
      </w:r>
      <w:r w:rsidR="00717115">
        <w:t xml:space="preserve"> van de onderzoekers en ziet hierin een bevestiging </w:t>
      </w:r>
      <w:r w:rsidR="00EB49D7">
        <w:t xml:space="preserve">van </w:t>
      </w:r>
      <w:r w:rsidR="00717115">
        <w:t xml:space="preserve">het ingezette spoor om de </w:t>
      </w:r>
      <w:r w:rsidR="00275647">
        <w:t>doelmatigheid en doeltreffendheid van het beleid</w:t>
      </w:r>
      <w:r w:rsidR="000D6DB9">
        <w:t xml:space="preserve"> </w:t>
      </w:r>
      <w:r w:rsidR="005A2B94">
        <w:t xml:space="preserve">verder </w:t>
      </w:r>
      <w:r w:rsidR="000D6DB9">
        <w:t>te versterke</w:t>
      </w:r>
      <w:r w:rsidR="00717115">
        <w:t>n, voort te zetten. De aanbevelingen van de onderzoekers zijn daarbij zeer behulpzaam en neem ik dan ook ter harte.</w:t>
      </w:r>
    </w:p>
    <w:p w:rsidR="000A2CB9" w:rsidP="00EA68AA" w:rsidRDefault="000A2CB9" w14:paraId="4097D526" w14:textId="77777777"/>
    <w:p w:rsidRPr="0079526C" w:rsidR="005B6865" w:rsidP="00EA68AA" w:rsidRDefault="00785262" w14:paraId="3718ED9F" w14:textId="0D632E99">
      <w:r>
        <w:rPr>
          <w:color w:val="auto"/>
        </w:rPr>
        <w:t xml:space="preserve">Hieronder wordt aangegeven </w:t>
      </w:r>
      <w:r w:rsidR="005A2B94">
        <w:rPr>
          <w:color w:val="auto"/>
        </w:rPr>
        <w:t xml:space="preserve">op welke wijze aan de vijf aanbevelingen opvolging is of wordt gegeven. </w:t>
      </w:r>
    </w:p>
    <w:p w:rsidR="001D0686" w:rsidP="00EA68AA" w:rsidRDefault="001D0686" w14:paraId="60D693F2" w14:textId="77777777">
      <w:pPr>
        <w:rPr>
          <w:color w:val="auto"/>
        </w:rPr>
      </w:pPr>
    </w:p>
    <w:p w:rsidRPr="00FA5188" w:rsidR="00FA5188" w:rsidP="00FA5188" w:rsidRDefault="00FA5188" w14:paraId="4281A19F" w14:textId="3F705457">
      <w:pPr>
        <w:pStyle w:val="ListParagraph"/>
        <w:numPr>
          <w:ilvl w:val="0"/>
          <w:numId w:val="27"/>
        </w:numPr>
        <w:rPr>
          <w:i/>
          <w:iCs/>
          <w:color w:val="auto"/>
        </w:rPr>
      </w:pPr>
      <w:r w:rsidRPr="00FA5188">
        <w:rPr>
          <w:i/>
          <w:iCs/>
          <w:color w:val="auto"/>
        </w:rPr>
        <w:t>Herzie de begrotingsstructuur</w:t>
      </w:r>
    </w:p>
    <w:p w:rsidR="00F948B2" w:rsidP="00EA68AA" w:rsidRDefault="00A71F45" w14:paraId="1D9FBC0F" w14:textId="6DBEC90A">
      <w:pPr>
        <w:rPr>
          <w:color w:val="auto"/>
        </w:rPr>
      </w:pPr>
      <w:bookmarkStart w:name="_Hlk220589164" w:id="3"/>
      <w:r>
        <w:rPr>
          <w:color w:val="auto"/>
        </w:rPr>
        <w:t>De onderzoekers bevelen aan om de indeling van de begroting beter te laten aansluiten op de inhoudelijke organisatie</w:t>
      </w:r>
      <w:r w:rsidR="00717115">
        <w:rPr>
          <w:color w:val="auto"/>
        </w:rPr>
        <w:t xml:space="preserve">. </w:t>
      </w:r>
      <w:r>
        <w:rPr>
          <w:color w:val="auto"/>
        </w:rPr>
        <w:t>Dit moet ertoe leiden dat de doelen, instrumenten en middelen uit de begroting beter te koppelen zijn aan</w:t>
      </w:r>
      <w:r w:rsidR="00FA5188">
        <w:rPr>
          <w:color w:val="auto"/>
        </w:rPr>
        <w:t xml:space="preserve"> de financiële inzet op de begroting.</w:t>
      </w:r>
    </w:p>
    <w:bookmarkEnd w:id="3"/>
    <w:p w:rsidR="00F948B2" w:rsidP="00EA68AA" w:rsidRDefault="00F948B2" w14:paraId="06248002" w14:textId="77777777">
      <w:pPr>
        <w:rPr>
          <w:color w:val="auto"/>
        </w:rPr>
      </w:pPr>
    </w:p>
    <w:p w:rsidRPr="005F6B52" w:rsidR="00A71F45" w:rsidP="005F203A" w:rsidRDefault="00294E34" w14:paraId="70D6AE18" w14:textId="14C5CC6D">
      <w:pPr>
        <w:rPr>
          <w:color w:val="auto"/>
        </w:rPr>
      </w:pPr>
      <w:bookmarkStart w:name="_Hlk220589503" w:id="4"/>
      <w:r>
        <w:t>Aan h</w:t>
      </w:r>
      <w:r w:rsidRPr="005F6B52" w:rsidR="00D2034A">
        <w:t xml:space="preserve">et begrotingsartikel is in 2025 een </w:t>
      </w:r>
      <w:r w:rsidR="00D55E5D">
        <w:t>overzicht</w:t>
      </w:r>
      <w:r w:rsidRPr="005F6B52" w:rsidR="00D2034A">
        <w:t xml:space="preserve"> </w:t>
      </w:r>
      <w:r>
        <w:t xml:space="preserve">toegevoegd </w:t>
      </w:r>
      <w:r w:rsidR="00EC6E9E">
        <w:t>waarmee meer inzicht is gegeven in de beleidsmatige doelen van de beleidsdirectie.</w:t>
      </w:r>
      <w:r w:rsidRPr="005F6B52" w:rsidR="00D2034A">
        <w:t xml:space="preserve"> </w:t>
      </w:r>
      <w:r>
        <w:t>D</w:t>
      </w:r>
      <w:r w:rsidRPr="005F6B52" w:rsidR="00F948B2">
        <w:t>eze ontwikkeling sluit</w:t>
      </w:r>
      <w:r>
        <w:t xml:space="preserve"> aan</w:t>
      </w:r>
      <w:r w:rsidRPr="005F6B52" w:rsidR="00F948B2">
        <w:t xml:space="preserve"> bij de aanbeveling</w:t>
      </w:r>
      <w:r>
        <w:t xml:space="preserve">. </w:t>
      </w:r>
      <w:r w:rsidR="00EC6E9E">
        <w:t>In aanvulling daarop</w:t>
      </w:r>
      <w:r>
        <w:t xml:space="preserve"> zal worden bezien of de indeling van het begrotingsartikel kan worden aangescherpt om beter aan te sluiten op de doelen van de beleidsdirecti</w:t>
      </w:r>
      <w:r w:rsidR="005F203A">
        <w:t>e.</w:t>
      </w:r>
      <w:r w:rsidR="005A2B94">
        <w:t xml:space="preserve"> </w:t>
      </w:r>
      <w:r w:rsidR="00D0585E">
        <w:t xml:space="preserve">Verder </w:t>
      </w:r>
      <w:r w:rsidR="005A2B94">
        <w:t xml:space="preserve">wordt in samenwerking met </w:t>
      </w:r>
      <w:r w:rsidR="00EC6E9E">
        <w:t xml:space="preserve">de directie </w:t>
      </w:r>
      <w:r w:rsidR="00EB49D7">
        <w:t>Financieel-Economische Zaken (</w:t>
      </w:r>
      <w:r w:rsidR="005A2B94">
        <w:t>FEZ</w:t>
      </w:r>
      <w:r w:rsidR="00EB49D7">
        <w:t>)</w:t>
      </w:r>
      <w:r w:rsidR="005A2B94">
        <w:t xml:space="preserve"> jaarlijks beoordeeld of en op welke manier de informatiewaarde van de begroting </w:t>
      </w:r>
      <w:r w:rsidR="00EC6E9E">
        <w:t xml:space="preserve">verder </w:t>
      </w:r>
      <w:r w:rsidR="005A2B94">
        <w:t>kan worden vergroot</w:t>
      </w:r>
      <w:bookmarkEnd w:id="4"/>
    </w:p>
    <w:p w:rsidR="00FA5188" w:rsidP="00EA68AA" w:rsidRDefault="00FA5188" w14:paraId="0287F2B0" w14:textId="77777777"/>
    <w:p w:rsidR="00B512E2" w:rsidP="00EA68AA" w:rsidRDefault="00B512E2" w14:paraId="5CDD1284" w14:textId="77777777"/>
    <w:p w:rsidR="00B512E2" w:rsidP="00EA68AA" w:rsidRDefault="00B512E2" w14:paraId="6001ABCA" w14:textId="77777777"/>
    <w:p w:rsidRPr="00FA5188" w:rsidR="00FA5188" w:rsidP="00FA5188" w:rsidRDefault="00FA5188" w14:paraId="7BC93EA4" w14:textId="386697C7">
      <w:pPr>
        <w:pStyle w:val="ListParagraph"/>
        <w:numPr>
          <w:ilvl w:val="0"/>
          <w:numId w:val="27"/>
        </w:numPr>
        <w:rPr>
          <w:i/>
          <w:iCs/>
        </w:rPr>
      </w:pPr>
      <w:r>
        <w:rPr>
          <w:i/>
          <w:iCs/>
        </w:rPr>
        <w:t>Maak doelen en indicatoren SMART</w:t>
      </w:r>
    </w:p>
    <w:p w:rsidR="00C9396E" w:rsidP="00D2034A" w:rsidRDefault="00FA5188" w14:paraId="079970D8" w14:textId="7F3ADA26">
      <w:bookmarkStart w:name="_Hlk220589213" w:id="5"/>
      <w:r>
        <w:t xml:space="preserve">De onderzoekers </w:t>
      </w:r>
      <w:r w:rsidR="00C9396E">
        <w:t xml:space="preserve">bevelen aan om </w:t>
      </w:r>
      <w:r>
        <w:t>per taakveld en voor de gehele beleidsdirectie</w:t>
      </w:r>
      <w:r w:rsidR="00EC6E9E">
        <w:t>,</w:t>
      </w:r>
      <w:r>
        <w:t xml:space="preserve"> duidelijke, </w:t>
      </w:r>
      <w:r w:rsidR="00C9396E">
        <w:t xml:space="preserve">meer </w:t>
      </w:r>
      <w:r>
        <w:t xml:space="preserve">meetbare indicatoren </w:t>
      </w:r>
      <w:r w:rsidR="00C9396E">
        <w:t>te ontwikkelen</w:t>
      </w:r>
      <w:r w:rsidR="00F950ED">
        <w:t>.</w:t>
      </w:r>
    </w:p>
    <w:bookmarkEnd w:id="5"/>
    <w:p w:rsidR="00D2034A" w:rsidP="00D2034A" w:rsidRDefault="00D2034A" w14:paraId="2E655B02" w14:textId="16C3C3EF"/>
    <w:p w:rsidR="00367E2F" w:rsidP="00367E2F" w:rsidRDefault="00FD2CC5" w14:paraId="108A96A8" w14:textId="1DFDFAA8">
      <w:bookmarkStart w:name="_Hlk220589530" w:id="6"/>
      <w:r>
        <w:t xml:space="preserve">De meetbare gegevens en indicatoren van de beleidsdirectie </w:t>
      </w:r>
      <w:r w:rsidR="00EC6E9E">
        <w:t>worden vooral geleverd door</w:t>
      </w:r>
      <w:r>
        <w:t xml:space="preserve"> uitvoeringsdiensten</w:t>
      </w:r>
      <w:r w:rsidR="00F950ED">
        <w:t xml:space="preserve">, zoals </w:t>
      </w:r>
      <w:r w:rsidR="005A2B94">
        <w:t>omgevingsdiensten, ANVS, ILT</w:t>
      </w:r>
      <w:r w:rsidR="00F950ED">
        <w:t xml:space="preserve"> en</w:t>
      </w:r>
      <w:r w:rsidR="005A2B94">
        <w:t xml:space="preserve"> RIVM</w:t>
      </w:r>
      <w:r>
        <w:t xml:space="preserve">. </w:t>
      </w:r>
      <w:r w:rsidR="00EC6E9E">
        <w:t>De beleidsdirectie</w:t>
      </w:r>
      <w:r>
        <w:t xml:space="preserve"> </w:t>
      </w:r>
      <w:r w:rsidR="00EC6E9E">
        <w:t>staat</w:t>
      </w:r>
      <w:r>
        <w:t xml:space="preserve"> </w:t>
      </w:r>
      <w:r w:rsidR="00EC6E9E">
        <w:t>immers</w:t>
      </w:r>
      <w:r>
        <w:t xml:space="preserve"> </w:t>
      </w:r>
      <w:r w:rsidR="00EC6E9E">
        <w:t xml:space="preserve">als verantwoordelijke voor de kaderstelling, aan het begin van de </w:t>
      </w:r>
      <w:r>
        <w:t>veiligheidsketen</w:t>
      </w:r>
      <w:r w:rsidR="00EC6E9E">
        <w:t>.</w:t>
      </w:r>
      <w:r>
        <w:t xml:space="preserve"> Er wordt </w:t>
      </w:r>
      <w:r w:rsidR="005F6B52">
        <w:t xml:space="preserve">al </w:t>
      </w:r>
      <w:r>
        <w:t>actief gewerkt</w:t>
      </w:r>
      <w:r w:rsidR="00D2034A">
        <w:t xml:space="preserve"> aan het </w:t>
      </w:r>
      <w:r w:rsidR="005F6B52">
        <w:t xml:space="preserve">meer </w:t>
      </w:r>
      <w:r w:rsidR="00D2034A">
        <w:t xml:space="preserve">meetbaar maken van </w:t>
      </w:r>
      <w:r w:rsidR="00C9396E">
        <w:t>de</w:t>
      </w:r>
      <w:r w:rsidR="00D2034A">
        <w:t xml:space="preserve"> resultaten, waarmee inzicht wordt gegenereerd in de impact van</w:t>
      </w:r>
      <w:r w:rsidR="00C9396E">
        <w:t xml:space="preserve"> het</w:t>
      </w:r>
      <w:r w:rsidR="00D2034A">
        <w:t xml:space="preserve"> beleid</w:t>
      </w:r>
      <w:r w:rsidR="00D55E5D">
        <w:t>.</w:t>
      </w:r>
      <w:r w:rsidR="00D2034A">
        <w:t xml:space="preserve"> Dit </w:t>
      </w:r>
      <w:r w:rsidR="00C9396E">
        <w:t>gebeurt</w:t>
      </w:r>
      <w:r w:rsidR="00D2034A">
        <w:t xml:space="preserve"> onder andere door het aantal vergunningsaanvragen en REACH-dossiers bij te houden</w:t>
      </w:r>
      <w:r w:rsidR="00C9396E">
        <w:t>. Daarnaast wordt gekeken naar</w:t>
      </w:r>
      <w:r w:rsidR="00EC6E9E">
        <w:t xml:space="preserve"> het meetbaar maken van</w:t>
      </w:r>
      <w:r w:rsidR="00D2034A">
        <w:t xml:space="preserve"> </w:t>
      </w:r>
      <w:r w:rsidR="00EC6E9E">
        <w:t xml:space="preserve">de </w:t>
      </w:r>
      <w:r w:rsidR="00D2034A">
        <w:t>output van</w:t>
      </w:r>
      <w:r w:rsidR="00845F72">
        <w:t xml:space="preserve"> de</w:t>
      </w:r>
      <w:r w:rsidR="00D2034A">
        <w:t xml:space="preserve"> uitvoeringsdiensten. </w:t>
      </w:r>
      <w:r w:rsidR="007F76F4">
        <w:t>Zo</w:t>
      </w:r>
      <w:r w:rsidR="00C9396E">
        <w:t xml:space="preserve"> wordt blijvend </w:t>
      </w:r>
      <w:r w:rsidR="00D2034A">
        <w:t>in</w:t>
      </w:r>
      <w:r w:rsidR="00C9396E">
        <w:t>ge</w:t>
      </w:r>
      <w:r w:rsidR="00D2034A">
        <w:t xml:space="preserve">zet op het </w:t>
      </w:r>
      <w:r w:rsidR="005F6B52">
        <w:t xml:space="preserve">zoveel mogelijk </w:t>
      </w:r>
      <w:r w:rsidR="00D2034A">
        <w:t>SMART formuleren van doelen en indicatoren.</w:t>
      </w:r>
      <w:r w:rsidR="00367E2F">
        <w:t xml:space="preserve"> Daarbij moet worden opgemerkt dat </w:t>
      </w:r>
      <w:r w:rsidR="007F76F4">
        <w:t xml:space="preserve">een te grote </w:t>
      </w:r>
      <w:r w:rsidR="00367E2F">
        <w:t>nadruk op het (lage) aantal incidenten effect kan hebben op de beleving van inwoners, waardoor de beleidsdirectie dus een delicate balans moet bewaken.</w:t>
      </w:r>
      <w:r w:rsidR="005A2B94">
        <w:t xml:space="preserve"> </w:t>
      </w:r>
      <w:r w:rsidR="00845F72">
        <w:t xml:space="preserve">In lijn met de toezeggingen in de begroting 2026, wordt voor </w:t>
      </w:r>
      <w:r w:rsidR="005A2B94">
        <w:t xml:space="preserve">de komende begroting bezien in hoeverre </w:t>
      </w:r>
      <w:r w:rsidR="007F76F4">
        <w:t xml:space="preserve">de </w:t>
      </w:r>
      <w:r w:rsidR="005A2B94">
        <w:t>veiligheid</w:t>
      </w:r>
      <w:r w:rsidR="00EC6E9E">
        <w:t>sbeleving van inwoners</w:t>
      </w:r>
      <w:r w:rsidR="007F76F4">
        <w:t xml:space="preserve"> kan worden meegenomen</w:t>
      </w:r>
      <w:r w:rsidR="005A2B94">
        <w:t>.</w:t>
      </w:r>
      <w:bookmarkEnd w:id="6"/>
    </w:p>
    <w:p w:rsidR="00AB7715" w:rsidP="00EA68AA" w:rsidRDefault="00AB7715" w14:paraId="0D2CC765" w14:textId="77777777"/>
    <w:p w:rsidRPr="00C25106" w:rsidR="00FA5188" w:rsidP="00C25106" w:rsidRDefault="00C25106" w14:paraId="2BC82385" w14:textId="652FEF0F">
      <w:pPr>
        <w:pStyle w:val="ListParagraph"/>
        <w:numPr>
          <w:ilvl w:val="0"/>
          <w:numId w:val="27"/>
        </w:numPr>
        <w:rPr>
          <w:i/>
          <w:iCs/>
        </w:rPr>
      </w:pPr>
      <w:r>
        <w:rPr>
          <w:i/>
          <w:iCs/>
        </w:rPr>
        <w:t>Verbeter inzicht in doelbereik</w:t>
      </w:r>
    </w:p>
    <w:p w:rsidR="007F76F4" w:rsidP="00534447" w:rsidRDefault="00E919A4" w14:paraId="68636EBA" w14:textId="5E844CAE">
      <w:bookmarkStart w:name="_Hlk220589263" w:id="7"/>
      <w:r>
        <w:t>De onderzoekers bevelen aan om inzicht te krijgen in de mate waarin het hoofddoel van de beleidsdirectie daadwerkelijk wordt bereikt</w:t>
      </w:r>
      <w:r w:rsidR="007F76F4">
        <w:t>,</w:t>
      </w:r>
      <w:r>
        <w:t xml:space="preserve"> door beschikbare gegevens als inspecties en incidenten meer in perspectief te plaatsen.</w:t>
      </w:r>
    </w:p>
    <w:bookmarkEnd w:id="7"/>
    <w:p w:rsidR="007F76F4" w:rsidP="00534447" w:rsidRDefault="007F76F4" w14:paraId="5DD1BE88" w14:textId="77777777"/>
    <w:p w:rsidR="00534447" w:rsidP="00534447" w:rsidRDefault="00C839C4" w14:paraId="64E485C6" w14:textId="15F87182">
      <w:bookmarkStart w:name="_Hlk220589640" w:id="8"/>
      <w:r>
        <w:t>I</w:t>
      </w:r>
      <w:r w:rsidR="00FD2CC5">
        <w:t>n de</w:t>
      </w:r>
      <w:r w:rsidR="00D2034A">
        <w:t xml:space="preserve"> afgelopen jaren </w:t>
      </w:r>
      <w:r w:rsidR="00E919A4">
        <w:t>heeft de beleidsdirectie</w:t>
      </w:r>
      <w:r>
        <w:t xml:space="preserve"> </w:t>
      </w:r>
      <w:r w:rsidR="007F76F4">
        <w:t xml:space="preserve">al </w:t>
      </w:r>
      <w:r w:rsidR="00D2034A">
        <w:t xml:space="preserve">de nodige stappen gezet om </w:t>
      </w:r>
      <w:r w:rsidR="00E919A4">
        <w:t>dit inzicht te verkrijgen</w:t>
      </w:r>
      <w:r w:rsidR="007F76F4">
        <w:t xml:space="preserve"> en dat zal worden voortgezet</w:t>
      </w:r>
      <w:r w:rsidR="000253A0">
        <w:t xml:space="preserve"> door o.a. de beleidstheorie verder uit te werken en w</w:t>
      </w:r>
      <w:r w:rsidR="00836BEF">
        <w:t xml:space="preserve">aar mogelijk </w:t>
      </w:r>
      <w:r w:rsidR="00845F72">
        <w:t xml:space="preserve">bij de uitvoering van beleidsevaluaties </w:t>
      </w:r>
      <w:r w:rsidR="00836BEF">
        <w:t xml:space="preserve">onderscheid </w:t>
      </w:r>
      <w:r w:rsidR="000253A0">
        <w:t>te maken</w:t>
      </w:r>
      <w:r w:rsidR="00836BEF">
        <w:t xml:space="preserve"> </w:t>
      </w:r>
      <w:r w:rsidR="009E76A4">
        <w:t xml:space="preserve">tussen output, outcome en impact. </w:t>
      </w:r>
      <w:r w:rsidR="007F76F4">
        <w:t xml:space="preserve">Doel is om zoveel mogelijk inzicht te bieden in de bijdrage van het beleid </w:t>
      </w:r>
      <w:r w:rsidR="009E76A4">
        <w:t>aan het realiseren van een veilige, schone en gezonde leefomgeving</w:t>
      </w:r>
      <w:r w:rsidR="007F76F4">
        <w:t>. De</w:t>
      </w:r>
      <w:r w:rsidR="009E76A4">
        <w:t xml:space="preserve"> inherent preventieve aard van het beleid</w:t>
      </w:r>
      <w:r w:rsidR="007F76F4">
        <w:t xml:space="preserve"> van de directie is hierbij wel een factor om rekening mee te houden</w:t>
      </w:r>
      <w:r w:rsidR="009E76A4">
        <w:t>.</w:t>
      </w:r>
    </w:p>
    <w:p w:rsidR="009E76A4" w:rsidP="00534447" w:rsidRDefault="009E76A4" w14:paraId="5F3D47DD" w14:textId="77777777"/>
    <w:p w:rsidRPr="002E41F7" w:rsidR="00C21488" w:rsidP="009E76A4" w:rsidRDefault="007F76F4" w14:paraId="545CF713" w14:textId="0014A973">
      <w:pPr>
        <w:rPr>
          <w:color w:val="auto"/>
        </w:rPr>
      </w:pPr>
      <w:r>
        <w:t>Verder evalueert de beleidsdirectie sinds</w:t>
      </w:r>
      <w:r w:rsidR="00C839C4">
        <w:t xml:space="preserve"> 2021 haar inzet </w:t>
      </w:r>
      <w:r w:rsidR="00845F72">
        <w:t xml:space="preserve">waarbij </w:t>
      </w:r>
      <w:r w:rsidR="00D2034A">
        <w:t>de Strategische Evaluatie Agenda (SEA)</w:t>
      </w:r>
      <w:r w:rsidR="00845F72">
        <w:t xml:space="preserve"> van </w:t>
      </w:r>
      <w:r w:rsidRPr="002E41F7" w:rsidR="00845F72">
        <w:rPr>
          <w:color w:val="auto"/>
        </w:rPr>
        <w:t>toegevoegde waarde is</w:t>
      </w:r>
      <w:r w:rsidRPr="002E41F7" w:rsidR="00D2034A">
        <w:rPr>
          <w:color w:val="auto"/>
        </w:rPr>
        <w:t>.</w:t>
      </w:r>
      <w:r w:rsidRPr="002E41F7" w:rsidR="00C21488">
        <w:rPr>
          <w:color w:val="auto"/>
        </w:rPr>
        <w:t xml:space="preserve"> De SEA </w:t>
      </w:r>
      <w:r w:rsidRPr="002E41F7" w:rsidR="0017751E">
        <w:rPr>
          <w:color w:val="auto"/>
        </w:rPr>
        <w:t xml:space="preserve">wordt jaarlijks </w:t>
      </w:r>
      <w:r w:rsidRPr="002E41F7" w:rsidR="00845F72">
        <w:rPr>
          <w:color w:val="auto"/>
        </w:rPr>
        <w:t xml:space="preserve">opgesteld </w:t>
      </w:r>
      <w:r w:rsidRPr="002E41F7" w:rsidR="0017751E">
        <w:rPr>
          <w:color w:val="auto"/>
        </w:rPr>
        <w:t xml:space="preserve">als verplicht onderdeel van de begroting en biedt een overzicht van evaluaties naar de doelmatigheid en doeltreffendheid van het beleid van de directie. </w:t>
      </w:r>
    </w:p>
    <w:p w:rsidR="00C21488" w:rsidRDefault="00C21488" w14:paraId="6AAF06F9" w14:textId="77777777">
      <w:pPr>
        <w:ind w:left="426"/>
      </w:pPr>
    </w:p>
    <w:p w:rsidR="00D2034A" w:rsidP="009E76A4" w:rsidRDefault="007F76F4" w14:paraId="74F57CC0" w14:textId="110E5013">
      <w:r>
        <w:t>Ten slotte</w:t>
      </w:r>
      <w:r w:rsidR="00AF0B91">
        <w:t xml:space="preserve"> is de beleidsdirectie recent aangesloten op het Onderzoek Beleving Woonomgeving dat wordt uitgevoerd door het Centraal Bureau voor de Statistiek (CBS) en het Rijksinstituut voor Volksgezondheid en Milieu (RIVM). In dit onderzoek zijn vragen opgenomen die raken aan </w:t>
      </w:r>
      <w:r w:rsidR="00622F56">
        <w:t>de veiligheids</w:t>
      </w:r>
      <w:r w:rsidR="00AF0B91">
        <w:t>beleving van inwoners, met als doel om hierover meer inzicht te krijgen en dit mee te</w:t>
      </w:r>
      <w:r w:rsidR="00845F72">
        <w:t xml:space="preserve"> kunnen</w:t>
      </w:r>
      <w:r w:rsidR="00AF0B91">
        <w:t xml:space="preserve"> nemen in beleidsvorming.</w:t>
      </w:r>
    </w:p>
    <w:bookmarkEnd w:id="8"/>
    <w:p w:rsidR="002D71E6" w:rsidP="00EA68AA" w:rsidRDefault="002D71E6" w14:paraId="06522FF4" w14:textId="77777777"/>
    <w:p w:rsidR="002D71E6" w:rsidP="002D71E6" w:rsidRDefault="002D71E6" w14:paraId="6980527F" w14:textId="5AE4B756">
      <w:pPr>
        <w:pStyle w:val="ListParagraph"/>
        <w:numPr>
          <w:ilvl w:val="0"/>
          <w:numId w:val="27"/>
        </w:numPr>
        <w:rPr>
          <w:i/>
          <w:iCs/>
        </w:rPr>
      </w:pPr>
      <w:r>
        <w:rPr>
          <w:i/>
          <w:iCs/>
        </w:rPr>
        <w:t>Verhoog transparantie over agentschappen</w:t>
      </w:r>
    </w:p>
    <w:p w:rsidR="002D71E6" w:rsidP="002D71E6" w:rsidRDefault="003C6F10" w14:paraId="609F148E" w14:textId="748141AE">
      <w:pPr>
        <w:rPr>
          <w:color w:val="auto"/>
        </w:rPr>
      </w:pPr>
      <w:bookmarkStart w:name="_Hlk220589320" w:id="9"/>
      <w:r>
        <w:rPr>
          <w:color w:val="auto"/>
        </w:rPr>
        <w:t xml:space="preserve">De onderzoekers bevelen aan om publiekelijk inzichtelijk te maken welke inzet en resultaten </w:t>
      </w:r>
      <w:r w:rsidR="0077310C">
        <w:rPr>
          <w:color w:val="auto"/>
        </w:rPr>
        <w:t>agentschappen</w:t>
      </w:r>
      <w:r>
        <w:rPr>
          <w:color w:val="auto"/>
        </w:rPr>
        <w:t xml:space="preserve"> leveren voor de ontvangen middelen</w:t>
      </w:r>
      <w:r w:rsidR="000D578F">
        <w:rPr>
          <w:color w:val="auto"/>
        </w:rPr>
        <w:t xml:space="preserve">. Agentschappen zijn intern verzelfstandigde organisaties van ministeries. Dat betekent dat zij officieel onderdeel zijn van een ministerie, maar werken als zelfstandige organisaties. Zij leveren tegen betaling producten of diensten aan organisaties binnen het Rijk. Publicatie daarvan, bijvoorbeeld van </w:t>
      </w:r>
      <w:r w:rsidR="00401673">
        <w:rPr>
          <w:color w:val="auto"/>
        </w:rPr>
        <w:t xml:space="preserve">(bestaande) </w:t>
      </w:r>
      <w:r>
        <w:rPr>
          <w:color w:val="auto"/>
        </w:rPr>
        <w:t>jaarlijkse rapportages of aanvullende evaluaties</w:t>
      </w:r>
      <w:r w:rsidR="000D578F">
        <w:rPr>
          <w:color w:val="auto"/>
        </w:rPr>
        <w:t>, kunnen volgens de onderzoekers bijdragen aan de publieke inzichtelijkheid.</w:t>
      </w:r>
    </w:p>
    <w:bookmarkEnd w:id="9"/>
    <w:p w:rsidR="00401673" w:rsidP="002D71E6" w:rsidRDefault="00401673" w14:paraId="7BD76F68" w14:textId="77777777">
      <w:pPr>
        <w:rPr>
          <w:color w:val="auto"/>
        </w:rPr>
      </w:pPr>
    </w:p>
    <w:p w:rsidR="00CF2089" w:rsidP="00E919A4" w:rsidRDefault="00E82BD7" w14:paraId="5E5F01AE" w14:textId="4B7AABAC">
      <w:bookmarkStart w:name="_Hlk220589671" w:id="10"/>
      <w:r>
        <w:t xml:space="preserve">In lijn met de aanbeveling wordt onderzocht </w:t>
      </w:r>
      <w:r w:rsidR="00C839C4">
        <w:t>op welke manier</w:t>
      </w:r>
      <w:r w:rsidR="00E919A4">
        <w:t xml:space="preserve"> </w:t>
      </w:r>
      <w:r w:rsidR="00C839C4">
        <w:t>de</w:t>
      </w:r>
      <w:r w:rsidR="002B0417">
        <w:t xml:space="preserve"> publieke inzichtelijkheid kan worden vergroot, bijvoorbeeld door </w:t>
      </w:r>
      <w:r w:rsidR="00C839C4">
        <w:t>bestaande rapportages openbaar beschikbaar te stellen</w:t>
      </w:r>
      <w:r w:rsidR="002B0417">
        <w:t>.</w:t>
      </w:r>
    </w:p>
    <w:bookmarkEnd w:id="10"/>
    <w:p w:rsidR="002D71E6" w:rsidP="002D71E6" w:rsidRDefault="002D71E6" w14:paraId="6C3237E8" w14:textId="77777777"/>
    <w:p w:rsidRPr="002D71E6" w:rsidR="002D71E6" w:rsidP="002D71E6" w:rsidRDefault="002D71E6" w14:paraId="62DA7FA4" w14:textId="49BF3104">
      <w:pPr>
        <w:pStyle w:val="ListParagraph"/>
        <w:numPr>
          <w:ilvl w:val="0"/>
          <w:numId w:val="27"/>
        </w:numPr>
        <w:rPr>
          <w:i/>
          <w:iCs/>
        </w:rPr>
      </w:pPr>
      <w:r>
        <w:rPr>
          <w:i/>
          <w:iCs/>
        </w:rPr>
        <w:t>Versterk de evaluatiemethodiek</w:t>
      </w:r>
    </w:p>
    <w:p w:rsidR="00EA68AA" w:rsidP="00EA68AA" w:rsidRDefault="003C6F10" w14:paraId="634FE066" w14:textId="4760CB0C">
      <w:r>
        <w:t>De</w:t>
      </w:r>
      <w:r w:rsidR="00B817FA">
        <w:t xml:space="preserve"> onderzoekers </w:t>
      </w:r>
      <w:r w:rsidR="002B0417">
        <w:t xml:space="preserve">bevelen aan </w:t>
      </w:r>
      <w:r w:rsidR="00C839C4">
        <w:t xml:space="preserve">om </w:t>
      </w:r>
      <w:r w:rsidR="002B0417">
        <w:t>de evaluatiemethodiek te versterken door te streven n</w:t>
      </w:r>
      <w:r>
        <w:t>aar meer kwantitatieve evaluaties</w:t>
      </w:r>
      <w:r w:rsidR="007255FF">
        <w:t xml:space="preserve"> </w:t>
      </w:r>
      <w:r>
        <w:t xml:space="preserve">en </w:t>
      </w:r>
      <w:r w:rsidR="002B0417">
        <w:t xml:space="preserve">door </w:t>
      </w:r>
      <w:r>
        <w:t>evaluaties explicieter te richten op het meten van doeltreffendheid en doelmatigheid van beleidsinstrumenten.</w:t>
      </w:r>
    </w:p>
    <w:p w:rsidR="007255FF" w:rsidP="00EA68AA" w:rsidRDefault="007255FF" w14:paraId="0BB8EE19" w14:textId="77777777"/>
    <w:p w:rsidR="00275647" w:rsidP="00EA68AA" w:rsidRDefault="007255FF" w14:paraId="54845FD1" w14:textId="76D8BFCE">
      <w:r>
        <w:t xml:space="preserve">Het beschikbare evaluatiemateriaal bevat meer kwalitatieve dan kwantitatieve onderzoeksmethoden. </w:t>
      </w:r>
      <w:r w:rsidR="00275647">
        <w:t>Dit ligt in lijn met de preventieve aard van het beleid</w:t>
      </w:r>
      <w:r w:rsidR="00E919A4">
        <w:t xml:space="preserve">. </w:t>
      </w:r>
      <w:r w:rsidR="00367E2F">
        <w:t xml:space="preserve">Dit wordt beaamd door de onderzoekers. </w:t>
      </w:r>
      <w:r w:rsidR="00275647">
        <w:t xml:space="preserve">Er </w:t>
      </w:r>
      <w:r w:rsidR="00E82BD7">
        <w:t xml:space="preserve">zal </w:t>
      </w:r>
      <w:r w:rsidR="00275647">
        <w:t>word</w:t>
      </w:r>
      <w:r w:rsidR="00E82BD7">
        <w:t>en</w:t>
      </w:r>
      <w:r w:rsidR="00275647">
        <w:t xml:space="preserve"> onderzocht</w:t>
      </w:r>
      <w:r w:rsidR="00367E2F">
        <w:t xml:space="preserve"> </w:t>
      </w:r>
      <w:r w:rsidR="00275647">
        <w:t xml:space="preserve">hoe </w:t>
      </w:r>
      <w:r w:rsidR="00C839C4">
        <w:t xml:space="preserve">meer </w:t>
      </w:r>
      <w:r w:rsidR="00275647">
        <w:t xml:space="preserve">kwantitatief onderzoek </w:t>
      </w:r>
      <w:r w:rsidR="00E82BD7">
        <w:t xml:space="preserve">kan worden </w:t>
      </w:r>
      <w:r w:rsidR="00275647">
        <w:t>geïntegreerd in toekomstige beleidsevaluaties, specifiek ten behoeve van een oordeel over doeltreffendheid en doelmatigheid.</w:t>
      </w:r>
    </w:p>
    <w:p w:rsidR="00275647" w:rsidP="00EA68AA" w:rsidRDefault="00275647" w14:paraId="03BCD7EF" w14:textId="77777777"/>
    <w:p w:rsidR="00EA68AA" w:rsidP="00EA68AA" w:rsidRDefault="00EA68AA" w14:paraId="0A608765" w14:textId="2ABAC8AD">
      <w:pPr>
        <w:rPr>
          <w:b/>
          <w:bCs/>
        </w:rPr>
      </w:pPr>
      <w:r>
        <w:rPr>
          <w:b/>
          <w:bCs/>
        </w:rPr>
        <w:t xml:space="preserve">Het </w:t>
      </w:r>
      <w:r w:rsidR="007264EB">
        <w:rPr>
          <w:b/>
          <w:bCs/>
        </w:rPr>
        <w:t>oordeel van de onafhankelijk deskundigen</w:t>
      </w:r>
    </w:p>
    <w:p w:rsidR="00C82182" w:rsidRDefault="00A326DB" w14:paraId="77C97631" w14:textId="58868021">
      <w:pPr>
        <w:spacing w:line="240" w:lineRule="auto"/>
      </w:pPr>
      <w:r>
        <w:t xml:space="preserve">De onafhankelijk deskundigen stellen vast dat de periodieke rapportage </w:t>
      </w:r>
      <w:r w:rsidR="00C82182">
        <w:t xml:space="preserve">over het algemeen </w:t>
      </w:r>
      <w:r>
        <w:t>goed is uitgevoerd</w:t>
      </w:r>
      <w:r w:rsidR="008939E7">
        <w:t xml:space="preserve"> </w:t>
      </w:r>
      <w:r w:rsidR="00C82182">
        <w:t xml:space="preserve">en de resultaten naar hun mening valide en betrouwbaar zijn. </w:t>
      </w:r>
      <w:r>
        <w:t>Het rapport is helder geschreven, genuanceerd verwoord en bevat heldere conclusies</w:t>
      </w:r>
      <w:r w:rsidR="00C21488">
        <w:t>.</w:t>
      </w:r>
      <w:r w:rsidRPr="00C82182" w:rsidR="00C82182">
        <w:t xml:space="preserve"> Ook constateren zij dat </w:t>
      </w:r>
      <w:r w:rsidR="00BB5B78">
        <w:t>het onderzoeksbureau</w:t>
      </w:r>
      <w:r w:rsidRPr="00C82182" w:rsidR="00C82182">
        <w:t xml:space="preserve"> het onderzoek onafhankelijk kon uitvoeren en zelf de conclusies kon bepalen. Die conclusies worden herkend</w:t>
      </w:r>
      <w:r w:rsidR="00C82182">
        <w:t>,</w:t>
      </w:r>
      <w:r w:rsidRPr="00C82182" w:rsidR="00C82182">
        <w:t xml:space="preserve"> maar er wordt aangegeven voorzichtig te zijn met te stevige conclusies over de doeltreffendheid en doelmatigheid. Die kunnen niet altijd hard gemaakt worden vanwege het veelal kwalitatief en weinig kwantitatief beschikbaar evaluatiemateriaal en het verschil in gebruikte evaluatiemethoden. Ook geven de onafhankelijk deskundigen het advies om de beleidstheorieën van de beleidsdirectie te verstevigen.</w:t>
      </w:r>
      <w:r w:rsidR="002D61E3">
        <w:t xml:space="preserve"> Dit advies nemen we over.</w:t>
      </w:r>
    </w:p>
    <w:p w:rsidR="008C3947" w:rsidRDefault="008C3947" w14:paraId="3D791049" w14:textId="77777777">
      <w:pPr>
        <w:spacing w:line="240" w:lineRule="auto"/>
        <w:rPr>
          <w:b/>
          <w:bCs/>
        </w:rPr>
      </w:pPr>
    </w:p>
    <w:p w:rsidRPr="00AA10C1" w:rsidR="00275647" w:rsidP="00275647" w:rsidRDefault="00275647" w14:paraId="2336DA15" w14:textId="77777777">
      <w:pPr>
        <w:rPr>
          <w:b/>
          <w:bCs/>
        </w:rPr>
      </w:pPr>
      <w:r>
        <w:rPr>
          <w:b/>
          <w:bCs/>
        </w:rPr>
        <w:t>Tot slot</w:t>
      </w:r>
    </w:p>
    <w:p w:rsidR="00275647" w:rsidP="00275647" w:rsidRDefault="00275647" w14:paraId="0A591C6B" w14:textId="06938DE8">
      <w:r>
        <w:t xml:space="preserve">Het kabinet dankt onderzoeksbureau Decisio voor de </w:t>
      </w:r>
      <w:r w:rsidR="00622F56">
        <w:t xml:space="preserve">gedegen </w:t>
      </w:r>
      <w:r>
        <w:t>periodieke rapportage en onafhankelijk deskundigen prof. dr. Carl Koopmans en dr. Edwin van der Werff voor hun oordeel. Ik hecht er veel waarde aan om de doelmatigheid en doeltreffendheid van beleid periodiek te onderzoeken en daar verantwoording over af te leggen aan de Kamer. Met deze periodieke rapportage en het oordeel van de onafhankelijk deskundigen wordt hier</w:t>
      </w:r>
      <w:r w:rsidR="002761B1">
        <w:t xml:space="preserve"> invulling aan gegeven</w:t>
      </w:r>
      <w:r>
        <w:t xml:space="preserve">. De waardevolle </w:t>
      </w:r>
      <w:r w:rsidR="00622F56">
        <w:t>aanbevelingen</w:t>
      </w:r>
      <w:r>
        <w:t xml:space="preserve"> die in deze periodieke rapportage </w:t>
      </w:r>
      <w:r w:rsidR="00622F56">
        <w:t>worden</w:t>
      </w:r>
      <w:r>
        <w:t xml:space="preserve"> </w:t>
      </w:r>
      <w:r w:rsidR="00622F56">
        <w:t>gedaan</w:t>
      </w:r>
      <w:r>
        <w:t xml:space="preserve"> zijn </w:t>
      </w:r>
      <w:r w:rsidR="002761B1">
        <w:t xml:space="preserve">van </w:t>
      </w:r>
      <w:r w:rsidR="00622F56">
        <w:t>belang</w:t>
      </w:r>
      <w:r w:rsidR="002761B1">
        <w:t xml:space="preserve"> </w:t>
      </w:r>
      <w:r>
        <w:t xml:space="preserve">om ons beleid </w:t>
      </w:r>
      <w:r w:rsidR="002761B1">
        <w:t xml:space="preserve">steeds </w:t>
      </w:r>
      <w:r>
        <w:t xml:space="preserve">te verbeteren </w:t>
      </w:r>
      <w:r w:rsidR="002761B1">
        <w:t>ten behoeve van</w:t>
      </w:r>
      <w:r>
        <w:t xml:space="preserve"> een veilige, schone en gezonde leefomgeving.</w:t>
      </w:r>
    </w:p>
    <w:p w:rsidR="00275647" w:rsidP="00275647" w:rsidRDefault="00275647" w14:paraId="17A3DE9C" w14:textId="77777777">
      <w:pPr>
        <w:pStyle w:val="Slotzin"/>
      </w:pPr>
      <w:r>
        <w:t>Hoogachtend,</w:t>
      </w:r>
    </w:p>
    <w:p w:rsidR="00275647" w:rsidP="00275647" w:rsidRDefault="00275647" w14:paraId="049FC0D2" w14:textId="77777777">
      <w:pPr>
        <w:pStyle w:val="OndertekeningArea1"/>
      </w:pPr>
      <w:r>
        <w:t>DE MINISTER VAN INFRASTRUCTUUR EN WATERSTAAT,</w:t>
      </w:r>
    </w:p>
    <w:p w:rsidR="00275647" w:rsidP="00275647" w:rsidRDefault="00275647" w14:paraId="7FB4E9F7" w14:textId="77777777"/>
    <w:p w:rsidR="00275647" w:rsidP="00275647" w:rsidRDefault="00275647" w14:paraId="5A8092FA" w14:textId="77777777"/>
    <w:p w:rsidR="00930BC2" w:rsidP="00275647" w:rsidRDefault="00930BC2" w14:paraId="5AB8FFAA" w14:textId="77777777"/>
    <w:p w:rsidR="00930BC2" w:rsidP="00275647" w:rsidRDefault="00930BC2" w14:paraId="3AED65D9" w14:textId="77777777"/>
    <w:p w:rsidR="00930BC2" w:rsidP="00275647" w:rsidRDefault="00930BC2" w14:paraId="16ED494B" w14:textId="77777777"/>
    <w:p w:rsidR="00275647" w:rsidP="00275647" w:rsidRDefault="00B54A9D" w14:paraId="1193708B" w14:textId="1AFA24AA">
      <w:r>
        <w:t>V</w:t>
      </w:r>
      <w:r w:rsidR="00930BC2">
        <w:t>incent</w:t>
      </w:r>
      <w:r w:rsidR="00A104FB">
        <w:t xml:space="preserve"> </w:t>
      </w:r>
      <w:r>
        <w:t>Karremans</w:t>
      </w:r>
    </w:p>
    <w:p w:rsidR="00275647" w:rsidP="00275647" w:rsidRDefault="00275647" w14:paraId="6051314D" w14:textId="77777777"/>
    <w:p w:rsidRPr="00E919A4" w:rsidR="0053005D" w:rsidP="00E919A4" w:rsidRDefault="0053005D" w14:paraId="4FD6CCEB" w14:textId="72FC1AEF"/>
    <w:sectPr w:rsidRPr="00E919A4" w:rsidR="0053005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15EF" w14:textId="77777777" w:rsidR="00D52759" w:rsidRDefault="00D52759">
      <w:pPr>
        <w:spacing w:line="240" w:lineRule="auto"/>
      </w:pPr>
      <w:r>
        <w:separator/>
      </w:r>
    </w:p>
  </w:endnote>
  <w:endnote w:type="continuationSeparator" w:id="0">
    <w:p w14:paraId="50A0B0B6" w14:textId="77777777" w:rsidR="00D52759" w:rsidRDefault="00D52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CGJL N+ Univers">
    <w:altName w:val="Univers"/>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B80B" w14:textId="77777777" w:rsidR="00590DEE" w:rsidRDefault="0059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F072" w14:textId="77777777" w:rsidR="00590DEE" w:rsidRDefault="00590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F8AE" w14:textId="77777777" w:rsidR="00590DEE" w:rsidRDefault="0059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C22F5" w14:textId="77777777" w:rsidR="00D52759" w:rsidRDefault="00D52759">
      <w:pPr>
        <w:spacing w:line="240" w:lineRule="auto"/>
      </w:pPr>
      <w:r>
        <w:separator/>
      </w:r>
    </w:p>
  </w:footnote>
  <w:footnote w:type="continuationSeparator" w:id="0">
    <w:p w14:paraId="7D9942A2" w14:textId="77777777" w:rsidR="00D52759" w:rsidRDefault="00D52759">
      <w:pPr>
        <w:spacing w:line="240" w:lineRule="auto"/>
      </w:pPr>
      <w:r>
        <w:continuationSeparator/>
      </w:r>
    </w:p>
  </w:footnote>
  <w:footnote w:id="1">
    <w:p w14:paraId="235C75BA" w14:textId="42B86A1C" w:rsidR="00AF6652" w:rsidRPr="00AF6652" w:rsidRDefault="00AF6652">
      <w:pPr>
        <w:pStyle w:val="FootnoteText"/>
        <w:rPr>
          <w:sz w:val="16"/>
          <w:szCs w:val="16"/>
        </w:rPr>
      </w:pPr>
      <w:r w:rsidRPr="00AF6652">
        <w:rPr>
          <w:rStyle w:val="FootnoteReference"/>
          <w:sz w:val="16"/>
          <w:szCs w:val="16"/>
        </w:rPr>
        <w:footnoteRef/>
      </w:r>
      <w:r w:rsidRPr="00AF6652">
        <w:rPr>
          <w:sz w:val="16"/>
          <w:szCs w:val="16"/>
        </w:rPr>
        <w:t xml:space="preserve"> Kamerstukken II 2024-2025, 32861, nr. 85</w:t>
      </w:r>
    </w:p>
  </w:footnote>
  <w:footnote w:id="2">
    <w:p w14:paraId="4ED3E188" w14:textId="1DF1CB93" w:rsidR="004C18D2" w:rsidRPr="004C18D2" w:rsidRDefault="004C18D2">
      <w:pPr>
        <w:pStyle w:val="FootnoteText"/>
        <w:rPr>
          <w:sz w:val="16"/>
          <w:szCs w:val="16"/>
        </w:rPr>
      </w:pPr>
      <w:r w:rsidRPr="004C18D2">
        <w:rPr>
          <w:rStyle w:val="FootnoteReference"/>
          <w:sz w:val="16"/>
          <w:szCs w:val="16"/>
        </w:rPr>
        <w:footnoteRef/>
      </w:r>
      <w:r w:rsidRPr="004C18D2">
        <w:rPr>
          <w:sz w:val="16"/>
          <w:szCs w:val="16"/>
        </w:rPr>
        <w:t xml:space="preserve"> </w:t>
      </w:r>
      <w:bookmarkStart w:id="1" w:name="_Hlk220588962"/>
      <w:r w:rsidRPr="004C18D2">
        <w:rPr>
          <w:sz w:val="16"/>
          <w:szCs w:val="16"/>
        </w:rPr>
        <w:t>Brief commissie aan bewindspersoon, 2024Z15398, 9 oktober 2024</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F076" w14:textId="77777777" w:rsidR="00590DEE" w:rsidRDefault="00590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D6ED" w14:textId="77777777" w:rsidR="0053005D" w:rsidRDefault="00C50A44">
    <w:r>
      <w:rPr>
        <w:noProof/>
        <w:lang w:val="en-GB" w:eastAsia="en-GB"/>
      </w:rPr>
      <mc:AlternateContent>
        <mc:Choice Requires="wps">
          <w:drawing>
            <wp:anchor distT="0" distB="0" distL="0" distR="0" simplePos="0" relativeHeight="251651584" behindDoc="0" locked="1" layoutInCell="1" allowOverlap="1" wp14:anchorId="7A9F1F5D" wp14:editId="45833E3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EE08C3" w14:textId="77777777" w:rsidR="007264EB" w:rsidRDefault="007264EB" w:rsidP="007264EB">
                          <w:pPr>
                            <w:pStyle w:val="AfzendgegevensKop0"/>
                          </w:pPr>
                          <w:r>
                            <w:t>Ministerie van Infrastructuur en Waterstaat</w:t>
                          </w:r>
                        </w:p>
                        <w:p w14:paraId="3ED2F835" w14:textId="77777777" w:rsidR="007264EB" w:rsidRDefault="007264EB" w:rsidP="007264EB">
                          <w:pPr>
                            <w:pStyle w:val="WitregelW2"/>
                          </w:pPr>
                        </w:p>
                        <w:p w14:paraId="3E88DB27" w14:textId="77777777" w:rsidR="007264EB" w:rsidRDefault="007264EB" w:rsidP="007264EB">
                          <w:pPr>
                            <w:pStyle w:val="Referentiegegevenskop"/>
                          </w:pPr>
                          <w:r>
                            <w:t>Ons kenmerk</w:t>
                          </w:r>
                        </w:p>
                        <w:p w14:paraId="4BF9F029" w14:textId="2DD7C6C8" w:rsidR="0053005D" w:rsidRDefault="0058160F" w:rsidP="0058160F">
                          <w:pPr>
                            <w:pStyle w:val="Referentiegegevens"/>
                          </w:pPr>
                          <w:r w:rsidRPr="0058160F">
                            <w:t>IenW/BSK-202</w:t>
                          </w:r>
                          <w:r w:rsidR="00930BC2">
                            <w:t>6/17543</w:t>
                          </w:r>
                        </w:p>
                      </w:txbxContent>
                    </wps:txbx>
                    <wps:bodyPr vert="horz" wrap="square" lIns="0" tIns="0" rIns="0" bIns="0" anchor="t" anchorCtr="0"/>
                  </wps:wsp>
                </a:graphicData>
              </a:graphic>
            </wp:anchor>
          </w:drawing>
        </mc:Choice>
        <mc:Fallback>
          <w:pict>
            <v:shapetype w14:anchorId="7A9F1F5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EE08C3" w14:textId="77777777" w:rsidR="007264EB" w:rsidRDefault="007264EB" w:rsidP="007264EB">
                    <w:pPr>
                      <w:pStyle w:val="AfzendgegevensKop0"/>
                    </w:pPr>
                    <w:r>
                      <w:t>Ministerie van Infrastructuur en Waterstaat</w:t>
                    </w:r>
                  </w:p>
                  <w:p w14:paraId="3ED2F835" w14:textId="77777777" w:rsidR="007264EB" w:rsidRDefault="007264EB" w:rsidP="007264EB">
                    <w:pPr>
                      <w:pStyle w:val="WitregelW2"/>
                    </w:pPr>
                  </w:p>
                  <w:p w14:paraId="3E88DB27" w14:textId="77777777" w:rsidR="007264EB" w:rsidRDefault="007264EB" w:rsidP="007264EB">
                    <w:pPr>
                      <w:pStyle w:val="Referentiegegevenskop"/>
                    </w:pPr>
                    <w:r>
                      <w:t>Ons kenmerk</w:t>
                    </w:r>
                  </w:p>
                  <w:p w14:paraId="4BF9F029" w14:textId="2DD7C6C8" w:rsidR="0053005D" w:rsidRDefault="0058160F" w:rsidP="0058160F">
                    <w:pPr>
                      <w:pStyle w:val="Referentiegegevens"/>
                    </w:pPr>
                    <w:r w:rsidRPr="0058160F">
                      <w:t>IenW/BSK-202</w:t>
                    </w:r>
                    <w:r w:rsidR="00930BC2">
                      <w:t>6/17543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6F71242" wp14:editId="5F8449F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08A149" w14:textId="77777777" w:rsidR="0053005D" w:rsidRDefault="00C50A44">
                          <w:pPr>
                            <w:pStyle w:val="Referentiegegevens"/>
                          </w:pPr>
                          <w:r>
                            <w:t xml:space="preserve">Pagina </w:t>
                          </w:r>
                          <w:r>
                            <w:fldChar w:fldCharType="begin"/>
                          </w:r>
                          <w:r>
                            <w:instrText>PAGE</w:instrText>
                          </w:r>
                          <w:r>
                            <w:fldChar w:fldCharType="separate"/>
                          </w:r>
                          <w:r w:rsidR="00F7284E">
                            <w:rPr>
                              <w:noProof/>
                            </w:rPr>
                            <w:t>1</w:t>
                          </w:r>
                          <w:r>
                            <w:fldChar w:fldCharType="end"/>
                          </w:r>
                          <w:r>
                            <w:t xml:space="preserve"> van </w:t>
                          </w:r>
                          <w:r>
                            <w:fldChar w:fldCharType="begin"/>
                          </w:r>
                          <w:r>
                            <w:instrText>NUMPAGES</w:instrText>
                          </w:r>
                          <w:r>
                            <w:fldChar w:fldCharType="separate"/>
                          </w:r>
                          <w:r w:rsidR="00F7284E">
                            <w:rPr>
                              <w:noProof/>
                            </w:rPr>
                            <w:t>1</w:t>
                          </w:r>
                          <w:r>
                            <w:fldChar w:fldCharType="end"/>
                          </w:r>
                        </w:p>
                      </w:txbxContent>
                    </wps:txbx>
                    <wps:bodyPr vert="horz" wrap="square" lIns="0" tIns="0" rIns="0" bIns="0" anchor="t" anchorCtr="0"/>
                  </wps:wsp>
                </a:graphicData>
              </a:graphic>
            </wp:anchor>
          </w:drawing>
        </mc:Choice>
        <mc:Fallback>
          <w:pict>
            <v:shape w14:anchorId="56F7124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F08A149" w14:textId="77777777" w:rsidR="0053005D" w:rsidRDefault="00C50A44">
                    <w:pPr>
                      <w:pStyle w:val="Referentiegegevens"/>
                    </w:pPr>
                    <w:r>
                      <w:t xml:space="preserve">Pagina </w:t>
                    </w:r>
                    <w:r>
                      <w:fldChar w:fldCharType="begin"/>
                    </w:r>
                    <w:r>
                      <w:instrText>PAGE</w:instrText>
                    </w:r>
                    <w:r>
                      <w:fldChar w:fldCharType="separate"/>
                    </w:r>
                    <w:r w:rsidR="00F7284E">
                      <w:rPr>
                        <w:noProof/>
                      </w:rPr>
                      <w:t>1</w:t>
                    </w:r>
                    <w:r>
                      <w:fldChar w:fldCharType="end"/>
                    </w:r>
                    <w:r>
                      <w:t xml:space="preserve"> van </w:t>
                    </w:r>
                    <w:r>
                      <w:fldChar w:fldCharType="begin"/>
                    </w:r>
                    <w:r>
                      <w:instrText>NUMPAGES</w:instrText>
                    </w:r>
                    <w:r>
                      <w:fldChar w:fldCharType="separate"/>
                    </w:r>
                    <w:r w:rsidR="00F7284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1174AD8" wp14:editId="259F3BC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6BC08A" w14:textId="77777777" w:rsidR="006118D4" w:rsidRDefault="006118D4"/>
                      </w:txbxContent>
                    </wps:txbx>
                    <wps:bodyPr vert="horz" wrap="square" lIns="0" tIns="0" rIns="0" bIns="0" anchor="t" anchorCtr="0"/>
                  </wps:wsp>
                </a:graphicData>
              </a:graphic>
            </wp:anchor>
          </w:drawing>
        </mc:Choice>
        <mc:Fallback>
          <w:pict>
            <v:shape w14:anchorId="71174AD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C6BC08A" w14:textId="77777777" w:rsidR="006118D4" w:rsidRDefault="006118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8C600B6" wp14:editId="0F162CC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9C3179" w14:textId="77777777" w:rsidR="006118D4" w:rsidRDefault="006118D4"/>
                      </w:txbxContent>
                    </wps:txbx>
                    <wps:bodyPr vert="horz" wrap="square" lIns="0" tIns="0" rIns="0" bIns="0" anchor="t" anchorCtr="0"/>
                  </wps:wsp>
                </a:graphicData>
              </a:graphic>
            </wp:anchor>
          </w:drawing>
        </mc:Choice>
        <mc:Fallback>
          <w:pict>
            <v:shape w14:anchorId="68C600B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9C3179" w14:textId="77777777" w:rsidR="006118D4" w:rsidRDefault="006118D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3149" w14:textId="77777777" w:rsidR="0053005D" w:rsidRDefault="00C50A4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C0558F" wp14:editId="4D9F408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DBE227C" w14:textId="77777777" w:rsidR="006118D4" w:rsidRDefault="006118D4"/>
                      </w:txbxContent>
                    </wps:txbx>
                    <wps:bodyPr vert="horz" wrap="square" lIns="0" tIns="0" rIns="0" bIns="0" anchor="t" anchorCtr="0"/>
                  </wps:wsp>
                </a:graphicData>
              </a:graphic>
            </wp:anchor>
          </w:drawing>
        </mc:Choice>
        <mc:Fallback>
          <w:pict>
            <v:shapetype w14:anchorId="60C055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DBE227C" w14:textId="77777777" w:rsidR="006118D4" w:rsidRDefault="006118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7BD60E" wp14:editId="36CFD4D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C601D0" w14:textId="40DB8E0D" w:rsidR="0053005D" w:rsidRDefault="00C50A44">
                          <w:pPr>
                            <w:pStyle w:val="Referentiegegevens"/>
                          </w:pPr>
                          <w:r>
                            <w:t xml:space="preserve">Pagina </w:t>
                          </w:r>
                          <w:r>
                            <w:fldChar w:fldCharType="begin"/>
                          </w:r>
                          <w:r>
                            <w:instrText>PAGE</w:instrText>
                          </w:r>
                          <w:r>
                            <w:fldChar w:fldCharType="separate"/>
                          </w:r>
                          <w:r w:rsidR="00DF1F13">
                            <w:rPr>
                              <w:noProof/>
                            </w:rPr>
                            <w:t>1</w:t>
                          </w:r>
                          <w:r>
                            <w:fldChar w:fldCharType="end"/>
                          </w:r>
                          <w:r>
                            <w:t xml:space="preserve"> van </w:t>
                          </w:r>
                          <w:r>
                            <w:fldChar w:fldCharType="begin"/>
                          </w:r>
                          <w:r>
                            <w:instrText>NUMPAGES</w:instrText>
                          </w:r>
                          <w:r>
                            <w:fldChar w:fldCharType="separate"/>
                          </w:r>
                          <w:r w:rsidR="00DF1F13">
                            <w:rPr>
                              <w:noProof/>
                            </w:rPr>
                            <w:t>1</w:t>
                          </w:r>
                          <w:r>
                            <w:fldChar w:fldCharType="end"/>
                          </w:r>
                        </w:p>
                      </w:txbxContent>
                    </wps:txbx>
                    <wps:bodyPr vert="horz" wrap="square" lIns="0" tIns="0" rIns="0" bIns="0" anchor="t" anchorCtr="0"/>
                  </wps:wsp>
                </a:graphicData>
              </a:graphic>
            </wp:anchor>
          </w:drawing>
        </mc:Choice>
        <mc:Fallback>
          <w:pict>
            <v:shape w14:anchorId="717BD60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9C601D0" w14:textId="40DB8E0D" w:rsidR="0053005D" w:rsidRDefault="00C50A44">
                    <w:pPr>
                      <w:pStyle w:val="Referentiegegevens"/>
                    </w:pPr>
                    <w:r>
                      <w:t xml:space="preserve">Pagina </w:t>
                    </w:r>
                    <w:r>
                      <w:fldChar w:fldCharType="begin"/>
                    </w:r>
                    <w:r>
                      <w:instrText>PAGE</w:instrText>
                    </w:r>
                    <w:r>
                      <w:fldChar w:fldCharType="separate"/>
                    </w:r>
                    <w:r w:rsidR="00DF1F13">
                      <w:rPr>
                        <w:noProof/>
                      </w:rPr>
                      <w:t>1</w:t>
                    </w:r>
                    <w:r>
                      <w:fldChar w:fldCharType="end"/>
                    </w:r>
                    <w:r>
                      <w:t xml:space="preserve"> van </w:t>
                    </w:r>
                    <w:r>
                      <w:fldChar w:fldCharType="begin"/>
                    </w:r>
                    <w:r>
                      <w:instrText>NUMPAGES</w:instrText>
                    </w:r>
                    <w:r>
                      <w:fldChar w:fldCharType="separate"/>
                    </w:r>
                    <w:r w:rsidR="00DF1F1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2427F9" wp14:editId="2C1E51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BFEBD7" w14:textId="77777777" w:rsidR="007264EB" w:rsidRDefault="007264EB" w:rsidP="007264EB">
                          <w:pPr>
                            <w:pStyle w:val="AfzendgegevensKop0"/>
                          </w:pPr>
                          <w:r>
                            <w:t>Ministerie van Infrastructuur en Waterstaat</w:t>
                          </w:r>
                        </w:p>
                        <w:p w14:paraId="4EC759A4" w14:textId="77777777" w:rsidR="007264EB" w:rsidRDefault="007264EB" w:rsidP="007264EB">
                          <w:pPr>
                            <w:pStyle w:val="WitregelW1"/>
                          </w:pPr>
                        </w:p>
                        <w:p w14:paraId="50C6CDCE" w14:textId="77777777" w:rsidR="007264EB" w:rsidRDefault="007264EB" w:rsidP="007264EB">
                          <w:pPr>
                            <w:pStyle w:val="Afzendgegevens"/>
                          </w:pPr>
                          <w:r>
                            <w:t>Rijnstraat 8</w:t>
                          </w:r>
                        </w:p>
                        <w:p w14:paraId="75D240E2" w14:textId="77777777" w:rsidR="007264EB" w:rsidRPr="00254CD9" w:rsidRDefault="007264EB" w:rsidP="007264EB">
                          <w:pPr>
                            <w:pStyle w:val="Afzendgegevens"/>
                            <w:rPr>
                              <w:lang w:val="de-DE"/>
                            </w:rPr>
                          </w:pPr>
                          <w:r w:rsidRPr="00254CD9">
                            <w:rPr>
                              <w:lang w:val="de-DE"/>
                            </w:rPr>
                            <w:t>2515 XP  Den Haag</w:t>
                          </w:r>
                        </w:p>
                        <w:p w14:paraId="1E101145" w14:textId="77777777" w:rsidR="007264EB" w:rsidRPr="00254CD9" w:rsidRDefault="007264EB" w:rsidP="007264EB">
                          <w:pPr>
                            <w:pStyle w:val="Afzendgegevens"/>
                            <w:rPr>
                              <w:lang w:val="de-DE"/>
                            </w:rPr>
                          </w:pPr>
                          <w:r w:rsidRPr="00254CD9">
                            <w:rPr>
                              <w:lang w:val="de-DE"/>
                            </w:rPr>
                            <w:t>Postbus 20901</w:t>
                          </w:r>
                        </w:p>
                        <w:p w14:paraId="69733E95" w14:textId="77777777" w:rsidR="007264EB" w:rsidRPr="00254CD9" w:rsidRDefault="007264EB" w:rsidP="007264EB">
                          <w:pPr>
                            <w:pStyle w:val="Afzendgegevens"/>
                            <w:rPr>
                              <w:lang w:val="de-DE"/>
                            </w:rPr>
                          </w:pPr>
                          <w:r w:rsidRPr="00254CD9">
                            <w:rPr>
                              <w:lang w:val="de-DE"/>
                            </w:rPr>
                            <w:t>2500 EX Den Haag</w:t>
                          </w:r>
                        </w:p>
                        <w:p w14:paraId="0534D504" w14:textId="77777777" w:rsidR="007264EB" w:rsidRPr="00254CD9" w:rsidRDefault="007264EB" w:rsidP="007264EB">
                          <w:pPr>
                            <w:pStyle w:val="WitregelW1"/>
                            <w:rPr>
                              <w:lang w:val="de-DE"/>
                            </w:rPr>
                          </w:pPr>
                        </w:p>
                        <w:p w14:paraId="56DCA9BB" w14:textId="77777777" w:rsidR="007264EB" w:rsidRPr="00254CD9" w:rsidRDefault="007264EB" w:rsidP="007264EB">
                          <w:pPr>
                            <w:pStyle w:val="Afzendgegevens"/>
                            <w:rPr>
                              <w:lang w:val="de-DE"/>
                            </w:rPr>
                          </w:pPr>
                          <w:r w:rsidRPr="00254CD9">
                            <w:rPr>
                              <w:lang w:val="de-DE"/>
                            </w:rPr>
                            <w:t>T   070-456 0000</w:t>
                          </w:r>
                        </w:p>
                        <w:p w14:paraId="6A685C5F" w14:textId="77777777" w:rsidR="007264EB" w:rsidRDefault="007264EB" w:rsidP="007264EB">
                          <w:pPr>
                            <w:pStyle w:val="Afzendgegevens"/>
                          </w:pPr>
                          <w:r>
                            <w:t>F   070-456 1111</w:t>
                          </w:r>
                        </w:p>
                        <w:p w14:paraId="40ACA8DD" w14:textId="77777777" w:rsidR="007264EB" w:rsidRDefault="007264EB" w:rsidP="007264EB">
                          <w:pPr>
                            <w:pStyle w:val="WitregelW2"/>
                          </w:pPr>
                        </w:p>
                        <w:p w14:paraId="3AD705E5" w14:textId="77777777" w:rsidR="007264EB" w:rsidRDefault="007264EB" w:rsidP="007264EB">
                          <w:pPr>
                            <w:pStyle w:val="Referentiegegevenskop"/>
                          </w:pPr>
                          <w:r>
                            <w:t>Ons kenmerk</w:t>
                          </w:r>
                        </w:p>
                        <w:p w14:paraId="6609F356" w14:textId="2DB27F9D" w:rsidR="007264EB" w:rsidRDefault="007264EB" w:rsidP="007264EB">
                          <w:pPr>
                            <w:pStyle w:val="Referentiegegevens"/>
                          </w:pPr>
                          <w:r w:rsidRPr="0058160F">
                            <w:t>IenW/</w:t>
                          </w:r>
                          <w:r w:rsidR="0058160F" w:rsidRPr="0058160F">
                            <w:t>BSK</w:t>
                          </w:r>
                          <w:r w:rsidR="0058160F">
                            <w:t>-202</w:t>
                          </w:r>
                          <w:r w:rsidR="00930BC2">
                            <w:t>6</w:t>
                          </w:r>
                          <w:r w:rsidR="0058160F">
                            <w:t>/</w:t>
                          </w:r>
                          <w:r w:rsidR="00930BC2">
                            <w:t>17543</w:t>
                          </w:r>
                        </w:p>
                        <w:p w14:paraId="26C91F95" w14:textId="77777777" w:rsidR="007264EB" w:rsidRDefault="007264EB" w:rsidP="007264EB">
                          <w:pPr>
                            <w:pStyle w:val="WitregelW1"/>
                          </w:pPr>
                        </w:p>
                        <w:p w14:paraId="0CCD5BD7" w14:textId="77777777" w:rsidR="007264EB" w:rsidRDefault="007264EB" w:rsidP="007264EB">
                          <w:pPr>
                            <w:pStyle w:val="Referentiegegevenskop"/>
                          </w:pPr>
                          <w:r>
                            <w:t>Bijlage(n)</w:t>
                          </w:r>
                        </w:p>
                        <w:p w14:paraId="3D49103C" w14:textId="6A0A2168" w:rsidR="007264EB" w:rsidRDefault="000E7941" w:rsidP="007264EB">
                          <w:pPr>
                            <w:pStyle w:val="Referentiegegevens"/>
                          </w:pPr>
                          <w:r>
                            <w:t>4</w:t>
                          </w:r>
                        </w:p>
                        <w:p w14:paraId="0AE1E3B0" w14:textId="66D21D6E" w:rsidR="0053005D" w:rsidRDefault="0053005D">
                          <w:pPr>
                            <w:pStyle w:val="Referentiegegevens"/>
                          </w:pPr>
                        </w:p>
                      </w:txbxContent>
                    </wps:txbx>
                    <wps:bodyPr vert="horz" wrap="square" lIns="0" tIns="0" rIns="0" bIns="0" anchor="t" anchorCtr="0"/>
                  </wps:wsp>
                </a:graphicData>
              </a:graphic>
            </wp:anchor>
          </w:drawing>
        </mc:Choice>
        <mc:Fallback>
          <w:pict>
            <v:shape w14:anchorId="5E2427F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5BFEBD7" w14:textId="77777777" w:rsidR="007264EB" w:rsidRDefault="007264EB" w:rsidP="007264EB">
                    <w:pPr>
                      <w:pStyle w:val="AfzendgegevensKop0"/>
                    </w:pPr>
                    <w:r>
                      <w:t>Ministerie van Infrastructuur en Waterstaat</w:t>
                    </w:r>
                  </w:p>
                  <w:p w14:paraId="4EC759A4" w14:textId="77777777" w:rsidR="007264EB" w:rsidRDefault="007264EB" w:rsidP="007264EB">
                    <w:pPr>
                      <w:pStyle w:val="WitregelW1"/>
                    </w:pPr>
                  </w:p>
                  <w:p w14:paraId="50C6CDCE" w14:textId="77777777" w:rsidR="007264EB" w:rsidRDefault="007264EB" w:rsidP="007264EB">
                    <w:pPr>
                      <w:pStyle w:val="Afzendgegevens"/>
                    </w:pPr>
                    <w:r>
                      <w:t>Rijnstraat 8</w:t>
                    </w:r>
                  </w:p>
                  <w:p w14:paraId="75D240E2" w14:textId="77777777" w:rsidR="007264EB" w:rsidRPr="00254CD9" w:rsidRDefault="007264EB" w:rsidP="007264EB">
                    <w:pPr>
                      <w:pStyle w:val="Afzendgegevens"/>
                      <w:rPr>
                        <w:lang w:val="de-DE"/>
                      </w:rPr>
                    </w:pPr>
                    <w:r w:rsidRPr="00254CD9">
                      <w:rPr>
                        <w:lang w:val="de-DE"/>
                      </w:rPr>
                      <w:t>2515 XP  Den Haag</w:t>
                    </w:r>
                  </w:p>
                  <w:p w14:paraId="1E101145" w14:textId="77777777" w:rsidR="007264EB" w:rsidRPr="00254CD9" w:rsidRDefault="007264EB" w:rsidP="007264EB">
                    <w:pPr>
                      <w:pStyle w:val="Afzendgegevens"/>
                      <w:rPr>
                        <w:lang w:val="de-DE"/>
                      </w:rPr>
                    </w:pPr>
                    <w:r w:rsidRPr="00254CD9">
                      <w:rPr>
                        <w:lang w:val="de-DE"/>
                      </w:rPr>
                      <w:t>Postbus 20901</w:t>
                    </w:r>
                  </w:p>
                  <w:p w14:paraId="69733E95" w14:textId="77777777" w:rsidR="007264EB" w:rsidRPr="00254CD9" w:rsidRDefault="007264EB" w:rsidP="007264EB">
                    <w:pPr>
                      <w:pStyle w:val="Afzendgegevens"/>
                      <w:rPr>
                        <w:lang w:val="de-DE"/>
                      </w:rPr>
                    </w:pPr>
                    <w:r w:rsidRPr="00254CD9">
                      <w:rPr>
                        <w:lang w:val="de-DE"/>
                      </w:rPr>
                      <w:t>2500 EX Den Haag</w:t>
                    </w:r>
                  </w:p>
                  <w:p w14:paraId="0534D504" w14:textId="77777777" w:rsidR="007264EB" w:rsidRPr="00254CD9" w:rsidRDefault="007264EB" w:rsidP="007264EB">
                    <w:pPr>
                      <w:pStyle w:val="WitregelW1"/>
                      <w:rPr>
                        <w:lang w:val="de-DE"/>
                      </w:rPr>
                    </w:pPr>
                  </w:p>
                  <w:p w14:paraId="56DCA9BB" w14:textId="77777777" w:rsidR="007264EB" w:rsidRPr="00254CD9" w:rsidRDefault="007264EB" w:rsidP="007264EB">
                    <w:pPr>
                      <w:pStyle w:val="Afzendgegevens"/>
                      <w:rPr>
                        <w:lang w:val="de-DE"/>
                      </w:rPr>
                    </w:pPr>
                    <w:r w:rsidRPr="00254CD9">
                      <w:rPr>
                        <w:lang w:val="de-DE"/>
                      </w:rPr>
                      <w:t>T   070-456 0000</w:t>
                    </w:r>
                  </w:p>
                  <w:p w14:paraId="6A685C5F" w14:textId="77777777" w:rsidR="007264EB" w:rsidRDefault="007264EB" w:rsidP="007264EB">
                    <w:pPr>
                      <w:pStyle w:val="Afzendgegevens"/>
                    </w:pPr>
                    <w:r>
                      <w:t>F   070-456 1111</w:t>
                    </w:r>
                  </w:p>
                  <w:p w14:paraId="40ACA8DD" w14:textId="77777777" w:rsidR="007264EB" w:rsidRDefault="007264EB" w:rsidP="007264EB">
                    <w:pPr>
                      <w:pStyle w:val="WitregelW2"/>
                    </w:pPr>
                  </w:p>
                  <w:p w14:paraId="3AD705E5" w14:textId="77777777" w:rsidR="007264EB" w:rsidRDefault="007264EB" w:rsidP="007264EB">
                    <w:pPr>
                      <w:pStyle w:val="Referentiegegevenskop"/>
                    </w:pPr>
                    <w:r>
                      <w:t>Ons kenmerk</w:t>
                    </w:r>
                  </w:p>
                  <w:p w14:paraId="6609F356" w14:textId="2DB27F9D" w:rsidR="007264EB" w:rsidRDefault="007264EB" w:rsidP="007264EB">
                    <w:pPr>
                      <w:pStyle w:val="Referentiegegevens"/>
                    </w:pPr>
                    <w:r w:rsidRPr="0058160F">
                      <w:t>IenW/</w:t>
                    </w:r>
                    <w:r w:rsidR="0058160F" w:rsidRPr="0058160F">
                      <w:t>BSK</w:t>
                    </w:r>
                    <w:r w:rsidR="0058160F">
                      <w:t>-202</w:t>
                    </w:r>
                    <w:r w:rsidR="00930BC2">
                      <w:t>6</w:t>
                    </w:r>
                    <w:r w:rsidR="0058160F">
                      <w:t>/</w:t>
                    </w:r>
                    <w:r w:rsidR="00930BC2">
                      <w:t>17543</w:t>
                    </w:r>
                  </w:p>
                  <w:p w14:paraId="26C91F95" w14:textId="77777777" w:rsidR="007264EB" w:rsidRDefault="007264EB" w:rsidP="007264EB">
                    <w:pPr>
                      <w:pStyle w:val="WitregelW1"/>
                    </w:pPr>
                  </w:p>
                  <w:p w14:paraId="0CCD5BD7" w14:textId="77777777" w:rsidR="007264EB" w:rsidRDefault="007264EB" w:rsidP="007264EB">
                    <w:pPr>
                      <w:pStyle w:val="Referentiegegevenskop"/>
                    </w:pPr>
                    <w:r>
                      <w:t>Bijlage(n)</w:t>
                    </w:r>
                  </w:p>
                  <w:p w14:paraId="3D49103C" w14:textId="6A0A2168" w:rsidR="007264EB" w:rsidRDefault="000E7941" w:rsidP="007264EB">
                    <w:pPr>
                      <w:pStyle w:val="Referentiegegevens"/>
                    </w:pPr>
                    <w:r>
                      <w:t>4</w:t>
                    </w:r>
                  </w:p>
                  <w:p w14:paraId="0AE1E3B0" w14:textId="66D21D6E" w:rsidR="0053005D" w:rsidRDefault="0053005D">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22BD23" wp14:editId="29BEB55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013FEF" w14:textId="77777777" w:rsidR="0053005D" w:rsidRDefault="00C50A44">
                          <w:pPr>
                            <w:spacing w:line="240" w:lineRule="auto"/>
                          </w:pPr>
                          <w:r>
                            <w:rPr>
                              <w:noProof/>
                              <w:lang w:val="en-GB" w:eastAsia="en-GB"/>
                            </w:rPr>
                            <w:drawing>
                              <wp:inline distT="0" distB="0" distL="0" distR="0" wp14:anchorId="5C41DE5D" wp14:editId="65FC8C1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22BD2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4013FEF" w14:textId="77777777" w:rsidR="0053005D" w:rsidRDefault="00C50A44">
                    <w:pPr>
                      <w:spacing w:line="240" w:lineRule="auto"/>
                    </w:pPr>
                    <w:r>
                      <w:rPr>
                        <w:noProof/>
                        <w:lang w:val="en-GB" w:eastAsia="en-GB"/>
                      </w:rPr>
                      <w:drawing>
                        <wp:inline distT="0" distB="0" distL="0" distR="0" wp14:anchorId="5C41DE5D" wp14:editId="65FC8C1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3FAB57" wp14:editId="699CEF3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7EA29F" w14:textId="77777777" w:rsidR="0053005D" w:rsidRDefault="00C50A44">
                          <w:pPr>
                            <w:spacing w:line="240" w:lineRule="auto"/>
                          </w:pPr>
                          <w:r>
                            <w:rPr>
                              <w:noProof/>
                              <w:lang w:val="en-GB" w:eastAsia="en-GB"/>
                            </w:rPr>
                            <w:drawing>
                              <wp:inline distT="0" distB="0" distL="0" distR="0" wp14:anchorId="24976DA8" wp14:editId="60567FF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3FAB5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97EA29F" w14:textId="77777777" w:rsidR="0053005D" w:rsidRDefault="00C50A44">
                    <w:pPr>
                      <w:spacing w:line="240" w:lineRule="auto"/>
                    </w:pPr>
                    <w:r>
                      <w:rPr>
                        <w:noProof/>
                        <w:lang w:val="en-GB" w:eastAsia="en-GB"/>
                      </w:rPr>
                      <w:drawing>
                        <wp:inline distT="0" distB="0" distL="0" distR="0" wp14:anchorId="24976DA8" wp14:editId="60567FF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90E253" wp14:editId="0547547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542ECE" w14:textId="77777777" w:rsidR="0053005D" w:rsidRDefault="00C50A4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90E25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542ECE" w14:textId="77777777" w:rsidR="0053005D" w:rsidRDefault="00C50A4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80D3B8" wp14:editId="1546F5F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52F9473" w14:textId="77777777" w:rsidR="0053005D" w:rsidRDefault="00C50A4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80D3B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52F9473" w14:textId="77777777" w:rsidR="0053005D" w:rsidRDefault="00C50A4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55C596" wp14:editId="1B89FDA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3005D" w14:paraId="4AB447F6" w14:textId="77777777">
                            <w:trPr>
                              <w:trHeight w:val="200"/>
                            </w:trPr>
                            <w:tc>
                              <w:tcPr>
                                <w:tcW w:w="1140" w:type="dxa"/>
                              </w:tcPr>
                              <w:p w14:paraId="270F3F44" w14:textId="77777777" w:rsidR="0053005D" w:rsidRDefault="0053005D"/>
                            </w:tc>
                            <w:tc>
                              <w:tcPr>
                                <w:tcW w:w="5400" w:type="dxa"/>
                              </w:tcPr>
                              <w:p w14:paraId="0EFAE873" w14:textId="77777777" w:rsidR="0053005D" w:rsidRDefault="0053005D"/>
                            </w:tc>
                          </w:tr>
                          <w:tr w:rsidR="0053005D" w14:paraId="0CE9F517" w14:textId="77777777">
                            <w:trPr>
                              <w:trHeight w:val="240"/>
                            </w:trPr>
                            <w:tc>
                              <w:tcPr>
                                <w:tcW w:w="1140" w:type="dxa"/>
                              </w:tcPr>
                              <w:p w14:paraId="01398D73" w14:textId="77777777" w:rsidR="0053005D" w:rsidRDefault="00C50A44">
                                <w:r>
                                  <w:t>Datum</w:t>
                                </w:r>
                              </w:p>
                            </w:tc>
                            <w:tc>
                              <w:tcPr>
                                <w:tcW w:w="5400" w:type="dxa"/>
                              </w:tcPr>
                              <w:p w14:paraId="17F42988" w14:textId="11DA639C" w:rsidR="0053005D" w:rsidRDefault="00590DEE">
                                <w:r>
                                  <w:t>1</w:t>
                                </w:r>
                                <w:r w:rsidR="00CC0EFA">
                                  <w:t>5</w:t>
                                </w:r>
                                <w:r>
                                  <w:t xml:space="preserve"> april</w:t>
                                </w:r>
                                <w:r w:rsidR="00F4713A">
                                  <w:t xml:space="preserve"> 2026</w:t>
                                </w:r>
                              </w:p>
                            </w:tc>
                          </w:tr>
                          <w:tr w:rsidR="0053005D" w14:paraId="3B621E41" w14:textId="77777777">
                            <w:trPr>
                              <w:trHeight w:val="240"/>
                            </w:trPr>
                            <w:tc>
                              <w:tcPr>
                                <w:tcW w:w="1140" w:type="dxa"/>
                              </w:tcPr>
                              <w:p w14:paraId="066C388E" w14:textId="77777777" w:rsidR="0053005D" w:rsidRDefault="00C50A44">
                                <w:r>
                                  <w:t>Betreft</w:t>
                                </w:r>
                              </w:p>
                            </w:tc>
                            <w:tc>
                              <w:tcPr>
                                <w:tcW w:w="5400" w:type="dxa"/>
                              </w:tcPr>
                              <w:p w14:paraId="00C25C78" w14:textId="77777777" w:rsidR="0053005D" w:rsidRDefault="00C50A44">
                                <w:r>
                                  <w:t>Aanbieding periodieke rapportage Omgevingsveiligheid en Milieurisico's 2018-2024</w:t>
                                </w:r>
                              </w:p>
                            </w:tc>
                          </w:tr>
                          <w:tr w:rsidR="0053005D" w14:paraId="19F85FB8" w14:textId="77777777">
                            <w:trPr>
                              <w:trHeight w:val="200"/>
                            </w:trPr>
                            <w:tc>
                              <w:tcPr>
                                <w:tcW w:w="1140" w:type="dxa"/>
                              </w:tcPr>
                              <w:p w14:paraId="3E2F7DB7" w14:textId="77777777" w:rsidR="0053005D" w:rsidRDefault="0053005D"/>
                            </w:tc>
                            <w:tc>
                              <w:tcPr>
                                <w:tcW w:w="5400" w:type="dxa"/>
                              </w:tcPr>
                              <w:p w14:paraId="3EF6B7DD" w14:textId="77777777" w:rsidR="0053005D" w:rsidRDefault="0053005D"/>
                            </w:tc>
                          </w:tr>
                        </w:tbl>
                        <w:p w14:paraId="687CE5CA" w14:textId="77777777" w:rsidR="006118D4" w:rsidRDefault="006118D4"/>
                      </w:txbxContent>
                    </wps:txbx>
                    <wps:bodyPr vert="horz" wrap="square" lIns="0" tIns="0" rIns="0" bIns="0" anchor="t" anchorCtr="0"/>
                  </wps:wsp>
                </a:graphicData>
              </a:graphic>
            </wp:anchor>
          </w:drawing>
        </mc:Choice>
        <mc:Fallback>
          <w:pict>
            <v:shape w14:anchorId="5E55C59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3005D" w14:paraId="4AB447F6" w14:textId="77777777">
                      <w:trPr>
                        <w:trHeight w:val="200"/>
                      </w:trPr>
                      <w:tc>
                        <w:tcPr>
                          <w:tcW w:w="1140" w:type="dxa"/>
                        </w:tcPr>
                        <w:p w14:paraId="270F3F44" w14:textId="77777777" w:rsidR="0053005D" w:rsidRDefault="0053005D"/>
                      </w:tc>
                      <w:tc>
                        <w:tcPr>
                          <w:tcW w:w="5400" w:type="dxa"/>
                        </w:tcPr>
                        <w:p w14:paraId="0EFAE873" w14:textId="77777777" w:rsidR="0053005D" w:rsidRDefault="0053005D"/>
                      </w:tc>
                    </w:tr>
                    <w:tr w:rsidR="0053005D" w14:paraId="0CE9F517" w14:textId="77777777">
                      <w:trPr>
                        <w:trHeight w:val="240"/>
                      </w:trPr>
                      <w:tc>
                        <w:tcPr>
                          <w:tcW w:w="1140" w:type="dxa"/>
                        </w:tcPr>
                        <w:p w14:paraId="01398D73" w14:textId="77777777" w:rsidR="0053005D" w:rsidRDefault="00C50A44">
                          <w:r>
                            <w:t>Datum</w:t>
                          </w:r>
                        </w:p>
                      </w:tc>
                      <w:tc>
                        <w:tcPr>
                          <w:tcW w:w="5400" w:type="dxa"/>
                        </w:tcPr>
                        <w:p w14:paraId="17F42988" w14:textId="11DA639C" w:rsidR="0053005D" w:rsidRDefault="00590DEE">
                          <w:r>
                            <w:t>1</w:t>
                          </w:r>
                          <w:r w:rsidR="00CC0EFA">
                            <w:t>5</w:t>
                          </w:r>
                          <w:r>
                            <w:t xml:space="preserve"> april</w:t>
                          </w:r>
                          <w:r w:rsidR="00F4713A">
                            <w:t xml:space="preserve"> 2026</w:t>
                          </w:r>
                        </w:p>
                      </w:tc>
                    </w:tr>
                    <w:tr w:rsidR="0053005D" w14:paraId="3B621E41" w14:textId="77777777">
                      <w:trPr>
                        <w:trHeight w:val="240"/>
                      </w:trPr>
                      <w:tc>
                        <w:tcPr>
                          <w:tcW w:w="1140" w:type="dxa"/>
                        </w:tcPr>
                        <w:p w14:paraId="066C388E" w14:textId="77777777" w:rsidR="0053005D" w:rsidRDefault="00C50A44">
                          <w:r>
                            <w:t>Betreft</w:t>
                          </w:r>
                        </w:p>
                      </w:tc>
                      <w:tc>
                        <w:tcPr>
                          <w:tcW w:w="5400" w:type="dxa"/>
                        </w:tcPr>
                        <w:p w14:paraId="00C25C78" w14:textId="77777777" w:rsidR="0053005D" w:rsidRDefault="00C50A44">
                          <w:r>
                            <w:t>Aanbieding periodieke rapportage Omgevingsveiligheid en Milieurisico's 2018-2024</w:t>
                          </w:r>
                        </w:p>
                      </w:tc>
                    </w:tr>
                    <w:tr w:rsidR="0053005D" w14:paraId="19F85FB8" w14:textId="77777777">
                      <w:trPr>
                        <w:trHeight w:val="200"/>
                      </w:trPr>
                      <w:tc>
                        <w:tcPr>
                          <w:tcW w:w="1140" w:type="dxa"/>
                        </w:tcPr>
                        <w:p w14:paraId="3E2F7DB7" w14:textId="77777777" w:rsidR="0053005D" w:rsidRDefault="0053005D"/>
                      </w:tc>
                      <w:tc>
                        <w:tcPr>
                          <w:tcW w:w="5400" w:type="dxa"/>
                        </w:tcPr>
                        <w:p w14:paraId="3EF6B7DD" w14:textId="77777777" w:rsidR="0053005D" w:rsidRDefault="0053005D"/>
                      </w:tc>
                    </w:tr>
                  </w:tbl>
                  <w:p w14:paraId="687CE5CA" w14:textId="77777777" w:rsidR="006118D4" w:rsidRDefault="006118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7D5F586" wp14:editId="0638CC1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2356B5" w14:textId="77777777" w:rsidR="006118D4" w:rsidRDefault="006118D4"/>
                      </w:txbxContent>
                    </wps:txbx>
                    <wps:bodyPr vert="horz" wrap="square" lIns="0" tIns="0" rIns="0" bIns="0" anchor="t" anchorCtr="0"/>
                  </wps:wsp>
                </a:graphicData>
              </a:graphic>
            </wp:anchor>
          </w:drawing>
        </mc:Choice>
        <mc:Fallback>
          <w:pict>
            <v:shape w14:anchorId="17D5F58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2356B5" w14:textId="77777777" w:rsidR="006118D4" w:rsidRDefault="006118D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A856D"/>
    <w:multiLevelType w:val="multilevel"/>
    <w:tmpl w:val="AF271D1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ECDA41"/>
    <w:multiLevelType w:val="multilevel"/>
    <w:tmpl w:val="221B121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883B2F"/>
    <w:multiLevelType w:val="multilevel"/>
    <w:tmpl w:val="83882F6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EFE727"/>
    <w:multiLevelType w:val="multilevel"/>
    <w:tmpl w:val="3E88292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BB1525"/>
    <w:multiLevelType w:val="multilevel"/>
    <w:tmpl w:val="D55B18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F42EA4C"/>
    <w:multiLevelType w:val="multilevel"/>
    <w:tmpl w:val="7902E7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4016AA2"/>
    <w:multiLevelType w:val="multilevel"/>
    <w:tmpl w:val="48712E0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6A2559"/>
    <w:multiLevelType w:val="multilevel"/>
    <w:tmpl w:val="59E0A16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048651"/>
    <w:multiLevelType w:val="multilevel"/>
    <w:tmpl w:val="A48E79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0CA204C"/>
    <w:multiLevelType w:val="multilevel"/>
    <w:tmpl w:val="5FEE3B5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B2CF49"/>
    <w:multiLevelType w:val="multilevel"/>
    <w:tmpl w:val="9E623E4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6E21F9"/>
    <w:multiLevelType w:val="hybridMultilevel"/>
    <w:tmpl w:val="118C9850"/>
    <w:lvl w:ilvl="0" w:tplc="C7848872">
      <w:start w:val="1"/>
      <w:numFmt w:val="decimal"/>
      <w:lvlText w:val="%1."/>
      <w:lvlJc w:val="left"/>
      <w:pPr>
        <w:ind w:left="1440" w:hanging="360"/>
      </w:pPr>
    </w:lvl>
    <w:lvl w:ilvl="1" w:tplc="DF543B1C">
      <w:start w:val="1"/>
      <w:numFmt w:val="decimal"/>
      <w:lvlText w:val="%2."/>
      <w:lvlJc w:val="left"/>
      <w:pPr>
        <w:ind w:left="1440" w:hanging="360"/>
      </w:pPr>
    </w:lvl>
    <w:lvl w:ilvl="2" w:tplc="1F3C8BFA">
      <w:start w:val="1"/>
      <w:numFmt w:val="decimal"/>
      <w:lvlText w:val="%3."/>
      <w:lvlJc w:val="left"/>
      <w:pPr>
        <w:ind w:left="1440" w:hanging="360"/>
      </w:pPr>
    </w:lvl>
    <w:lvl w:ilvl="3" w:tplc="65224984">
      <w:start w:val="1"/>
      <w:numFmt w:val="decimal"/>
      <w:lvlText w:val="%4."/>
      <w:lvlJc w:val="left"/>
      <w:pPr>
        <w:ind w:left="1440" w:hanging="360"/>
      </w:pPr>
    </w:lvl>
    <w:lvl w:ilvl="4" w:tplc="CE76362A">
      <w:start w:val="1"/>
      <w:numFmt w:val="decimal"/>
      <w:lvlText w:val="%5."/>
      <w:lvlJc w:val="left"/>
      <w:pPr>
        <w:ind w:left="1440" w:hanging="360"/>
      </w:pPr>
    </w:lvl>
    <w:lvl w:ilvl="5" w:tplc="5B8ED2C4">
      <w:start w:val="1"/>
      <w:numFmt w:val="decimal"/>
      <w:lvlText w:val="%6."/>
      <w:lvlJc w:val="left"/>
      <w:pPr>
        <w:ind w:left="1440" w:hanging="360"/>
      </w:pPr>
    </w:lvl>
    <w:lvl w:ilvl="6" w:tplc="3E9EAFBE">
      <w:start w:val="1"/>
      <w:numFmt w:val="decimal"/>
      <w:lvlText w:val="%7."/>
      <w:lvlJc w:val="left"/>
      <w:pPr>
        <w:ind w:left="1440" w:hanging="360"/>
      </w:pPr>
    </w:lvl>
    <w:lvl w:ilvl="7" w:tplc="BFEA2F26">
      <w:start w:val="1"/>
      <w:numFmt w:val="decimal"/>
      <w:lvlText w:val="%8."/>
      <w:lvlJc w:val="left"/>
      <w:pPr>
        <w:ind w:left="1440" w:hanging="360"/>
      </w:pPr>
    </w:lvl>
    <w:lvl w:ilvl="8" w:tplc="3D9CD3F4">
      <w:start w:val="1"/>
      <w:numFmt w:val="decimal"/>
      <w:lvlText w:val="%9."/>
      <w:lvlJc w:val="left"/>
      <w:pPr>
        <w:ind w:left="1440" w:hanging="360"/>
      </w:pPr>
    </w:lvl>
  </w:abstractNum>
  <w:abstractNum w:abstractNumId="12" w15:restartNumberingAfterBreak="0">
    <w:nsid w:val="07EFE86D"/>
    <w:multiLevelType w:val="multilevel"/>
    <w:tmpl w:val="B44BEDA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36A1D9"/>
    <w:multiLevelType w:val="multilevel"/>
    <w:tmpl w:val="44AA6A1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AAD5DD"/>
    <w:multiLevelType w:val="multilevel"/>
    <w:tmpl w:val="270EF3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8144F"/>
    <w:multiLevelType w:val="multilevel"/>
    <w:tmpl w:val="FE0503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BC7D1C"/>
    <w:multiLevelType w:val="hybridMultilevel"/>
    <w:tmpl w:val="C0AAD3F0"/>
    <w:lvl w:ilvl="0" w:tplc="BCD6082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0B2A4D"/>
    <w:multiLevelType w:val="hybridMultilevel"/>
    <w:tmpl w:val="0A5AA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1B778D"/>
    <w:multiLevelType w:val="multilevel"/>
    <w:tmpl w:val="0159B61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3D99FD"/>
    <w:multiLevelType w:val="multilevel"/>
    <w:tmpl w:val="C04AD3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10F51E"/>
    <w:multiLevelType w:val="multilevel"/>
    <w:tmpl w:val="45AD1AB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B1E5D"/>
    <w:multiLevelType w:val="multilevel"/>
    <w:tmpl w:val="6C63212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C12F8F"/>
    <w:multiLevelType w:val="hybridMultilevel"/>
    <w:tmpl w:val="0B10C35E"/>
    <w:lvl w:ilvl="0" w:tplc="48F8BE02">
      <w:start w:val="4"/>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1569D9"/>
    <w:multiLevelType w:val="hybridMultilevel"/>
    <w:tmpl w:val="2C401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30E59"/>
    <w:multiLevelType w:val="hybridMultilevel"/>
    <w:tmpl w:val="EA6A8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5C5E89"/>
    <w:multiLevelType w:val="hybridMultilevel"/>
    <w:tmpl w:val="A2CA8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CA32BF"/>
    <w:multiLevelType w:val="hybridMultilevel"/>
    <w:tmpl w:val="19E4B93A"/>
    <w:lvl w:ilvl="0" w:tplc="6AFE2794">
      <w:start w:val="1"/>
      <w:numFmt w:val="decimal"/>
      <w:lvlText w:val="%1."/>
      <w:lvlJc w:val="left"/>
      <w:pPr>
        <w:ind w:left="1440" w:hanging="360"/>
      </w:pPr>
    </w:lvl>
    <w:lvl w:ilvl="1" w:tplc="E76CC4B2">
      <w:start w:val="1"/>
      <w:numFmt w:val="decimal"/>
      <w:lvlText w:val="%2."/>
      <w:lvlJc w:val="left"/>
      <w:pPr>
        <w:ind w:left="1440" w:hanging="360"/>
      </w:pPr>
    </w:lvl>
    <w:lvl w:ilvl="2" w:tplc="57140F14">
      <w:start w:val="1"/>
      <w:numFmt w:val="decimal"/>
      <w:lvlText w:val="%3."/>
      <w:lvlJc w:val="left"/>
      <w:pPr>
        <w:ind w:left="1440" w:hanging="360"/>
      </w:pPr>
    </w:lvl>
    <w:lvl w:ilvl="3" w:tplc="C00AF39C">
      <w:start w:val="1"/>
      <w:numFmt w:val="decimal"/>
      <w:lvlText w:val="%4."/>
      <w:lvlJc w:val="left"/>
      <w:pPr>
        <w:ind w:left="1440" w:hanging="360"/>
      </w:pPr>
    </w:lvl>
    <w:lvl w:ilvl="4" w:tplc="3ED86C78">
      <w:start w:val="1"/>
      <w:numFmt w:val="decimal"/>
      <w:lvlText w:val="%5."/>
      <w:lvlJc w:val="left"/>
      <w:pPr>
        <w:ind w:left="1440" w:hanging="360"/>
      </w:pPr>
    </w:lvl>
    <w:lvl w:ilvl="5" w:tplc="CFCEAB6C">
      <w:start w:val="1"/>
      <w:numFmt w:val="decimal"/>
      <w:lvlText w:val="%6."/>
      <w:lvlJc w:val="left"/>
      <w:pPr>
        <w:ind w:left="1440" w:hanging="360"/>
      </w:pPr>
    </w:lvl>
    <w:lvl w:ilvl="6" w:tplc="F39EA044">
      <w:start w:val="1"/>
      <w:numFmt w:val="decimal"/>
      <w:lvlText w:val="%7."/>
      <w:lvlJc w:val="left"/>
      <w:pPr>
        <w:ind w:left="1440" w:hanging="360"/>
      </w:pPr>
    </w:lvl>
    <w:lvl w:ilvl="7" w:tplc="C1349C42">
      <w:start w:val="1"/>
      <w:numFmt w:val="decimal"/>
      <w:lvlText w:val="%8."/>
      <w:lvlJc w:val="left"/>
      <w:pPr>
        <w:ind w:left="1440" w:hanging="360"/>
      </w:pPr>
    </w:lvl>
    <w:lvl w:ilvl="8" w:tplc="35E289DC">
      <w:start w:val="1"/>
      <w:numFmt w:val="decimal"/>
      <w:lvlText w:val="%9."/>
      <w:lvlJc w:val="left"/>
      <w:pPr>
        <w:ind w:left="1440" w:hanging="360"/>
      </w:pPr>
    </w:lvl>
  </w:abstractNum>
  <w:abstractNum w:abstractNumId="27" w15:restartNumberingAfterBreak="0">
    <w:nsid w:val="6AD29E17"/>
    <w:multiLevelType w:val="multilevel"/>
    <w:tmpl w:val="9642686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20A4F9"/>
    <w:multiLevelType w:val="multilevel"/>
    <w:tmpl w:val="6A6A4F7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6F08B1"/>
    <w:multiLevelType w:val="multilevel"/>
    <w:tmpl w:val="229730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D3368"/>
    <w:multiLevelType w:val="hybridMultilevel"/>
    <w:tmpl w:val="2C401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F9B0C1"/>
    <w:multiLevelType w:val="multilevel"/>
    <w:tmpl w:val="74FB63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7F5C41F5"/>
    <w:multiLevelType w:val="hybridMultilevel"/>
    <w:tmpl w:val="EACE5F14"/>
    <w:lvl w:ilvl="0" w:tplc="9F003C5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
  </w:num>
  <w:num w:numId="4">
    <w:abstractNumId w:val="28"/>
  </w:num>
  <w:num w:numId="5">
    <w:abstractNumId w:val="8"/>
  </w:num>
  <w:num w:numId="6">
    <w:abstractNumId w:val="27"/>
  </w:num>
  <w:num w:numId="7">
    <w:abstractNumId w:val="2"/>
  </w:num>
  <w:num w:numId="8">
    <w:abstractNumId w:val="10"/>
  </w:num>
  <w:num w:numId="9">
    <w:abstractNumId w:val="1"/>
  </w:num>
  <w:num w:numId="10">
    <w:abstractNumId w:val="18"/>
  </w:num>
  <w:num w:numId="11">
    <w:abstractNumId w:val="15"/>
  </w:num>
  <w:num w:numId="12">
    <w:abstractNumId w:val="31"/>
  </w:num>
  <w:num w:numId="13">
    <w:abstractNumId w:val="12"/>
  </w:num>
  <w:num w:numId="14">
    <w:abstractNumId w:val="7"/>
  </w:num>
  <w:num w:numId="15">
    <w:abstractNumId w:val="20"/>
  </w:num>
  <w:num w:numId="16">
    <w:abstractNumId w:val="0"/>
  </w:num>
  <w:num w:numId="17">
    <w:abstractNumId w:val="4"/>
  </w:num>
  <w:num w:numId="18">
    <w:abstractNumId w:val="14"/>
  </w:num>
  <w:num w:numId="19">
    <w:abstractNumId w:val="19"/>
  </w:num>
  <w:num w:numId="20">
    <w:abstractNumId w:val="6"/>
  </w:num>
  <w:num w:numId="21">
    <w:abstractNumId w:val="21"/>
  </w:num>
  <w:num w:numId="22">
    <w:abstractNumId w:val="13"/>
  </w:num>
  <w:num w:numId="23">
    <w:abstractNumId w:val="5"/>
  </w:num>
  <w:num w:numId="24">
    <w:abstractNumId w:val="16"/>
  </w:num>
  <w:num w:numId="25">
    <w:abstractNumId w:val="24"/>
  </w:num>
  <w:num w:numId="26">
    <w:abstractNumId w:val="17"/>
  </w:num>
  <w:num w:numId="27">
    <w:abstractNumId w:val="30"/>
  </w:num>
  <w:num w:numId="28">
    <w:abstractNumId w:val="23"/>
  </w:num>
  <w:num w:numId="29">
    <w:abstractNumId w:val="22"/>
  </w:num>
  <w:num w:numId="30">
    <w:abstractNumId w:val="32"/>
  </w:num>
  <w:num w:numId="31">
    <w:abstractNumId w:val="26"/>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4E"/>
    <w:rsid w:val="00006237"/>
    <w:rsid w:val="000105F2"/>
    <w:rsid w:val="00015179"/>
    <w:rsid w:val="00015EF0"/>
    <w:rsid w:val="00016494"/>
    <w:rsid w:val="00017C2A"/>
    <w:rsid w:val="000253A0"/>
    <w:rsid w:val="00037920"/>
    <w:rsid w:val="00037DA0"/>
    <w:rsid w:val="00042B94"/>
    <w:rsid w:val="000526F9"/>
    <w:rsid w:val="000544A8"/>
    <w:rsid w:val="00056194"/>
    <w:rsid w:val="000636DA"/>
    <w:rsid w:val="000656FD"/>
    <w:rsid w:val="00070151"/>
    <w:rsid w:val="000758BF"/>
    <w:rsid w:val="00085991"/>
    <w:rsid w:val="00092516"/>
    <w:rsid w:val="00092C70"/>
    <w:rsid w:val="000A2CB9"/>
    <w:rsid w:val="000A7743"/>
    <w:rsid w:val="000B6C56"/>
    <w:rsid w:val="000B7C1B"/>
    <w:rsid w:val="000C274F"/>
    <w:rsid w:val="000C67DB"/>
    <w:rsid w:val="000D1AA5"/>
    <w:rsid w:val="000D5583"/>
    <w:rsid w:val="000D578F"/>
    <w:rsid w:val="000D6DB9"/>
    <w:rsid w:val="000E0F2A"/>
    <w:rsid w:val="000E0FC8"/>
    <w:rsid w:val="000E7941"/>
    <w:rsid w:val="000F4C36"/>
    <w:rsid w:val="000F672F"/>
    <w:rsid w:val="001146FB"/>
    <w:rsid w:val="00114E7D"/>
    <w:rsid w:val="00117B57"/>
    <w:rsid w:val="00142094"/>
    <w:rsid w:val="00151774"/>
    <w:rsid w:val="00164A21"/>
    <w:rsid w:val="0017751E"/>
    <w:rsid w:val="0018260B"/>
    <w:rsid w:val="00183855"/>
    <w:rsid w:val="00194647"/>
    <w:rsid w:val="001A5C7B"/>
    <w:rsid w:val="001B32F2"/>
    <w:rsid w:val="001B5594"/>
    <w:rsid w:val="001D0686"/>
    <w:rsid w:val="001D14EF"/>
    <w:rsid w:val="001E035E"/>
    <w:rsid w:val="001F5FFC"/>
    <w:rsid w:val="00204F32"/>
    <w:rsid w:val="00213586"/>
    <w:rsid w:val="0023478E"/>
    <w:rsid w:val="002367E3"/>
    <w:rsid w:val="002511BB"/>
    <w:rsid w:val="00261DF8"/>
    <w:rsid w:val="00270021"/>
    <w:rsid w:val="00274D81"/>
    <w:rsid w:val="00274FBE"/>
    <w:rsid w:val="00275647"/>
    <w:rsid w:val="002761B1"/>
    <w:rsid w:val="0029305A"/>
    <w:rsid w:val="00294E34"/>
    <w:rsid w:val="002A232C"/>
    <w:rsid w:val="002A3850"/>
    <w:rsid w:val="002A3C29"/>
    <w:rsid w:val="002A6713"/>
    <w:rsid w:val="002B0417"/>
    <w:rsid w:val="002B1177"/>
    <w:rsid w:val="002C222A"/>
    <w:rsid w:val="002C79F7"/>
    <w:rsid w:val="002D61E3"/>
    <w:rsid w:val="002D71E6"/>
    <w:rsid w:val="002E41F7"/>
    <w:rsid w:val="002F0229"/>
    <w:rsid w:val="003054D8"/>
    <w:rsid w:val="003136F3"/>
    <w:rsid w:val="00321A15"/>
    <w:rsid w:val="00321E97"/>
    <w:rsid w:val="003227EC"/>
    <w:rsid w:val="0033377E"/>
    <w:rsid w:val="003438D7"/>
    <w:rsid w:val="00353335"/>
    <w:rsid w:val="00353673"/>
    <w:rsid w:val="003548FF"/>
    <w:rsid w:val="00357227"/>
    <w:rsid w:val="00362C0E"/>
    <w:rsid w:val="003664FB"/>
    <w:rsid w:val="00367E2F"/>
    <w:rsid w:val="00370F22"/>
    <w:rsid w:val="00385A52"/>
    <w:rsid w:val="00394BAC"/>
    <w:rsid w:val="003B197F"/>
    <w:rsid w:val="003B3DE7"/>
    <w:rsid w:val="003C6F10"/>
    <w:rsid w:val="003D1850"/>
    <w:rsid w:val="003D1E93"/>
    <w:rsid w:val="003D5E80"/>
    <w:rsid w:val="003D7E12"/>
    <w:rsid w:val="003E0FF5"/>
    <w:rsid w:val="003F0447"/>
    <w:rsid w:val="003F7A9C"/>
    <w:rsid w:val="003F7FE7"/>
    <w:rsid w:val="00401673"/>
    <w:rsid w:val="00415252"/>
    <w:rsid w:val="00420246"/>
    <w:rsid w:val="00434F01"/>
    <w:rsid w:val="00435C2B"/>
    <w:rsid w:val="00444680"/>
    <w:rsid w:val="004537DB"/>
    <w:rsid w:val="0047021A"/>
    <w:rsid w:val="004704C4"/>
    <w:rsid w:val="004808CD"/>
    <w:rsid w:val="00494EDA"/>
    <w:rsid w:val="00495C91"/>
    <w:rsid w:val="004A4D2D"/>
    <w:rsid w:val="004B34A2"/>
    <w:rsid w:val="004B7485"/>
    <w:rsid w:val="004C18D2"/>
    <w:rsid w:val="004C38FF"/>
    <w:rsid w:val="004C5E4B"/>
    <w:rsid w:val="004D46F9"/>
    <w:rsid w:val="004D4A1C"/>
    <w:rsid w:val="004E38AD"/>
    <w:rsid w:val="004E63A9"/>
    <w:rsid w:val="004F19CE"/>
    <w:rsid w:val="0050178D"/>
    <w:rsid w:val="00503D28"/>
    <w:rsid w:val="00517C39"/>
    <w:rsid w:val="005218FE"/>
    <w:rsid w:val="00522C74"/>
    <w:rsid w:val="00523890"/>
    <w:rsid w:val="0053005D"/>
    <w:rsid w:val="00534447"/>
    <w:rsid w:val="00536A65"/>
    <w:rsid w:val="00540F65"/>
    <w:rsid w:val="0054112E"/>
    <w:rsid w:val="0054598D"/>
    <w:rsid w:val="00547737"/>
    <w:rsid w:val="00552B9A"/>
    <w:rsid w:val="00553C36"/>
    <w:rsid w:val="005557EE"/>
    <w:rsid w:val="00566C02"/>
    <w:rsid w:val="005708B8"/>
    <w:rsid w:val="0057601D"/>
    <w:rsid w:val="0058160F"/>
    <w:rsid w:val="005843F0"/>
    <w:rsid w:val="00590DEE"/>
    <w:rsid w:val="00596EAD"/>
    <w:rsid w:val="00597944"/>
    <w:rsid w:val="005A2247"/>
    <w:rsid w:val="005A2B94"/>
    <w:rsid w:val="005A4F00"/>
    <w:rsid w:val="005A7385"/>
    <w:rsid w:val="005B0E37"/>
    <w:rsid w:val="005B49EA"/>
    <w:rsid w:val="005B4A72"/>
    <w:rsid w:val="005B6865"/>
    <w:rsid w:val="005C1377"/>
    <w:rsid w:val="005C3854"/>
    <w:rsid w:val="005D1AC5"/>
    <w:rsid w:val="005D3969"/>
    <w:rsid w:val="005D6F93"/>
    <w:rsid w:val="005F203A"/>
    <w:rsid w:val="005F6B52"/>
    <w:rsid w:val="00604824"/>
    <w:rsid w:val="006118D4"/>
    <w:rsid w:val="00613961"/>
    <w:rsid w:val="006149CD"/>
    <w:rsid w:val="00615213"/>
    <w:rsid w:val="006208C6"/>
    <w:rsid w:val="00622C85"/>
    <w:rsid w:val="00622F56"/>
    <w:rsid w:val="00660219"/>
    <w:rsid w:val="00674697"/>
    <w:rsid w:val="006832AD"/>
    <w:rsid w:val="006A373F"/>
    <w:rsid w:val="006B10FD"/>
    <w:rsid w:val="006B1CE3"/>
    <w:rsid w:val="006B3D0C"/>
    <w:rsid w:val="006C441E"/>
    <w:rsid w:val="006C784E"/>
    <w:rsid w:val="006D5A4A"/>
    <w:rsid w:val="0070293E"/>
    <w:rsid w:val="00717115"/>
    <w:rsid w:val="007255FF"/>
    <w:rsid w:val="00725A8A"/>
    <w:rsid w:val="007264EB"/>
    <w:rsid w:val="00730119"/>
    <w:rsid w:val="007345E3"/>
    <w:rsid w:val="007374BB"/>
    <w:rsid w:val="00743F42"/>
    <w:rsid w:val="00747BFA"/>
    <w:rsid w:val="0076005E"/>
    <w:rsid w:val="00767AAB"/>
    <w:rsid w:val="0077310C"/>
    <w:rsid w:val="00774255"/>
    <w:rsid w:val="0077607C"/>
    <w:rsid w:val="007762A5"/>
    <w:rsid w:val="00780188"/>
    <w:rsid w:val="007803FE"/>
    <w:rsid w:val="00785262"/>
    <w:rsid w:val="00791CD6"/>
    <w:rsid w:val="007923DF"/>
    <w:rsid w:val="0079526C"/>
    <w:rsid w:val="007A0EE7"/>
    <w:rsid w:val="007A60D0"/>
    <w:rsid w:val="007B5150"/>
    <w:rsid w:val="007C69CB"/>
    <w:rsid w:val="007D02AE"/>
    <w:rsid w:val="007E109C"/>
    <w:rsid w:val="007E13F4"/>
    <w:rsid w:val="007E5A5B"/>
    <w:rsid w:val="007E6AE2"/>
    <w:rsid w:val="007E6B3D"/>
    <w:rsid w:val="007E7AB8"/>
    <w:rsid w:val="007F76F4"/>
    <w:rsid w:val="008010F7"/>
    <w:rsid w:val="0080148C"/>
    <w:rsid w:val="00801570"/>
    <w:rsid w:val="008137CE"/>
    <w:rsid w:val="0081410C"/>
    <w:rsid w:val="008230E6"/>
    <w:rsid w:val="00823F49"/>
    <w:rsid w:val="00833103"/>
    <w:rsid w:val="00833EF8"/>
    <w:rsid w:val="00836311"/>
    <w:rsid w:val="00836BEF"/>
    <w:rsid w:val="00844410"/>
    <w:rsid w:val="00845F72"/>
    <w:rsid w:val="00852577"/>
    <w:rsid w:val="00856599"/>
    <w:rsid w:val="00860F7A"/>
    <w:rsid w:val="008668E7"/>
    <w:rsid w:val="0088043E"/>
    <w:rsid w:val="00882C79"/>
    <w:rsid w:val="00887065"/>
    <w:rsid w:val="008939E7"/>
    <w:rsid w:val="008A4F07"/>
    <w:rsid w:val="008C3947"/>
    <w:rsid w:val="008C3A39"/>
    <w:rsid w:val="008E52DD"/>
    <w:rsid w:val="008E5640"/>
    <w:rsid w:val="00901C40"/>
    <w:rsid w:val="00910FA6"/>
    <w:rsid w:val="009179DB"/>
    <w:rsid w:val="00924DDC"/>
    <w:rsid w:val="009275F6"/>
    <w:rsid w:val="00927889"/>
    <w:rsid w:val="00930BC2"/>
    <w:rsid w:val="00935614"/>
    <w:rsid w:val="00944748"/>
    <w:rsid w:val="0094539D"/>
    <w:rsid w:val="00946FC1"/>
    <w:rsid w:val="009657B6"/>
    <w:rsid w:val="009723DF"/>
    <w:rsid w:val="00973332"/>
    <w:rsid w:val="009825A3"/>
    <w:rsid w:val="00984BFE"/>
    <w:rsid w:val="009854B1"/>
    <w:rsid w:val="009A2452"/>
    <w:rsid w:val="009B5770"/>
    <w:rsid w:val="009E334C"/>
    <w:rsid w:val="009E67EE"/>
    <w:rsid w:val="009E76A4"/>
    <w:rsid w:val="009F0A58"/>
    <w:rsid w:val="009F661A"/>
    <w:rsid w:val="009F7D9F"/>
    <w:rsid w:val="00A004E9"/>
    <w:rsid w:val="00A02FF5"/>
    <w:rsid w:val="00A104FB"/>
    <w:rsid w:val="00A12D13"/>
    <w:rsid w:val="00A14154"/>
    <w:rsid w:val="00A1686A"/>
    <w:rsid w:val="00A17EA8"/>
    <w:rsid w:val="00A326DB"/>
    <w:rsid w:val="00A3272D"/>
    <w:rsid w:val="00A351C0"/>
    <w:rsid w:val="00A43AB4"/>
    <w:rsid w:val="00A475FB"/>
    <w:rsid w:val="00A52729"/>
    <w:rsid w:val="00A57013"/>
    <w:rsid w:val="00A71F45"/>
    <w:rsid w:val="00A92136"/>
    <w:rsid w:val="00A93014"/>
    <w:rsid w:val="00A94BC8"/>
    <w:rsid w:val="00A973FB"/>
    <w:rsid w:val="00AA2FC9"/>
    <w:rsid w:val="00AA391D"/>
    <w:rsid w:val="00AA4076"/>
    <w:rsid w:val="00AA73EF"/>
    <w:rsid w:val="00AB7715"/>
    <w:rsid w:val="00AC3D5A"/>
    <w:rsid w:val="00AD17BE"/>
    <w:rsid w:val="00AD5B6A"/>
    <w:rsid w:val="00AD7F28"/>
    <w:rsid w:val="00AE7480"/>
    <w:rsid w:val="00AF0B91"/>
    <w:rsid w:val="00AF2A39"/>
    <w:rsid w:val="00AF6652"/>
    <w:rsid w:val="00B145AB"/>
    <w:rsid w:val="00B178E0"/>
    <w:rsid w:val="00B30E46"/>
    <w:rsid w:val="00B3324B"/>
    <w:rsid w:val="00B4155C"/>
    <w:rsid w:val="00B46D43"/>
    <w:rsid w:val="00B502E5"/>
    <w:rsid w:val="00B512E2"/>
    <w:rsid w:val="00B54A9D"/>
    <w:rsid w:val="00B63D53"/>
    <w:rsid w:val="00B64D4A"/>
    <w:rsid w:val="00B64EF2"/>
    <w:rsid w:val="00B817FA"/>
    <w:rsid w:val="00B972F4"/>
    <w:rsid w:val="00BA2077"/>
    <w:rsid w:val="00BA5E38"/>
    <w:rsid w:val="00BB5B78"/>
    <w:rsid w:val="00BD0348"/>
    <w:rsid w:val="00BE7C42"/>
    <w:rsid w:val="00BF4349"/>
    <w:rsid w:val="00BF4666"/>
    <w:rsid w:val="00C0136F"/>
    <w:rsid w:val="00C210E2"/>
    <w:rsid w:val="00C21488"/>
    <w:rsid w:val="00C25106"/>
    <w:rsid w:val="00C3650B"/>
    <w:rsid w:val="00C45F58"/>
    <w:rsid w:val="00C50A44"/>
    <w:rsid w:val="00C64443"/>
    <w:rsid w:val="00C64E92"/>
    <w:rsid w:val="00C65094"/>
    <w:rsid w:val="00C76E3D"/>
    <w:rsid w:val="00C82182"/>
    <w:rsid w:val="00C839C4"/>
    <w:rsid w:val="00C84E0E"/>
    <w:rsid w:val="00C9396E"/>
    <w:rsid w:val="00C952BC"/>
    <w:rsid w:val="00CA4037"/>
    <w:rsid w:val="00CC0EFA"/>
    <w:rsid w:val="00CC2D25"/>
    <w:rsid w:val="00CC3EE8"/>
    <w:rsid w:val="00CD3223"/>
    <w:rsid w:val="00CE7E71"/>
    <w:rsid w:val="00CF0AD6"/>
    <w:rsid w:val="00CF2089"/>
    <w:rsid w:val="00CF6F60"/>
    <w:rsid w:val="00D0585E"/>
    <w:rsid w:val="00D2034A"/>
    <w:rsid w:val="00D2159D"/>
    <w:rsid w:val="00D23373"/>
    <w:rsid w:val="00D36B55"/>
    <w:rsid w:val="00D52759"/>
    <w:rsid w:val="00D55E5D"/>
    <w:rsid w:val="00D603A2"/>
    <w:rsid w:val="00D66378"/>
    <w:rsid w:val="00D7028A"/>
    <w:rsid w:val="00D8474C"/>
    <w:rsid w:val="00D9297C"/>
    <w:rsid w:val="00D92DAF"/>
    <w:rsid w:val="00D94ED8"/>
    <w:rsid w:val="00D952C5"/>
    <w:rsid w:val="00DA5015"/>
    <w:rsid w:val="00DB1042"/>
    <w:rsid w:val="00DB51A0"/>
    <w:rsid w:val="00DB6BA5"/>
    <w:rsid w:val="00DB7C57"/>
    <w:rsid w:val="00DD539C"/>
    <w:rsid w:val="00DE16F1"/>
    <w:rsid w:val="00DE24E3"/>
    <w:rsid w:val="00DF1F13"/>
    <w:rsid w:val="00DF37C2"/>
    <w:rsid w:val="00DF386D"/>
    <w:rsid w:val="00E04D61"/>
    <w:rsid w:val="00E07370"/>
    <w:rsid w:val="00E1582C"/>
    <w:rsid w:val="00E22F3D"/>
    <w:rsid w:val="00E2381C"/>
    <w:rsid w:val="00E2490E"/>
    <w:rsid w:val="00E30085"/>
    <w:rsid w:val="00E472A7"/>
    <w:rsid w:val="00E4756B"/>
    <w:rsid w:val="00E57235"/>
    <w:rsid w:val="00E6152F"/>
    <w:rsid w:val="00E70283"/>
    <w:rsid w:val="00E71EE5"/>
    <w:rsid w:val="00E8221D"/>
    <w:rsid w:val="00E82BD7"/>
    <w:rsid w:val="00E90B03"/>
    <w:rsid w:val="00E90D4D"/>
    <w:rsid w:val="00E919A4"/>
    <w:rsid w:val="00E9553D"/>
    <w:rsid w:val="00E97220"/>
    <w:rsid w:val="00EA14DE"/>
    <w:rsid w:val="00EA68AA"/>
    <w:rsid w:val="00EB49D7"/>
    <w:rsid w:val="00EC6E9E"/>
    <w:rsid w:val="00ED1024"/>
    <w:rsid w:val="00ED35C7"/>
    <w:rsid w:val="00ED5621"/>
    <w:rsid w:val="00EE3AB4"/>
    <w:rsid w:val="00EF64F1"/>
    <w:rsid w:val="00F22C94"/>
    <w:rsid w:val="00F34A5B"/>
    <w:rsid w:val="00F4713A"/>
    <w:rsid w:val="00F478ED"/>
    <w:rsid w:val="00F53498"/>
    <w:rsid w:val="00F623FE"/>
    <w:rsid w:val="00F7284E"/>
    <w:rsid w:val="00F768E2"/>
    <w:rsid w:val="00F8317B"/>
    <w:rsid w:val="00F85E87"/>
    <w:rsid w:val="00F87054"/>
    <w:rsid w:val="00F948B2"/>
    <w:rsid w:val="00F94AA5"/>
    <w:rsid w:val="00F950ED"/>
    <w:rsid w:val="00FA5188"/>
    <w:rsid w:val="00FB3162"/>
    <w:rsid w:val="00FD2CC5"/>
    <w:rsid w:val="00FE13A4"/>
    <w:rsid w:val="00FE1C73"/>
    <w:rsid w:val="00FE36FB"/>
    <w:rsid w:val="00FE4EB4"/>
    <w:rsid w:val="00FF1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4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7284E"/>
    <w:pPr>
      <w:tabs>
        <w:tab w:val="center" w:pos="4536"/>
        <w:tab w:val="right" w:pos="9072"/>
      </w:tabs>
      <w:spacing w:line="240" w:lineRule="auto"/>
    </w:pPr>
  </w:style>
  <w:style w:type="character" w:customStyle="1" w:styleId="HeaderChar">
    <w:name w:val="Header Char"/>
    <w:basedOn w:val="DefaultParagraphFont"/>
    <w:link w:val="Header"/>
    <w:uiPriority w:val="99"/>
    <w:rsid w:val="00F7284E"/>
    <w:rPr>
      <w:rFonts w:ascii="Verdana" w:hAnsi="Verdana"/>
      <w:color w:val="000000"/>
      <w:sz w:val="18"/>
      <w:szCs w:val="18"/>
    </w:rPr>
  </w:style>
  <w:style w:type="paragraph" w:styleId="Footer">
    <w:name w:val="footer"/>
    <w:basedOn w:val="Normal"/>
    <w:link w:val="FooterChar"/>
    <w:uiPriority w:val="99"/>
    <w:unhideWhenUsed/>
    <w:rsid w:val="00F7284E"/>
    <w:pPr>
      <w:tabs>
        <w:tab w:val="center" w:pos="4536"/>
        <w:tab w:val="right" w:pos="9072"/>
      </w:tabs>
      <w:spacing w:line="240" w:lineRule="auto"/>
    </w:pPr>
  </w:style>
  <w:style w:type="character" w:customStyle="1" w:styleId="FooterChar">
    <w:name w:val="Footer Char"/>
    <w:basedOn w:val="DefaultParagraphFont"/>
    <w:link w:val="Footer"/>
    <w:uiPriority w:val="99"/>
    <w:rsid w:val="00F7284E"/>
    <w:rPr>
      <w:rFonts w:ascii="Verdana" w:hAnsi="Verdana"/>
      <w:color w:val="000000"/>
      <w:sz w:val="18"/>
      <w:szCs w:val="18"/>
    </w:rPr>
  </w:style>
  <w:style w:type="paragraph" w:customStyle="1" w:styleId="Default">
    <w:name w:val="Default"/>
    <w:rsid w:val="00EA68AA"/>
    <w:pPr>
      <w:autoSpaceDE w:val="0"/>
      <w:adjustRightInd w:val="0"/>
      <w:textAlignment w:val="auto"/>
    </w:pPr>
    <w:rPr>
      <w:rFonts w:ascii="ECGJL N+ Univers" w:hAnsi="ECGJL N+ Univers" w:cs="ECGJL N+ Univers"/>
      <w:color w:val="000000"/>
      <w:sz w:val="24"/>
      <w:szCs w:val="24"/>
    </w:rPr>
  </w:style>
  <w:style w:type="paragraph" w:styleId="Revision">
    <w:name w:val="Revision"/>
    <w:hidden/>
    <w:uiPriority w:val="99"/>
    <w:semiHidden/>
    <w:rsid w:val="003D1850"/>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AF6652"/>
    <w:pPr>
      <w:spacing w:line="240" w:lineRule="auto"/>
    </w:pPr>
    <w:rPr>
      <w:sz w:val="20"/>
      <w:szCs w:val="20"/>
    </w:rPr>
  </w:style>
  <w:style w:type="character" w:customStyle="1" w:styleId="FootnoteTextChar">
    <w:name w:val="Footnote Text Char"/>
    <w:basedOn w:val="DefaultParagraphFont"/>
    <w:link w:val="FootnoteText"/>
    <w:uiPriority w:val="99"/>
    <w:semiHidden/>
    <w:rsid w:val="00AF6652"/>
    <w:rPr>
      <w:rFonts w:ascii="Verdana" w:hAnsi="Verdana"/>
      <w:color w:val="000000"/>
    </w:rPr>
  </w:style>
  <w:style w:type="character" w:styleId="FootnoteReference">
    <w:name w:val="footnote reference"/>
    <w:basedOn w:val="DefaultParagraphFont"/>
    <w:uiPriority w:val="99"/>
    <w:semiHidden/>
    <w:unhideWhenUsed/>
    <w:rsid w:val="00AF6652"/>
    <w:rPr>
      <w:vertAlign w:val="superscript"/>
    </w:rPr>
  </w:style>
  <w:style w:type="character" w:styleId="CommentReference">
    <w:name w:val="annotation reference"/>
    <w:basedOn w:val="DefaultParagraphFont"/>
    <w:uiPriority w:val="99"/>
    <w:semiHidden/>
    <w:unhideWhenUsed/>
    <w:rsid w:val="00A1686A"/>
    <w:rPr>
      <w:sz w:val="16"/>
      <w:szCs w:val="16"/>
    </w:rPr>
  </w:style>
  <w:style w:type="paragraph" w:styleId="CommentText">
    <w:name w:val="annotation text"/>
    <w:basedOn w:val="Normal"/>
    <w:link w:val="CommentTextChar"/>
    <w:uiPriority w:val="99"/>
    <w:unhideWhenUsed/>
    <w:rsid w:val="00A1686A"/>
    <w:pPr>
      <w:spacing w:line="240" w:lineRule="auto"/>
    </w:pPr>
    <w:rPr>
      <w:sz w:val="20"/>
      <w:szCs w:val="20"/>
    </w:rPr>
  </w:style>
  <w:style w:type="character" w:customStyle="1" w:styleId="CommentTextChar">
    <w:name w:val="Comment Text Char"/>
    <w:basedOn w:val="DefaultParagraphFont"/>
    <w:link w:val="CommentText"/>
    <w:uiPriority w:val="99"/>
    <w:rsid w:val="00A1686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686A"/>
    <w:rPr>
      <w:b/>
      <w:bCs/>
    </w:rPr>
  </w:style>
  <w:style w:type="character" w:customStyle="1" w:styleId="CommentSubjectChar">
    <w:name w:val="Comment Subject Char"/>
    <w:basedOn w:val="CommentTextChar"/>
    <w:link w:val="CommentSubject"/>
    <w:uiPriority w:val="99"/>
    <w:semiHidden/>
    <w:rsid w:val="00A1686A"/>
    <w:rPr>
      <w:rFonts w:ascii="Verdana" w:hAnsi="Verdana"/>
      <w:b/>
      <w:bCs/>
      <w:color w:val="000000"/>
    </w:rPr>
  </w:style>
  <w:style w:type="paragraph" w:styleId="ListParagraph">
    <w:name w:val="List Paragraph"/>
    <w:basedOn w:val="Normal"/>
    <w:uiPriority w:val="34"/>
    <w:semiHidden/>
    <w:rsid w:val="007264EB"/>
    <w:pPr>
      <w:ind w:left="720"/>
      <w:contextualSpacing/>
    </w:pPr>
  </w:style>
  <w:style w:type="character" w:customStyle="1" w:styleId="UnresolvedMention">
    <w:name w:val="Unresolved Mention"/>
    <w:basedOn w:val="DefaultParagraphFont"/>
    <w:uiPriority w:val="99"/>
    <w:semiHidden/>
    <w:unhideWhenUsed/>
    <w:rsid w:val="002A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46041">
      <w:bodyDiv w:val="1"/>
      <w:marLeft w:val="0"/>
      <w:marRight w:val="0"/>
      <w:marTop w:val="0"/>
      <w:marBottom w:val="0"/>
      <w:divBdr>
        <w:top w:val="none" w:sz="0" w:space="0" w:color="auto"/>
        <w:left w:val="none" w:sz="0" w:space="0" w:color="auto"/>
        <w:bottom w:val="none" w:sz="0" w:space="0" w:color="auto"/>
        <w:right w:val="none" w:sz="0" w:space="0" w:color="auto"/>
      </w:divBdr>
    </w:div>
    <w:div w:id="189819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1607</ap:Words>
  <ap:Characters>9160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Parlement - Aanbieding periodieke rapportage Omgevingsveiligheid en Milieurisico's 2018-2024</vt:lpstr>
    </vt:vector>
  </ap:TitlesOfParts>
  <ap:LinksUpToDate>false</ap:LinksUpToDate>
  <ap:CharactersWithSpaces>10746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2026-01-28T15:36:00.0000000Z</lastPrinted>
  <dcterms:created xsi:type="dcterms:W3CDTF">2026-04-14T12:08:00.0000000Z</dcterms:created>
  <dcterms:modified xsi:type="dcterms:W3CDTF">2026-04-14T12:08:00.0000000Z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periodieke rapportage Omgevingsveiligheid en Milieurisico's 2018-2024</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M.K. van 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