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A56" w:rsidP="009B2A56" w:rsidRDefault="009B2A56" w14:paraId="270DD5D8" w14:textId="36BCAB35">
      <w:r>
        <w:t>AH 1643</w:t>
      </w:r>
    </w:p>
    <w:p w:rsidR="009B2A56" w:rsidP="009B2A56" w:rsidRDefault="009B2A56" w14:paraId="5F1643ED" w14:textId="42A4FAEC">
      <w:r>
        <w:t>2026Z04111</w:t>
      </w:r>
    </w:p>
    <w:p w:rsidR="009B2A56" w:rsidP="009B2A56" w:rsidRDefault="009B2A56" w14:paraId="4B440E8E" w14:textId="19CB6D7B">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16 april 2026)</w:t>
      </w:r>
    </w:p>
    <w:p w:rsidR="009B2A56" w:rsidP="009B2A56" w:rsidRDefault="009B2A56" w14:paraId="4F544964" w14:textId="77777777"/>
    <w:p w:rsidR="009B2A56" w:rsidP="009B2A56" w:rsidRDefault="009B2A56" w14:paraId="110626C9" w14:textId="3D2157D1">
      <w:r w:rsidRPr="00D73ED1">
        <w:rPr>
          <w:color w:val="000000"/>
          <w:sz w:val="24"/>
          <w:szCs w:val="24"/>
        </w:rPr>
        <w:t>Zie ook Aanhangsel Handelingen, vergaderjaar 2025-2026, nr.</w:t>
      </w:r>
      <w:r>
        <w:rPr>
          <w:color w:val="000000"/>
          <w:sz w:val="24"/>
          <w:szCs w:val="24"/>
        </w:rPr>
        <w:t xml:space="preserve"> </w:t>
      </w:r>
      <w:r>
        <w:t>1411</w:t>
      </w:r>
    </w:p>
    <w:p w:rsidR="009B2A56" w:rsidP="009B2A56" w:rsidRDefault="009B2A56" w14:paraId="58D198DB" w14:textId="77777777"/>
    <w:p w:rsidR="009B2A56" w:rsidP="009B2A56" w:rsidRDefault="009B2A56" w14:paraId="7BE1FE25" w14:textId="77777777">
      <w:pPr>
        <w:rPr>
          <w:b/>
          <w:bCs/>
        </w:rPr>
      </w:pPr>
      <w:r>
        <w:rPr>
          <w:b/>
          <w:bCs/>
        </w:rPr>
        <w:t>Vraag 1</w:t>
      </w:r>
      <w:r w:rsidRPr="008548D5">
        <w:rPr>
          <w:b/>
          <w:bCs/>
        </w:rPr>
        <w:tab/>
      </w:r>
    </w:p>
    <w:p w:rsidRPr="008548D5" w:rsidR="009B2A56" w:rsidP="009B2A56" w:rsidRDefault="009B2A56" w14:paraId="27DFC38F" w14:textId="66C058CF">
      <w:pPr>
        <w:rPr>
          <w:b/>
          <w:bCs/>
        </w:rPr>
      </w:pPr>
      <w:r w:rsidRPr="008548D5">
        <w:rPr>
          <w:b/>
          <w:bCs/>
        </w:rPr>
        <w:t>Bent u bekend met het bericht “Verbijsterde Kamer eist duidelijkheid over massale naamfouten bij justitie”?</w:t>
      </w:r>
      <w:r>
        <w:rPr>
          <w:b/>
          <w:bCs/>
        </w:rPr>
        <w:t xml:space="preserve"> 1)</w:t>
      </w:r>
    </w:p>
    <w:p w:rsidR="009B2A56" w:rsidP="009B2A56" w:rsidRDefault="009B2A56" w14:paraId="4E5E1100" w14:textId="77777777">
      <w:pPr>
        <w:rPr>
          <w:b/>
          <w:bCs/>
        </w:rPr>
      </w:pPr>
    </w:p>
    <w:p w:rsidR="009B2A56" w:rsidP="009B2A56" w:rsidRDefault="009B2A56" w14:paraId="09BF14DB" w14:textId="77777777">
      <w:pPr>
        <w:rPr>
          <w:b/>
          <w:bCs/>
        </w:rPr>
      </w:pPr>
      <w:r>
        <w:rPr>
          <w:b/>
          <w:bCs/>
        </w:rPr>
        <w:t>Antwoord op vraag 1</w:t>
      </w:r>
    </w:p>
    <w:p w:rsidRPr="00FF0E7C" w:rsidR="009B2A56" w:rsidP="009B2A56" w:rsidRDefault="009B2A56" w14:paraId="028FBF99" w14:textId="77777777">
      <w:r w:rsidRPr="00FF0E7C">
        <w:t>Ja.</w:t>
      </w:r>
    </w:p>
    <w:p w:rsidRPr="00FF0E7C" w:rsidR="009B2A56" w:rsidP="009B2A56" w:rsidRDefault="009B2A56" w14:paraId="5FB6003C" w14:textId="77777777"/>
    <w:p w:rsidR="009B2A56" w:rsidP="009B2A56" w:rsidRDefault="009B2A56" w14:paraId="6433EBB8" w14:textId="77777777">
      <w:pPr>
        <w:rPr>
          <w:b/>
          <w:bCs/>
        </w:rPr>
      </w:pPr>
      <w:r>
        <w:rPr>
          <w:b/>
          <w:bCs/>
        </w:rPr>
        <w:t>Vraag 2</w:t>
      </w:r>
    </w:p>
    <w:p w:rsidRPr="008548D5" w:rsidR="009B2A56" w:rsidP="009B2A56" w:rsidRDefault="009B2A56" w14:paraId="36E6CE3B" w14:textId="77777777">
      <w:pPr>
        <w:rPr>
          <w:b/>
          <w:bCs/>
        </w:rPr>
      </w:pPr>
      <w:r w:rsidRPr="008548D5">
        <w:rPr>
          <w:b/>
          <w:bCs/>
        </w:rPr>
        <w:t>Klopt het dat eerder 876 naamfouten in strafrechtelijke vonnissen zijn vastgesteld, maar dat inmiddels signalen bestaan dat het mogelijk om circa 50.000 foutieve naamkoppelingen gaat? Sinds wanneer is uw ministerie bekend met deze hogere aantallen en waarom is de Kamer hierover niet eerder volledig geïnformeerd?</w:t>
      </w:r>
    </w:p>
    <w:p w:rsidR="009B2A56" w:rsidP="009B2A56" w:rsidRDefault="009B2A56" w14:paraId="4F8285D9" w14:textId="77777777">
      <w:pPr>
        <w:rPr>
          <w:b/>
          <w:bCs/>
        </w:rPr>
      </w:pPr>
    </w:p>
    <w:p w:rsidR="009B2A56" w:rsidP="009B2A56" w:rsidRDefault="009B2A56" w14:paraId="5D55BC8F" w14:textId="77777777">
      <w:pPr>
        <w:rPr>
          <w:b/>
          <w:bCs/>
        </w:rPr>
      </w:pPr>
      <w:r>
        <w:rPr>
          <w:b/>
          <w:bCs/>
        </w:rPr>
        <w:t>Antwoord op vraag 2</w:t>
      </w:r>
    </w:p>
    <w:p w:rsidR="009B2A56" w:rsidP="009B2A56" w:rsidRDefault="009B2A56" w14:paraId="3D2F94EA" w14:textId="77777777">
      <w:pPr>
        <w:pStyle w:val="Geenafstand"/>
        <w:spacing w:line="240" w:lineRule="atLeast"/>
        <w:rPr>
          <w:rFonts w:ascii="Verdana" w:hAnsi="Verdana"/>
          <w:sz w:val="18"/>
          <w:szCs w:val="18"/>
        </w:rPr>
      </w:pPr>
      <w:r w:rsidRPr="0073788B">
        <w:rPr>
          <w:rFonts w:ascii="Verdana" w:hAnsi="Verdana"/>
          <w:sz w:val="18"/>
          <w:szCs w:val="18"/>
        </w:rPr>
        <w:t xml:space="preserve">Ik ken de berichtgeving en de problematiek. </w:t>
      </w:r>
      <w:r w:rsidRPr="008F2394">
        <w:t xml:space="preserve"> </w:t>
      </w:r>
      <w:r w:rsidRPr="008F2394">
        <w:rPr>
          <w:rFonts w:ascii="Verdana" w:hAnsi="Verdana"/>
          <w:sz w:val="18"/>
          <w:szCs w:val="18"/>
        </w:rPr>
        <w:t>Het in de mediaberichtgeving genoemde aantal van circa 50.000 onjuiste naamkoppelingen kan ik op basis van de nu beschikbare analyses niet bevestigen.</w:t>
      </w:r>
      <w:r w:rsidRPr="0073788B">
        <w:rPr>
          <w:rFonts w:ascii="Verdana" w:hAnsi="Verdana"/>
          <w:sz w:val="18"/>
          <w:szCs w:val="18"/>
        </w:rPr>
        <w:t>; verschillende grootheden (identiteitsvaststelling in het strafvorderlijke proces versus onjuiste tenaamstelling in een onherroepelijk vonnis) lopen in de berichtgeving door elkaar.</w:t>
      </w:r>
    </w:p>
    <w:p w:rsidR="009B2A56" w:rsidP="009B2A56" w:rsidRDefault="009B2A56" w14:paraId="65709C1D" w14:textId="77777777">
      <w:pPr>
        <w:pStyle w:val="Geenafstand"/>
        <w:spacing w:line="240" w:lineRule="atLeast"/>
        <w:rPr>
          <w:rFonts w:ascii="Verdana" w:hAnsi="Verdana"/>
          <w:sz w:val="18"/>
          <w:szCs w:val="18"/>
        </w:rPr>
      </w:pPr>
    </w:p>
    <w:p w:rsidRPr="0073788B" w:rsidR="009B2A56" w:rsidP="009B2A56" w:rsidRDefault="009B2A56" w14:paraId="2C21ECD6" w14:textId="77777777">
      <w:r w:rsidRPr="009F5F49">
        <w:t xml:space="preserve">In </w:t>
      </w:r>
      <w:r>
        <w:t xml:space="preserve">eerdere brieven aan uw Kamer is toegelicht </w:t>
      </w:r>
      <w:r w:rsidRPr="009F5F49">
        <w:t xml:space="preserve">dat </w:t>
      </w:r>
      <w:r>
        <w:t xml:space="preserve">de problematiek waar de grootste risico’s voor burgers en voor de uitvoering van straffen zitten, betreft de gevallen waarin na het onherroepelijk worden van een strafvonnis, blijkt dat er signalen zijn dat er een probleem is met de vastgestelde identiteit en daardoor een mogelijk onjuiste tenaamstelling. </w:t>
      </w:r>
      <w:bookmarkStart w:name="_Hlk224898679" w:id="0"/>
      <w:r>
        <w:t xml:space="preserve">Daarover is aan uw Kamer gemeld dat het </w:t>
      </w:r>
      <w:r w:rsidRPr="006B4DF8">
        <w:t>sinds 201</w:t>
      </w:r>
      <w:r>
        <w:t>4</w:t>
      </w:r>
      <w:r w:rsidRPr="006B4DF8">
        <w:t xml:space="preserve"> tot </w:t>
      </w:r>
      <w:r>
        <w:lastRenderedPageBreak/>
        <w:t>medio mei 2025</w:t>
      </w:r>
      <w:r w:rsidRPr="006B4DF8">
        <w:t xml:space="preserve"> 867 zaken betrof</w:t>
      </w:r>
      <w:r>
        <w:t xml:space="preserve"> en</w:t>
      </w:r>
      <w:r w:rsidRPr="006B4DF8">
        <w:t xml:space="preserve"> </w:t>
      </w:r>
      <w:r>
        <w:t>dit zich gemiddeld z</w:t>
      </w:r>
      <w:r w:rsidRPr="009F5F49">
        <w:t xml:space="preserve">o’n 50 keer per jaar </w:t>
      </w:r>
      <w:r>
        <w:t>voordoet</w:t>
      </w:r>
      <w:r w:rsidRPr="009F5F49">
        <w:t>.</w:t>
      </w:r>
      <w:r w:rsidRPr="009F5F49">
        <w:rPr>
          <w:rStyle w:val="Voetnootmarkering"/>
        </w:rPr>
        <w:footnoteReference w:id="1"/>
      </w:r>
      <w:r w:rsidRPr="009F5F49">
        <w:t xml:space="preserve"> </w:t>
      </w:r>
      <w:bookmarkEnd w:id="0"/>
    </w:p>
    <w:p w:rsidRPr="008548D5" w:rsidR="009B2A56" w:rsidP="009B2A56" w:rsidRDefault="009B2A56" w14:paraId="2C87A197" w14:textId="77777777">
      <w:pPr>
        <w:rPr>
          <w:b/>
          <w:bCs/>
        </w:rPr>
      </w:pPr>
    </w:p>
    <w:p w:rsidR="009B2A56" w:rsidP="009B2A56" w:rsidRDefault="009B2A56" w14:paraId="6A4EDB25" w14:textId="77777777">
      <w:pPr>
        <w:rPr>
          <w:b/>
          <w:bCs/>
        </w:rPr>
      </w:pPr>
      <w:r>
        <w:rPr>
          <w:b/>
          <w:bCs/>
        </w:rPr>
        <w:t>Vraag 3</w:t>
      </w:r>
    </w:p>
    <w:p w:rsidRPr="008548D5" w:rsidR="009B2A56" w:rsidP="009B2A56" w:rsidRDefault="009B2A56" w14:paraId="6E3A0A9B" w14:textId="77777777">
      <w:pPr>
        <w:rPr>
          <w:b/>
          <w:bCs/>
        </w:rPr>
      </w:pPr>
      <w:r w:rsidRPr="008548D5">
        <w:rPr>
          <w:b/>
          <w:bCs/>
        </w:rPr>
        <w:t>Wat wordt binnen de justitiële keten exact verstaan onder een ‘naamfout’? Beperkt dit zich tot administratieve verschrijvingen en typefouten of betreft het tevens gevallen waarin persoonsgegevens van onschuldige burgers ten onrechte zijn gekoppeld aan strafrechtelijke veroordelingen? Kunt u de verschillende categorieën fouten volledig en afzonderlijk kwantificeren?</w:t>
      </w:r>
    </w:p>
    <w:p w:rsidR="009B2A56" w:rsidP="009B2A56" w:rsidRDefault="009B2A56" w14:paraId="43B5D94A" w14:textId="77777777">
      <w:pPr>
        <w:rPr>
          <w:b/>
          <w:bCs/>
        </w:rPr>
      </w:pPr>
    </w:p>
    <w:p w:rsidR="009B2A56" w:rsidP="009B2A56" w:rsidRDefault="009B2A56" w14:paraId="1586114F" w14:textId="77777777">
      <w:pPr>
        <w:rPr>
          <w:b/>
          <w:bCs/>
        </w:rPr>
      </w:pPr>
      <w:r>
        <w:rPr>
          <w:b/>
          <w:bCs/>
        </w:rPr>
        <w:t>Antwoord op vraag 3</w:t>
      </w:r>
    </w:p>
    <w:p w:rsidRPr="00D539D6" w:rsidR="009B2A56" w:rsidP="009B2A56" w:rsidRDefault="009B2A56" w14:paraId="5352BA65" w14:textId="77777777">
      <w:pPr>
        <w:rPr>
          <w:color w:val="000000" w:themeColor="text1"/>
        </w:rPr>
      </w:pPr>
      <w:r w:rsidRPr="00D539D6">
        <w:rPr>
          <w:color w:val="000000" w:themeColor="text1"/>
        </w:rPr>
        <w:t>Het gaat om situaties waarbij de Matching Autoriteit constateert dat de identiteit die zij op dat moment als leidend heeft bepaald, afwijkt van de tenaamstelling van het vonnis.</w:t>
      </w:r>
      <w:r>
        <w:rPr>
          <w:color w:val="000000" w:themeColor="text1"/>
        </w:rPr>
        <w:t xml:space="preserve"> </w:t>
      </w:r>
      <w:r w:rsidRPr="00D539D6">
        <w:rPr>
          <w:color w:val="000000" w:themeColor="text1"/>
        </w:rPr>
        <w:t xml:space="preserve">Deze afwijkingen kunnen voortkomen uit schrijffouten, naamswijzigingen, </w:t>
      </w:r>
      <w:r>
        <w:rPr>
          <w:color w:val="000000" w:themeColor="text1"/>
        </w:rPr>
        <w:t xml:space="preserve">betere identiteitsgegevens die pas later in het strafproces beschikbaar komen, </w:t>
      </w:r>
      <w:r w:rsidRPr="00D539D6">
        <w:rPr>
          <w:color w:val="000000" w:themeColor="text1"/>
        </w:rPr>
        <w:t>identiteitsfraude</w:t>
      </w:r>
      <w:r>
        <w:rPr>
          <w:color w:val="000000" w:themeColor="text1"/>
        </w:rPr>
        <w:t xml:space="preserve"> </w:t>
      </w:r>
      <w:r w:rsidRPr="00D539D6">
        <w:rPr>
          <w:color w:val="000000" w:themeColor="text1"/>
        </w:rPr>
        <w:t>of</w:t>
      </w:r>
      <w:r>
        <w:rPr>
          <w:color w:val="000000" w:themeColor="text1"/>
        </w:rPr>
        <w:t xml:space="preserve"> </w:t>
      </w:r>
      <w:r w:rsidRPr="00D539D6">
        <w:rPr>
          <w:color w:val="000000" w:themeColor="text1"/>
        </w:rPr>
        <w:t xml:space="preserve">langdurige onzekerheid over de identiteit. </w:t>
      </w:r>
    </w:p>
    <w:p w:rsidRPr="00D539D6" w:rsidR="009B2A56" w:rsidP="009B2A56" w:rsidRDefault="009B2A56" w14:paraId="27C5A576" w14:textId="77777777">
      <w:pPr>
        <w:rPr>
          <w:i/>
          <w:iCs/>
          <w:color w:val="000000" w:themeColor="text1"/>
        </w:rPr>
      </w:pPr>
      <w:r>
        <w:rPr>
          <w:color w:val="000000" w:themeColor="text1"/>
        </w:rPr>
        <w:t>Hieronder is p</w:t>
      </w:r>
      <w:r w:rsidRPr="00D539D6">
        <w:rPr>
          <w:color w:val="000000" w:themeColor="text1"/>
        </w:rPr>
        <w:t xml:space="preserve">er gevalstype het percentage waarin </w:t>
      </w:r>
      <w:r>
        <w:rPr>
          <w:color w:val="000000" w:themeColor="text1"/>
        </w:rPr>
        <w:t xml:space="preserve">afwijkingen </w:t>
      </w:r>
      <w:r w:rsidRPr="00D539D6">
        <w:rPr>
          <w:color w:val="000000" w:themeColor="text1"/>
        </w:rPr>
        <w:t>voorkom</w:t>
      </w:r>
      <w:r>
        <w:rPr>
          <w:color w:val="000000" w:themeColor="text1"/>
        </w:rPr>
        <w:t>en in</w:t>
      </w:r>
      <w:r w:rsidRPr="00D539D6">
        <w:rPr>
          <w:color w:val="000000" w:themeColor="text1"/>
        </w:rPr>
        <w:t xml:space="preserve"> de</w:t>
      </w:r>
      <w:r>
        <w:rPr>
          <w:color w:val="000000" w:themeColor="text1"/>
        </w:rPr>
        <w:t xml:space="preserve"> 867</w:t>
      </w:r>
      <w:r w:rsidRPr="00D539D6">
        <w:rPr>
          <w:color w:val="000000" w:themeColor="text1"/>
        </w:rPr>
        <w:t xml:space="preserve"> geconstateerde zaken</w:t>
      </w:r>
      <w:r>
        <w:rPr>
          <w:color w:val="000000" w:themeColor="text1"/>
        </w:rPr>
        <w:t xml:space="preserve"> indicatief</w:t>
      </w:r>
      <w:r w:rsidRPr="00D539D6">
        <w:rPr>
          <w:color w:val="000000" w:themeColor="text1"/>
        </w:rPr>
        <w:t xml:space="preserve"> aangegeven: </w:t>
      </w:r>
    </w:p>
    <w:p w:rsidRPr="00D539D6" w:rsidR="009B2A56" w:rsidP="009B2A56" w:rsidRDefault="009B2A56" w14:paraId="64696181" w14:textId="77777777">
      <w:pPr>
        <w:ind w:left="284" w:hanging="283"/>
        <w:rPr>
          <w:color w:val="000000" w:themeColor="text1"/>
        </w:rPr>
      </w:pPr>
      <w:r w:rsidRPr="00D539D6">
        <w:rPr>
          <w:color w:val="000000" w:themeColor="text1"/>
        </w:rPr>
        <w:t>1.</w:t>
      </w:r>
      <w:r>
        <w:rPr>
          <w:i/>
          <w:iCs/>
          <w:color w:val="000000" w:themeColor="text1"/>
        </w:rPr>
        <w:tab/>
      </w:r>
      <w:r w:rsidRPr="00D539D6">
        <w:rPr>
          <w:color w:val="000000" w:themeColor="text1"/>
        </w:rPr>
        <w:t>kennelijke schrijffout (4 %);</w:t>
      </w:r>
    </w:p>
    <w:p w:rsidRPr="00D539D6" w:rsidR="009B2A56" w:rsidP="009B2A56" w:rsidRDefault="009B2A56" w14:paraId="39CE7033" w14:textId="77777777">
      <w:pPr>
        <w:ind w:left="284" w:hanging="283"/>
        <w:rPr>
          <w:color w:val="000000" w:themeColor="text1"/>
        </w:rPr>
      </w:pPr>
      <w:r w:rsidRPr="00D539D6">
        <w:rPr>
          <w:color w:val="000000" w:themeColor="text1"/>
        </w:rPr>
        <w:t>2.</w:t>
      </w:r>
      <w:r>
        <w:rPr>
          <w:color w:val="000000" w:themeColor="text1"/>
        </w:rPr>
        <w:tab/>
      </w:r>
      <w:r w:rsidRPr="00D539D6">
        <w:rPr>
          <w:color w:val="000000" w:themeColor="text1"/>
        </w:rPr>
        <w:t>naamswijziging (1</w:t>
      </w:r>
      <w:r>
        <w:rPr>
          <w:color w:val="000000" w:themeColor="text1"/>
        </w:rPr>
        <w:t>6</w:t>
      </w:r>
      <w:r w:rsidRPr="00D539D6">
        <w:rPr>
          <w:color w:val="000000" w:themeColor="text1"/>
        </w:rPr>
        <w:t>%)</w:t>
      </w:r>
    </w:p>
    <w:p w:rsidRPr="00D539D6" w:rsidR="009B2A56" w:rsidP="009B2A56" w:rsidRDefault="009B2A56" w14:paraId="3FB3224E" w14:textId="77777777">
      <w:pPr>
        <w:ind w:left="284" w:hanging="283"/>
        <w:rPr>
          <w:color w:val="000000" w:themeColor="text1"/>
        </w:rPr>
      </w:pPr>
      <w:r w:rsidRPr="00D539D6">
        <w:rPr>
          <w:color w:val="000000" w:themeColor="text1"/>
        </w:rPr>
        <w:t>3.</w:t>
      </w:r>
      <w:r>
        <w:rPr>
          <w:color w:val="000000" w:themeColor="text1"/>
        </w:rPr>
        <w:tab/>
      </w:r>
      <w:r w:rsidRPr="00D539D6">
        <w:rPr>
          <w:color w:val="000000" w:themeColor="text1"/>
        </w:rPr>
        <w:t>significante afwijking zonder signalen dat een derde (burger) hierdoor is benadeeld (</w:t>
      </w:r>
      <w:r>
        <w:rPr>
          <w:color w:val="000000" w:themeColor="text1"/>
        </w:rPr>
        <w:t>70</w:t>
      </w:r>
      <w:r w:rsidRPr="00D539D6">
        <w:rPr>
          <w:color w:val="000000" w:themeColor="text1"/>
        </w:rPr>
        <w:t>%);</w:t>
      </w:r>
    </w:p>
    <w:p w:rsidRPr="00D539D6" w:rsidR="009B2A56" w:rsidP="009B2A56" w:rsidRDefault="009B2A56" w14:paraId="5637D2A4" w14:textId="77777777">
      <w:pPr>
        <w:ind w:left="284" w:hanging="283"/>
        <w:rPr>
          <w:i/>
          <w:iCs/>
          <w:color w:val="000000" w:themeColor="text1"/>
        </w:rPr>
      </w:pPr>
      <w:r w:rsidRPr="00D539D6">
        <w:rPr>
          <w:color w:val="000000" w:themeColor="text1"/>
        </w:rPr>
        <w:t>4.</w:t>
      </w:r>
      <w:r>
        <w:rPr>
          <w:color w:val="000000" w:themeColor="text1"/>
        </w:rPr>
        <w:tab/>
      </w:r>
      <w:r w:rsidRPr="00D539D6">
        <w:rPr>
          <w:color w:val="000000" w:themeColor="text1"/>
        </w:rPr>
        <w:t>significante afwijking waarbij er signalen zijn dat een derde (aantoonbaar een ander persoon) daardoor nadeel ondervindt (1</w:t>
      </w:r>
      <w:r>
        <w:rPr>
          <w:color w:val="000000" w:themeColor="text1"/>
        </w:rPr>
        <w:t>0</w:t>
      </w:r>
      <w:r w:rsidRPr="00D539D6">
        <w:rPr>
          <w:color w:val="000000" w:themeColor="text1"/>
        </w:rPr>
        <w:t xml:space="preserve">%). </w:t>
      </w:r>
      <w:r w:rsidRPr="00D539D6">
        <w:rPr>
          <w:color w:val="000000" w:themeColor="text1"/>
        </w:rPr>
        <w:br/>
      </w:r>
    </w:p>
    <w:p w:rsidRPr="00D539D6" w:rsidR="009B2A56" w:rsidP="009B2A56" w:rsidRDefault="009B2A56" w14:paraId="3698C248" w14:textId="77777777">
      <w:pPr>
        <w:rPr>
          <w:color w:val="000000" w:themeColor="text1"/>
        </w:rPr>
      </w:pPr>
      <w:r w:rsidRPr="00D539D6">
        <w:rPr>
          <w:color w:val="000000" w:themeColor="text1"/>
        </w:rPr>
        <w:t xml:space="preserve">Deze percentages kunnen wijzigen. Op grond van nadere toetsing kan blijken, dat een zaak tot een ander gevalstype behoort. </w:t>
      </w:r>
      <w:r w:rsidRPr="00C16EEF">
        <w:rPr>
          <w:color w:val="000000" w:themeColor="text1"/>
        </w:rPr>
        <w:t>Deze percentages geven daarmee een voorlopig beeld van de thans beoordeelde zaken</w:t>
      </w:r>
      <w:r>
        <w:rPr>
          <w:color w:val="000000" w:themeColor="text1"/>
        </w:rPr>
        <w:t xml:space="preserve">. </w:t>
      </w:r>
    </w:p>
    <w:p w:rsidRPr="008548D5" w:rsidR="009B2A56" w:rsidP="009B2A56" w:rsidRDefault="009B2A56" w14:paraId="1D6222CB" w14:textId="77777777">
      <w:pPr>
        <w:rPr>
          <w:b/>
          <w:bCs/>
        </w:rPr>
      </w:pPr>
    </w:p>
    <w:p w:rsidR="009B2A56" w:rsidP="009B2A56" w:rsidRDefault="009B2A56" w14:paraId="58DD8908" w14:textId="77777777">
      <w:pPr>
        <w:rPr>
          <w:b/>
          <w:bCs/>
        </w:rPr>
      </w:pPr>
      <w:r>
        <w:rPr>
          <w:b/>
          <w:bCs/>
        </w:rPr>
        <w:t>Vraag 4</w:t>
      </w:r>
    </w:p>
    <w:p w:rsidRPr="008548D5" w:rsidR="009B2A56" w:rsidP="009B2A56" w:rsidRDefault="009B2A56" w14:paraId="45DED617" w14:textId="77777777">
      <w:pPr>
        <w:rPr>
          <w:b/>
          <w:bCs/>
        </w:rPr>
      </w:pPr>
      <w:r w:rsidRPr="008548D5">
        <w:rPr>
          <w:b/>
          <w:bCs/>
        </w:rPr>
        <w:lastRenderedPageBreak/>
        <w:t>Op welk moment in de strafrechtketen ontstaan deze fouten precies en waar ligt de primaire verantwoordelijkheid voor het voorkomen daarvan? Is sprake van een structurele systeemfout en is hiervoor eerder intern gewaarschuwd?</w:t>
      </w:r>
    </w:p>
    <w:p w:rsidR="009B2A56" w:rsidP="009B2A56" w:rsidRDefault="009B2A56" w14:paraId="10C81690" w14:textId="77777777">
      <w:pPr>
        <w:rPr>
          <w:b/>
          <w:bCs/>
        </w:rPr>
      </w:pPr>
    </w:p>
    <w:p w:rsidR="009B2A56" w:rsidP="009B2A56" w:rsidRDefault="009B2A56" w14:paraId="67163C7F" w14:textId="77777777">
      <w:pPr>
        <w:rPr>
          <w:b/>
          <w:bCs/>
        </w:rPr>
      </w:pPr>
      <w:r>
        <w:rPr>
          <w:b/>
          <w:bCs/>
        </w:rPr>
        <w:t>Antwoord op vraag 4</w:t>
      </w:r>
    </w:p>
    <w:p w:rsidRPr="00D539D6" w:rsidR="009B2A56" w:rsidP="009B2A56" w:rsidRDefault="009B2A56" w14:paraId="5B1BB817" w14:textId="77777777">
      <w:pPr>
        <w:rPr>
          <w:color w:val="000000" w:themeColor="text1"/>
        </w:rPr>
      </w:pPr>
      <w:r w:rsidRPr="00D539D6">
        <w:rPr>
          <w:color w:val="000000" w:themeColor="text1"/>
        </w:rPr>
        <w:t xml:space="preserve">De </w:t>
      </w:r>
      <w:r>
        <w:rPr>
          <w:color w:val="000000" w:themeColor="text1"/>
        </w:rPr>
        <w:t xml:space="preserve">problematiek kent verschillende oorzaken. Om te beginnen aan de voorkant van </w:t>
      </w:r>
      <w:r w:rsidRPr="00D539D6">
        <w:rPr>
          <w:color w:val="000000" w:themeColor="text1"/>
        </w:rPr>
        <w:t>de keten</w:t>
      </w:r>
      <w:r>
        <w:rPr>
          <w:color w:val="000000" w:themeColor="text1"/>
        </w:rPr>
        <w:t xml:space="preserve">. Daar kunnen verdachten onjuiste of onvolledige gegevens verstrekken die op dat moment niet kunnen worden geverifieerd. Ook kunnen </w:t>
      </w:r>
      <w:r w:rsidRPr="00D539D6">
        <w:rPr>
          <w:color w:val="000000" w:themeColor="text1"/>
        </w:rPr>
        <w:t xml:space="preserve">fouten in de registraties </w:t>
      </w:r>
      <w:r>
        <w:rPr>
          <w:color w:val="000000" w:themeColor="text1"/>
        </w:rPr>
        <w:t xml:space="preserve">ontstaan </w:t>
      </w:r>
      <w:r w:rsidRPr="00D539D6">
        <w:rPr>
          <w:color w:val="000000" w:themeColor="text1"/>
        </w:rPr>
        <w:t xml:space="preserve">vanwege </w:t>
      </w:r>
      <w:r>
        <w:rPr>
          <w:color w:val="000000" w:themeColor="text1"/>
        </w:rPr>
        <w:t xml:space="preserve">verschrijvingen of </w:t>
      </w:r>
      <w:r w:rsidRPr="00D539D6">
        <w:rPr>
          <w:color w:val="000000" w:themeColor="text1"/>
        </w:rPr>
        <w:t xml:space="preserve">administratieve </w:t>
      </w:r>
      <w:r>
        <w:rPr>
          <w:color w:val="000000" w:themeColor="text1"/>
        </w:rPr>
        <w:t xml:space="preserve">vergissingen. Later in het proces, zo leert de praktijk, komen er pas voor het eerst kwalitatief betere identiteitsgegevens beschikbaar (zoals vingerafdrukken). De registraties worden dan indien nodig geactualiseerd. Dat vergt </w:t>
      </w:r>
      <w:r w:rsidRPr="00D539D6">
        <w:rPr>
          <w:color w:val="000000" w:themeColor="text1"/>
        </w:rPr>
        <w:t>nader ID-onderzoek. Een dergelijk onderzoek neemt veel tijd in beslag en duurt soms langer dan de periode van vervolging/berechting. Hierdoor kunnen fouten lange tijd in de registraties blijven staan en komt pas na het vonnis informatie beschikbaar op basis waarvan wordt geconstateerd dat de tenaamstelling onjuist is.</w:t>
      </w:r>
      <w:r>
        <w:rPr>
          <w:color w:val="000000" w:themeColor="text1"/>
        </w:rPr>
        <w:t xml:space="preserve"> In andere gevallen wordt bij de vervolging (uitbrengen dagvaarding) en berechting (vonnis) niet altijd gewerkt met de meest actuele tenaamstelling, en wordt de identiteit van de verdachte op die momenten niet daadwerkelijk geverifieerd. Bovendien kent de strafrechtketen op dit moment geen structureel herstelproces om deze fouten proactief te herstellen.</w:t>
      </w:r>
    </w:p>
    <w:p w:rsidRPr="00D539D6" w:rsidR="009B2A56" w:rsidP="009B2A56" w:rsidRDefault="009B2A56" w14:paraId="51723008" w14:textId="77777777">
      <w:pPr>
        <w:rPr>
          <w:color w:val="000000" w:themeColor="text1"/>
        </w:rPr>
      </w:pPr>
      <w:r w:rsidRPr="00D539D6">
        <w:rPr>
          <w:color w:val="000000" w:themeColor="text1"/>
        </w:rPr>
        <w:t xml:space="preserve">Het voorkomen van nieuwe fouten is één van de vier pijlers van de aanpak. </w:t>
      </w:r>
      <w:r w:rsidRPr="00C36025">
        <w:rPr>
          <w:color w:val="000000" w:themeColor="text1"/>
        </w:rPr>
        <w:t>Dat laat onverlet dat hier sprake is van een ketenbreed vraagstuk: de oorsprong ligt vaak vroeg in het proces, maar ook in latere fasen moeten signalen tijdig worden onderkend, geverifieerd en verwerkt.</w:t>
      </w:r>
      <w:r>
        <w:rPr>
          <w:color w:val="000000" w:themeColor="text1"/>
        </w:rPr>
        <w:t xml:space="preserve"> Daarom wordt s</w:t>
      </w:r>
      <w:r w:rsidRPr="00D539D6">
        <w:rPr>
          <w:color w:val="000000" w:themeColor="text1"/>
        </w:rPr>
        <w:t xml:space="preserve">amen met ketenpartners in kaart gebracht waar processen rond identiteitsvaststelling kunnen worden versterkt, zodat nieuwe gevallen worden voorkomen. Tegelijkertijd </w:t>
      </w:r>
      <w:r>
        <w:rPr>
          <w:color w:val="000000" w:themeColor="text1"/>
        </w:rPr>
        <w:t xml:space="preserve">is het belangrijk om in te zien dat onzekerheid rondom de identiteit van een verdachte inherent is aan het strafproces. Dat houdt verband met het kernbeginsel dat de verdachte niet verplicht is mee te werken aan de eigen veroordeling, maar ook aan de wisselende betrouwbaarheid van de op dat moment beschikbare identiteitsgegevens. Een </w:t>
      </w:r>
      <w:r w:rsidRPr="00D539D6">
        <w:rPr>
          <w:color w:val="000000" w:themeColor="text1"/>
        </w:rPr>
        <w:t xml:space="preserve">volledig foutloze keten </w:t>
      </w:r>
      <w:r>
        <w:rPr>
          <w:color w:val="000000" w:themeColor="text1"/>
        </w:rPr>
        <w:t xml:space="preserve">is </w:t>
      </w:r>
      <w:r w:rsidRPr="00D539D6">
        <w:rPr>
          <w:color w:val="000000" w:themeColor="text1"/>
        </w:rPr>
        <w:t>niet realistisch</w:t>
      </w:r>
      <w:r>
        <w:rPr>
          <w:color w:val="000000" w:themeColor="text1"/>
        </w:rPr>
        <w:t xml:space="preserve">; er zal sprake blijven van </w:t>
      </w:r>
      <w:r w:rsidRPr="00D539D6">
        <w:rPr>
          <w:color w:val="000000" w:themeColor="text1"/>
        </w:rPr>
        <w:t xml:space="preserve">menselijke invoerfouten </w:t>
      </w:r>
      <w:r>
        <w:rPr>
          <w:color w:val="000000" w:themeColor="text1"/>
        </w:rPr>
        <w:t xml:space="preserve">en situaties waarin, bijvoorbeeld vanwege het ontbreken van gegevens, </w:t>
      </w:r>
      <w:r w:rsidRPr="00D539D6">
        <w:rPr>
          <w:color w:val="000000" w:themeColor="text1"/>
        </w:rPr>
        <w:t xml:space="preserve">identiteiten </w:t>
      </w:r>
      <w:r>
        <w:rPr>
          <w:color w:val="000000" w:themeColor="text1"/>
        </w:rPr>
        <w:t xml:space="preserve">in de praktijk </w:t>
      </w:r>
      <w:r w:rsidRPr="00D539D6">
        <w:rPr>
          <w:color w:val="000000" w:themeColor="text1"/>
        </w:rPr>
        <w:t>niet zijn vast te stellen</w:t>
      </w:r>
      <w:r>
        <w:rPr>
          <w:color w:val="000000" w:themeColor="text1"/>
        </w:rPr>
        <w:t xml:space="preserve">. </w:t>
      </w:r>
      <w:r>
        <w:rPr>
          <w:color w:val="000000" w:themeColor="text1"/>
        </w:rPr>
        <w:br/>
        <w:t>Het belang van de strafrechtspleging vergt dat er wordt gewerkt met de beste op dat moment beschikbare gegevens</w:t>
      </w:r>
      <w:r w:rsidRPr="00D539D6">
        <w:rPr>
          <w:color w:val="000000" w:themeColor="text1"/>
        </w:rPr>
        <w:t>. Daarom word</w:t>
      </w:r>
      <w:r>
        <w:rPr>
          <w:color w:val="000000" w:themeColor="text1"/>
        </w:rPr>
        <w:t>t</w:t>
      </w:r>
      <w:r w:rsidRPr="00D539D6">
        <w:rPr>
          <w:color w:val="000000" w:themeColor="text1"/>
        </w:rPr>
        <w:t xml:space="preserve"> ingezet op zo snel mogelijke signalering en correctie binnen de wettelijke kaders. Dit is nadrukkelijk een ketenopgave. Daarom gebeurt dit in samenwerking met onder meer het OM, de Rechtspraak, de Procureur-Generaal bij de Hoge Raad, DJI, CJIB, Politie en KMAR. Ook de migratieketen en </w:t>
      </w:r>
      <w:r>
        <w:rPr>
          <w:color w:val="000000" w:themeColor="text1"/>
        </w:rPr>
        <w:t xml:space="preserve">de </w:t>
      </w:r>
      <w:r w:rsidRPr="00D539D6">
        <w:rPr>
          <w:color w:val="000000" w:themeColor="text1"/>
        </w:rPr>
        <w:t xml:space="preserve">burgerketen </w:t>
      </w:r>
      <w:r>
        <w:rPr>
          <w:color w:val="000000" w:themeColor="text1"/>
        </w:rPr>
        <w:t>zijn</w:t>
      </w:r>
      <w:r w:rsidRPr="00D539D6">
        <w:rPr>
          <w:color w:val="000000" w:themeColor="text1"/>
        </w:rPr>
        <w:t xml:space="preserve"> betrokken.</w:t>
      </w:r>
    </w:p>
    <w:p w:rsidRPr="008548D5" w:rsidR="009B2A56" w:rsidP="009B2A56" w:rsidRDefault="009B2A56" w14:paraId="24A98F68" w14:textId="77777777">
      <w:pPr>
        <w:rPr>
          <w:b/>
          <w:bCs/>
        </w:rPr>
      </w:pPr>
    </w:p>
    <w:p w:rsidR="009B2A56" w:rsidP="009B2A56" w:rsidRDefault="009B2A56" w14:paraId="17EF3CDC" w14:textId="77777777">
      <w:pPr>
        <w:rPr>
          <w:b/>
          <w:bCs/>
        </w:rPr>
      </w:pPr>
      <w:r>
        <w:rPr>
          <w:b/>
          <w:bCs/>
        </w:rPr>
        <w:t>Vraag 5</w:t>
      </w:r>
    </w:p>
    <w:p w:rsidRPr="008548D5" w:rsidR="009B2A56" w:rsidP="009B2A56" w:rsidRDefault="009B2A56" w14:paraId="4FFE809D" w14:textId="77777777">
      <w:pPr>
        <w:rPr>
          <w:b/>
          <w:bCs/>
        </w:rPr>
      </w:pPr>
      <w:r w:rsidRPr="008548D5">
        <w:rPr>
          <w:b/>
          <w:bCs/>
        </w:rPr>
        <w:t>Klopt het dat eenmaal foutief gekoppelde persoonsgegevens automatisch doorwerken in gekoppelde justitiële databanken? Zo ja, welke systemen zijn daarbij betrokken en hoe verhoudt deze automatische doorwerking zich tot het beginsel van juistheid van persoonsgegevens zoals neergelegd in de Algemene verordening gegevensbescherming?</w:t>
      </w:r>
    </w:p>
    <w:p w:rsidR="009B2A56" w:rsidP="009B2A56" w:rsidRDefault="009B2A56" w14:paraId="7198E5D1" w14:textId="77777777"/>
    <w:p w:rsidRPr="00F605DE" w:rsidR="009B2A56" w:rsidP="009B2A56" w:rsidRDefault="009B2A56" w14:paraId="11B57A84" w14:textId="77777777">
      <w:pPr>
        <w:rPr>
          <w:b/>
          <w:bCs/>
        </w:rPr>
      </w:pPr>
      <w:r w:rsidRPr="00F605DE">
        <w:rPr>
          <w:b/>
          <w:bCs/>
        </w:rPr>
        <w:t>Antwoord op vraag 5</w:t>
      </w:r>
    </w:p>
    <w:p w:rsidRPr="00F452FB" w:rsidR="009B2A56" w:rsidP="009B2A56" w:rsidRDefault="009B2A56" w14:paraId="7A29C988" w14:textId="77777777">
      <w:r w:rsidRPr="00F452FB">
        <w:t>De Strafrechtketendatabank (SKDB) verwerkt identiteitsgegevens mede op basis van authentieke of gezaghebbende bronregistraties, waaronder in elk geval de Basisregistratie Personen en, voor zover relevant, de Basisvoorziening Vreemdelingen. Wijzigingen in dergelijke bronregisters kunnen doorwerken in de SKDB om identiteitsgegevens te actualiseren en ketenprocessen te ondersteunen. Of en hoe die doorwerking vervolgens effect heeft in andere ketenprocessen of registraties, hangt af van de aard van de wijziging, de betrokken systemen en de noodzakelijke beoordeling van de gevolgen daarvan.</w:t>
      </w:r>
    </w:p>
    <w:p w:rsidRPr="00F452FB" w:rsidR="009B2A56" w:rsidP="009B2A56" w:rsidRDefault="009B2A56" w14:paraId="30254D5C" w14:textId="77777777"/>
    <w:p w:rsidRPr="00F452FB" w:rsidR="009B2A56" w:rsidP="009B2A56" w:rsidRDefault="009B2A56" w14:paraId="22158C14" w14:textId="77777777">
      <w:r w:rsidRPr="00F452FB">
        <w:t>Een beperkt aantal van de aan de SKDB  gekoppelde organisaties valt onder de werking van de AVG. Voor andere organisaties geldt dat de Wet Politiegegevens (Wpg) of de Wet Justitiële en strafvorderlijke gegevens (Wjsg) van toepassing zijn, die overigens vergelijkbare bepalingen kennen ten aanzien van de verantwoordelijkheid voor de juistheid van de te verwerken persoonsgegevens. Die stelsels kennen ieder eigen regels over de juistheid, zorgvuldigheid en – waar nodig – correctie van persoonsgegevens. De geautomatiseerde doorwerking van brongegevens ontslaat betrokken organisaties dus niet van hun verantwoordelijkheid om, binnen het voor hen geldende wettelijke kader, onjuistheden te corrigeren wanneer die blijken.</w:t>
      </w:r>
    </w:p>
    <w:p w:rsidRPr="008548D5" w:rsidR="009B2A56" w:rsidP="009B2A56" w:rsidRDefault="009B2A56" w14:paraId="2FABA3F3" w14:textId="77777777">
      <w:pPr>
        <w:rPr>
          <w:b/>
          <w:bCs/>
        </w:rPr>
      </w:pPr>
    </w:p>
    <w:p w:rsidR="009B2A56" w:rsidP="009B2A56" w:rsidRDefault="009B2A56" w14:paraId="66BD5C18" w14:textId="77777777">
      <w:pPr>
        <w:rPr>
          <w:b/>
          <w:bCs/>
        </w:rPr>
      </w:pPr>
      <w:r>
        <w:rPr>
          <w:b/>
          <w:bCs/>
        </w:rPr>
        <w:t>Vraag 6</w:t>
      </w:r>
      <w:r w:rsidRPr="008548D5">
        <w:rPr>
          <w:b/>
          <w:bCs/>
        </w:rPr>
        <w:tab/>
      </w:r>
    </w:p>
    <w:p w:rsidRPr="008548D5" w:rsidR="009B2A56" w:rsidP="009B2A56" w:rsidRDefault="009B2A56" w14:paraId="0982F51D" w14:textId="77777777">
      <w:pPr>
        <w:rPr>
          <w:b/>
          <w:bCs/>
        </w:rPr>
      </w:pPr>
      <w:r w:rsidRPr="008548D5">
        <w:rPr>
          <w:b/>
          <w:bCs/>
        </w:rPr>
        <w:t>Klopt het dat het corrigeren van foutief gekoppelde persoonsgegevens in de praktijk wordt bemoeilijkt doordat wijzigingen automatisch doorwerken in andere systemen? Deelt u de mening dat systeemtechnische beperkingen nooit een rechtvaardiging mogen vormen om onjuiste strafrechtelijke registraties in stand te houden? Zo nee, waarom niet?</w:t>
      </w:r>
    </w:p>
    <w:p w:rsidRPr="008548D5" w:rsidR="009B2A56" w:rsidP="009B2A56" w:rsidRDefault="009B2A56" w14:paraId="00021EB3" w14:textId="77777777">
      <w:pPr>
        <w:rPr>
          <w:b/>
          <w:bCs/>
        </w:rPr>
      </w:pPr>
    </w:p>
    <w:p w:rsidRPr="00F605DE" w:rsidR="009B2A56" w:rsidP="009B2A56" w:rsidRDefault="009B2A56" w14:paraId="6C605F3D" w14:textId="77777777">
      <w:pPr>
        <w:rPr>
          <w:b/>
          <w:bCs/>
        </w:rPr>
      </w:pPr>
      <w:r w:rsidRPr="00F605DE">
        <w:rPr>
          <w:b/>
          <w:bCs/>
        </w:rPr>
        <w:t>Antwoord op vraag 6</w:t>
      </w:r>
    </w:p>
    <w:p w:rsidRPr="00F452FB" w:rsidR="009B2A56" w:rsidP="009B2A56" w:rsidRDefault="009B2A56" w14:paraId="4832996D" w14:textId="77777777">
      <w:r>
        <w:t xml:space="preserve">Ik </w:t>
      </w:r>
      <w:r w:rsidRPr="00F452FB">
        <w:t xml:space="preserve">ben van mening dat systeemtechnische beperkingen nooit zouden mogen leiden tot het in stand houden van onjuiste strafrechtelijke registraties. Juist om die reden heeft de Matching Autoriteit de wettelijke taak (Wivvg) de leidende administratieve identiteit van verdachten en veroordeelden te bepalen. Deze identiteit wordt binnen de strafrechtketen gedeeld en vervolgens in alle fasen van het strafproces gebruikt. Door het centraal beheer en onderhoud van identiteitsgegevens in de strafrechtketen en het eenduidig gebruik hiervan in de keten(-systemen), kunnen de uniformiteit van gegevens, dataconsistentie en de mogelijkheid tot integraal herstel (na constatering onjuiste tenaamstelling) worden geborgd. Dat neemt niet weg dat herstel in de praktijk per systeem en per rechtsgevolg verschillende handelingen kan vergen. Juist daarom is van belang dat onjuiste registraties niet alleen technisch, maar ook juridisch en procesmatig zorgvuldig </w:t>
      </w:r>
      <w:r>
        <w:t xml:space="preserve">kunnen </w:t>
      </w:r>
      <w:r w:rsidRPr="00F452FB">
        <w:t>worden hersteld. Om die reden is begin dit jaar een wijziging in de systemen gerealiseerd waardoor het mogelijk is geworden om geautomatiseerd doorgevoerde wijzigingen weer terug te draaien.</w:t>
      </w:r>
    </w:p>
    <w:p w:rsidRPr="00F452FB" w:rsidR="009B2A56" w:rsidP="009B2A56" w:rsidRDefault="009B2A56" w14:paraId="5834D25F" w14:textId="77777777"/>
    <w:p w:rsidR="009B2A56" w:rsidP="009B2A56" w:rsidRDefault="009B2A56" w14:paraId="7D77764D" w14:textId="77777777">
      <w:pPr>
        <w:rPr>
          <w:b/>
          <w:bCs/>
        </w:rPr>
      </w:pPr>
      <w:r>
        <w:rPr>
          <w:b/>
          <w:bCs/>
        </w:rPr>
        <w:t>Vraag 7</w:t>
      </w:r>
      <w:r w:rsidRPr="008548D5">
        <w:rPr>
          <w:b/>
          <w:bCs/>
        </w:rPr>
        <w:tab/>
      </w:r>
    </w:p>
    <w:p w:rsidRPr="008548D5" w:rsidR="009B2A56" w:rsidP="009B2A56" w:rsidRDefault="009B2A56" w14:paraId="6B026879" w14:textId="77777777">
      <w:pPr>
        <w:rPr>
          <w:b/>
          <w:bCs/>
        </w:rPr>
      </w:pPr>
      <w:r w:rsidRPr="008548D5">
        <w:rPr>
          <w:b/>
          <w:bCs/>
        </w:rPr>
        <w:t>Bestaat er binnen de justitiële keten onduidelijkheid over wie bevoegd is om fouten in strafrechtelijke vonnissen en de daaraan gekoppelde registraties te herstellen? Zo ja, hoe beoordeelt u het feit dat geen eenduidige herstelbevoegdheid is vastgelegd terwijl dergelijke fouten verstrekkende gevolgen kunnen hebben voor de rechtspositie van burgers?</w:t>
      </w:r>
    </w:p>
    <w:p w:rsidR="009B2A56" w:rsidP="009B2A56" w:rsidRDefault="009B2A56" w14:paraId="566ED793" w14:textId="77777777">
      <w:pPr>
        <w:rPr>
          <w:b/>
          <w:bCs/>
        </w:rPr>
      </w:pPr>
    </w:p>
    <w:p w:rsidR="009B2A56" w:rsidP="009B2A56" w:rsidRDefault="009B2A56" w14:paraId="755118B6" w14:textId="77777777">
      <w:pPr>
        <w:rPr>
          <w:b/>
          <w:bCs/>
        </w:rPr>
      </w:pPr>
      <w:r>
        <w:rPr>
          <w:b/>
          <w:bCs/>
        </w:rPr>
        <w:t>Antwoord op vraag 7</w:t>
      </w:r>
    </w:p>
    <w:p w:rsidR="009B2A56" w:rsidP="009B2A56" w:rsidRDefault="009B2A56" w14:paraId="432DF70D" w14:textId="77777777">
      <w:pPr>
        <w:rPr>
          <w:b/>
          <w:bCs/>
        </w:rPr>
      </w:pPr>
      <w:r w:rsidRPr="00F452FB">
        <w:t>Er bestond inderdaad onzekerheid omtrent de herstelbevoegdheden. Deze onzekerheid is inmiddels in belangrijke mate verduidelijkt door het ontwikkelde Toetsings- en handelingskader dat de rechtstatelijke bevoegdheidsgrenzen expliciet maakt. Dat kader is conform toezegging in Q1 definitief vastgesteld en wordt in de komende tijd verder geoperationaliseerd in de uitvoeringspraktijk. Met dit kader wordt de werkwijze rond de registratie van onherroepelijke vonnissen in geval van twijfel over de tenaamstelling, heringericht. Dit kader is gebaseerd op een door deskundigen in- en extern gevalideerde juridische grondslag. Daarbij geldt als uitgangspunt dat correctie van registraties onder omstandigheden mogelijk is, maar dat wijziging van een onherroepelijk rechterlijk oordeel</w:t>
      </w:r>
      <w:r>
        <w:t xml:space="preserve"> </w:t>
      </w:r>
      <w:r w:rsidRPr="00F452FB">
        <w:t xml:space="preserve">uitsluitend </w:t>
      </w:r>
      <w:r w:rsidRPr="00AF020D">
        <w:t>door de rechter zelf kan worden gedaan</w:t>
      </w:r>
      <w:r w:rsidRPr="00F452FB">
        <w:t>.</w:t>
      </w:r>
    </w:p>
    <w:p w:rsidR="009B2A56" w:rsidP="009B2A56" w:rsidRDefault="009B2A56" w14:paraId="556B8E28" w14:textId="77777777">
      <w:pPr>
        <w:rPr>
          <w:b/>
          <w:bCs/>
        </w:rPr>
      </w:pPr>
    </w:p>
    <w:p w:rsidR="009B2A56" w:rsidP="009B2A56" w:rsidRDefault="009B2A56" w14:paraId="1A39659B" w14:textId="77777777">
      <w:pPr>
        <w:rPr>
          <w:b/>
          <w:bCs/>
        </w:rPr>
      </w:pPr>
      <w:r>
        <w:rPr>
          <w:b/>
          <w:bCs/>
        </w:rPr>
        <w:t>Vraag 8</w:t>
      </w:r>
    </w:p>
    <w:p w:rsidRPr="008548D5" w:rsidR="009B2A56" w:rsidP="009B2A56" w:rsidRDefault="009B2A56" w14:paraId="26FBB351" w14:textId="77777777">
      <w:pPr>
        <w:rPr>
          <w:b/>
          <w:bCs/>
        </w:rPr>
      </w:pPr>
      <w:r w:rsidRPr="008548D5">
        <w:rPr>
          <w:b/>
          <w:bCs/>
        </w:rPr>
        <w:t>Hoeveel burgers hebben aantoonbaar nadeel ondervonden van onjuiste registraties in justitiële systemen, bijvoorbeeld bij de aanvraag van een Verklaring Omtrent het Gedrag, bij werk- of veiligheidsscreening, in opsporingsonderzoeken, detentie of verblijfsrechtelijke procedures? In hoeveel gevallen hebben foutieve naamkoppelingen ertoe geleid dat veroordeelde personen niet (tijdig) zijn gedetineerd of ten onrechte op vrije voeten zijn gebleven?</w:t>
      </w:r>
    </w:p>
    <w:p w:rsidR="009B2A56" w:rsidP="009B2A56" w:rsidRDefault="009B2A56" w14:paraId="211AF342" w14:textId="77777777">
      <w:pPr>
        <w:rPr>
          <w:b/>
          <w:bCs/>
        </w:rPr>
      </w:pPr>
    </w:p>
    <w:p w:rsidR="009B2A56" w:rsidP="009B2A56" w:rsidRDefault="009B2A56" w14:paraId="21F2F3BC" w14:textId="77777777">
      <w:pPr>
        <w:rPr>
          <w:b/>
          <w:bCs/>
          <w:color w:val="000000" w:themeColor="text1"/>
        </w:rPr>
      </w:pPr>
    </w:p>
    <w:p w:rsidR="009B2A56" w:rsidP="009B2A56" w:rsidRDefault="009B2A56" w14:paraId="007D3517" w14:textId="77777777">
      <w:pPr>
        <w:rPr>
          <w:b/>
          <w:bCs/>
          <w:color w:val="000000" w:themeColor="text1"/>
        </w:rPr>
      </w:pPr>
    </w:p>
    <w:p w:rsidRPr="00F605DE" w:rsidR="009B2A56" w:rsidP="009B2A56" w:rsidRDefault="009B2A56" w14:paraId="5E6A52E6" w14:textId="77777777">
      <w:pPr>
        <w:rPr>
          <w:b/>
          <w:bCs/>
          <w:color w:val="000000" w:themeColor="text1"/>
        </w:rPr>
      </w:pPr>
      <w:r w:rsidRPr="00F605DE">
        <w:rPr>
          <w:b/>
          <w:bCs/>
          <w:color w:val="000000" w:themeColor="text1"/>
        </w:rPr>
        <w:t>Antwoord op vraag 8</w:t>
      </w:r>
    </w:p>
    <w:p w:rsidR="009B2A56" w:rsidP="009B2A56" w:rsidRDefault="009B2A56" w14:paraId="2FFB2D74" w14:textId="77777777">
      <w:pPr>
        <w:rPr>
          <w:color w:val="000000" w:themeColor="text1"/>
        </w:rPr>
      </w:pPr>
      <w:r w:rsidRPr="00D539D6">
        <w:rPr>
          <w:color w:val="000000" w:themeColor="text1"/>
        </w:rPr>
        <w:t xml:space="preserve">In </w:t>
      </w:r>
      <w:r>
        <w:rPr>
          <w:color w:val="000000" w:themeColor="text1"/>
        </w:rPr>
        <w:t>de Kamer</w:t>
      </w:r>
      <w:r w:rsidRPr="00D539D6">
        <w:rPr>
          <w:color w:val="000000" w:themeColor="text1"/>
        </w:rPr>
        <w:t>brie</w:t>
      </w:r>
      <w:r>
        <w:rPr>
          <w:color w:val="000000" w:themeColor="text1"/>
        </w:rPr>
        <w:t>f van 10 november 2025</w:t>
      </w:r>
      <w:r w:rsidRPr="00D539D6">
        <w:rPr>
          <w:rStyle w:val="Voetnootmarkering"/>
          <w:color w:val="000000" w:themeColor="text1"/>
        </w:rPr>
        <w:footnoteReference w:id="2"/>
      </w:r>
      <w:r w:rsidRPr="00D539D6">
        <w:rPr>
          <w:color w:val="000000" w:themeColor="text1"/>
        </w:rPr>
        <w:t xml:space="preserve"> </w:t>
      </w:r>
      <w:r>
        <w:rPr>
          <w:color w:val="000000" w:themeColor="text1"/>
        </w:rPr>
        <w:t xml:space="preserve"> </w:t>
      </w:r>
      <w:r w:rsidRPr="00D539D6">
        <w:rPr>
          <w:color w:val="000000" w:themeColor="text1"/>
        </w:rPr>
        <w:t xml:space="preserve">is melding gemaakt van </w:t>
      </w:r>
      <w:r w:rsidRPr="006B5BCC">
        <w:rPr>
          <w:color w:val="000000" w:themeColor="text1"/>
        </w:rPr>
        <w:t>vier gevallen waarin foutieve tenaamstelling aan de orde was. In twee van die gevallen zijn personen bij identiteitscontrole gedetineerd geweest; nadat bleek dat zij niet de dader waren, zijn zij in vrijheid gesteld.</w:t>
      </w:r>
      <w:r>
        <w:rPr>
          <w:color w:val="000000" w:themeColor="text1"/>
        </w:rPr>
        <w:t xml:space="preserve"> </w:t>
      </w:r>
      <w:r w:rsidRPr="00D539D6">
        <w:rPr>
          <w:color w:val="000000" w:themeColor="text1"/>
        </w:rPr>
        <w:t xml:space="preserve">Of er in meer zaken sprake is geweest van benadeling van burgers zal moeten blijken uit de lopende analyse van de overige zaken waarin er aanwijzingen zijn dat er sprake was van een foutieve tenaamstelling in een vonnis. </w:t>
      </w:r>
    </w:p>
    <w:p w:rsidR="009B2A56" w:rsidP="009B2A56" w:rsidRDefault="009B2A56" w14:paraId="520B8FA9" w14:textId="77777777">
      <w:pPr>
        <w:rPr>
          <w:color w:val="000000" w:themeColor="text1"/>
        </w:rPr>
      </w:pPr>
      <w:r w:rsidRPr="006B5BCC">
        <w:rPr>
          <w:color w:val="000000" w:themeColor="text1"/>
        </w:rPr>
        <w:t>Ook is aangegeven dat in 8 gevallen waarin binnen de onderzochte groep een VOG-aanvraag aan de orde was, de nieuwe informatie niet tot een ander oordeel zou hebben geleid</w:t>
      </w:r>
      <w:r w:rsidRPr="00D539D6">
        <w:rPr>
          <w:color w:val="000000" w:themeColor="text1"/>
        </w:rPr>
        <w:t>.</w:t>
      </w:r>
      <w:r>
        <w:rPr>
          <w:color w:val="000000" w:themeColor="text1"/>
        </w:rPr>
        <w:br/>
        <w:t xml:space="preserve"> </w:t>
      </w:r>
    </w:p>
    <w:p w:rsidR="009B2A56" w:rsidP="009B2A56" w:rsidRDefault="009B2A56" w14:paraId="20931C0A" w14:textId="77777777">
      <w:bookmarkStart w:name="_Hlk226977475" w:id="1"/>
      <w:r>
        <w:t>Zoals ik u in de Kamerbrief van 10 november 2025 heb laten weten bleek uit de op dit moment nog lopende toetsing en afhandeling van de geregistreerde zaken op basis van het toetsings- en handelingskader, dat er sprake is van in elk geval één situatie waarin een straf niet ten uitvoer is gelegd als gevolg van een foutief te naam gesteld vonnis.</w:t>
      </w:r>
      <w:r>
        <w:rPr>
          <w:rStyle w:val="Voetnootmarkering"/>
        </w:rPr>
        <w:footnoteReference w:id="3"/>
      </w:r>
      <w:r>
        <w:t xml:space="preserve"> In deze zaak kon het vonnis niet worden betekend als gevolg van onvindbaarheid en staat de veroordeelde om die reden gesignaleerd.</w:t>
      </w:r>
      <w:r>
        <w:br/>
        <w:t xml:space="preserve"> </w:t>
      </w:r>
    </w:p>
    <w:p w:rsidR="009B2A56" w:rsidP="009B2A56" w:rsidRDefault="009B2A56" w14:paraId="46A776B6" w14:textId="77777777">
      <w:r>
        <w:t xml:space="preserve">In z’n algemeenheid geldt dat zodra er concrete aanwijzingen zijn dat een foutieve tenaamstelling leidt tot het risico dat een straf niet ten uitvoer is gelegd, dat signaal met ketenpartners – zoals het openbaar ministerie - wordt opgepakt. Mocht blijken </w:t>
      </w:r>
      <w:r>
        <w:lastRenderedPageBreak/>
        <w:t xml:space="preserve">van niet ten uitvoer gebrachte straffen, dan bezien de betrokken organisaties of alsnog tot tenuitvoerlegging kan worden overgegaan. </w:t>
      </w:r>
    </w:p>
    <w:bookmarkEnd w:id="1"/>
    <w:p w:rsidRPr="008548D5" w:rsidR="009B2A56" w:rsidP="009B2A56" w:rsidRDefault="009B2A56" w14:paraId="2181FE1C" w14:textId="77777777">
      <w:pPr>
        <w:rPr>
          <w:b/>
          <w:bCs/>
        </w:rPr>
      </w:pPr>
      <w:r>
        <w:br/>
      </w:r>
    </w:p>
    <w:p w:rsidR="009B2A56" w:rsidP="009B2A56" w:rsidRDefault="009B2A56" w14:paraId="12FE316C" w14:textId="77777777">
      <w:pPr>
        <w:rPr>
          <w:b/>
          <w:bCs/>
        </w:rPr>
      </w:pPr>
      <w:r>
        <w:rPr>
          <w:b/>
          <w:bCs/>
        </w:rPr>
        <w:t>Vraag 9</w:t>
      </w:r>
    </w:p>
    <w:p w:rsidRPr="008548D5" w:rsidR="009B2A56" w:rsidP="009B2A56" w:rsidRDefault="009B2A56" w14:paraId="3CBAA705" w14:textId="77777777">
      <w:pPr>
        <w:rPr>
          <w:b/>
          <w:bCs/>
        </w:rPr>
      </w:pPr>
      <w:r w:rsidRPr="008548D5">
        <w:rPr>
          <w:b/>
          <w:bCs/>
        </w:rPr>
        <w:t>Hoeveel verzoeken tot correctie van onjuist verwerkte persoonsgegevens zijn sinds 2010 ingediend, hoeveel daarvan zijn toegewezen en hoeveel afgewezen, en op welke gronden zijn deze verzoeken afgewezen?</w:t>
      </w:r>
    </w:p>
    <w:p w:rsidR="009B2A56" w:rsidP="009B2A56" w:rsidRDefault="009B2A56" w14:paraId="5FA639CA" w14:textId="77777777">
      <w:pPr>
        <w:rPr>
          <w:b/>
          <w:bCs/>
        </w:rPr>
      </w:pPr>
    </w:p>
    <w:p w:rsidR="009B2A56" w:rsidP="009B2A56" w:rsidRDefault="009B2A56" w14:paraId="0703E576" w14:textId="77777777">
      <w:pPr>
        <w:rPr>
          <w:b/>
          <w:bCs/>
        </w:rPr>
      </w:pPr>
      <w:r>
        <w:rPr>
          <w:b/>
          <w:bCs/>
        </w:rPr>
        <w:t>Antwoord op vraag 9</w:t>
      </w:r>
    </w:p>
    <w:p w:rsidRPr="00D539D6" w:rsidR="009B2A56" w:rsidP="009B2A56" w:rsidRDefault="009B2A56" w14:paraId="3B8682A2" w14:textId="77777777">
      <w:pPr>
        <w:rPr>
          <w:i/>
          <w:iCs/>
          <w:color w:val="000000" w:themeColor="text1"/>
        </w:rPr>
      </w:pPr>
      <w:r w:rsidRPr="00D539D6">
        <w:rPr>
          <w:color w:val="000000" w:themeColor="text1"/>
        </w:rPr>
        <w:t xml:space="preserve">Op de door u gestelde vraag kan geen antwoord worden gegeven, omdat cijfermateriaal vanaf </w:t>
      </w:r>
      <w:r>
        <w:rPr>
          <w:color w:val="000000" w:themeColor="text1"/>
        </w:rPr>
        <w:t xml:space="preserve">2010 </w:t>
      </w:r>
      <w:r w:rsidRPr="00D539D6">
        <w:rPr>
          <w:color w:val="000000" w:themeColor="text1"/>
        </w:rPr>
        <w:t>niet beschikbaar is. Het gevraagde, namelijk onjuist verwerkte persoonsgegevens, is daarbij een ander begrip en veel breder dan een ‘</w:t>
      </w:r>
      <w:r>
        <w:rPr>
          <w:color w:val="000000" w:themeColor="text1"/>
        </w:rPr>
        <w:t>onjuiste</w:t>
      </w:r>
      <w:r w:rsidRPr="00D539D6">
        <w:rPr>
          <w:color w:val="000000" w:themeColor="text1"/>
        </w:rPr>
        <w:t xml:space="preserve"> tenaamstelling’. Daarnaast kan een verzoek tot correctie betrekking hebben op verschillende onderdelen van de registratie van (persoons-)gegevens in de SKDB en niet uitsluitend op de correctie van de personalia van een betrokkene.</w:t>
      </w:r>
      <w:r>
        <w:rPr>
          <w:color w:val="000000" w:themeColor="text1"/>
        </w:rPr>
        <w:t xml:space="preserve"> </w:t>
      </w:r>
      <w:r w:rsidRPr="00240E5E">
        <w:rPr>
          <w:color w:val="000000" w:themeColor="text1"/>
        </w:rPr>
        <w:t xml:space="preserve">Dat neemt niet weg dat </w:t>
      </w:r>
      <w:r>
        <w:rPr>
          <w:color w:val="000000" w:themeColor="text1"/>
        </w:rPr>
        <w:t xml:space="preserve">ik zal </w:t>
      </w:r>
      <w:r w:rsidRPr="00240E5E">
        <w:rPr>
          <w:color w:val="000000" w:themeColor="text1"/>
        </w:rPr>
        <w:t>bezien hoe de registratie van dergelijke signalen, verzoeken en afdoeningen vanaf nu eenduidiger kan plaatsvinden, zodat hierover in de toekomst beter kan worden gerapporteerd.</w:t>
      </w:r>
      <w:r>
        <w:rPr>
          <w:color w:val="000000" w:themeColor="text1"/>
        </w:rPr>
        <w:t xml:space="preserve"> </w:t>
      </w:r>
    </w:p>
    <w:p w:rsidRPr="008548D5" w:rsidR="009B2A56" w:rsidP="009B2A56" w:rsidRDefault="009B2A56" w14:paraId="324E657B" w14:textId="77777777">
      <w:pPr>
        <w:rPr>
          <w:b/>
          <w:bCs/>
        </w:rPr>
      </w:pPr>
    </w:p>
    <w:p w:rsidR="009B2A56" w:rsidP="009B2A56" w:rsidRDefault="009B2A56" w14:paraId="24CDA9A5" w14:textId="77777777">
      <w:pPr>
        <w:rPr>
          <w:b/>
          <w:bCs/>
        </w:rPr>
      </w:pPr>
      <w:r>
        <w:rPr>
          <w:b/>
          <w:bCs/>
        </w:rPr>
        <w:t>Vraag 10</w:t>
      </w:r>
      <w:r w:rsidRPr="008548D5">
        <w:rPr>
          <w:b/>
          <w:bCs/>
        </w:rPr>
        <w:tab/>
      </w:r>
    </w:p>
    <w:p w:rsidRPr="008548D5" w:rsidR="009B2A56" w:rsidP="009B2A56" w:rsidRDefault="009B2A56" w14:paraId="00F1EBBF" w14:textId="77777777">
      <w:pPr>
        <w:rPr>
          <w:b/>
          <w:bCs/>
        </w:rPr>
      </w:pPr>
      <w:r w:rsidRPr="008548D5">
        <w:rPr>
          <w:b/>
          <w:bCs/>
        </w:rPr>
        <w:t>Erkent u dat het ten onrechte registreren van burgers als crimineel een ernstige aantasting kan vormen van hun rechtspositie, reputatie en grondrechten? Zo ja, welke concrete maatregelen gaat u nemen om alle foutieve registraties actief op te sporen, gedupeerde burgers te informeren en hen adequaat te compenseren?</w:t>
      </w:r>
    </w:p>
    <w:p w:rsidR="009B2A56" w:rsidP="009B2A56" w:rsidRDefault="009B2A56" w14:paraId="5BEDB8D4" w14:textId="77777777"/>
    <w:p w:rsidRPr="00F605DE" w:rsidR="009B2A56" w:rsidP="009B2A56" w:rsidRDefault="009B2A56" w14:paraId="49D890EE" w14:textId="77777777">
      <w:pPr>
        <w:rPr>
          <w:b/>
          <w:bCs/>
        </w:rPr>
      </w:pPr>
      <w:r w:rsidRPr="00F605DE">
        <w:rPr>
          <w:b/>
          <w:bCs/>
        </w:rPr>
        <w:t>Antwoord op vraag 10</w:t>
      </w:r>
    </w:p>
    <w:p w:rsidRPr="00D539D6" w:rsidR="009B2A56" w:rsidP="009B2A56" w:rsidRDefault="009B2A56" w14:paraId="143CDFB1" w14:textId="77777777">
      <w:pPr>
        <w:pStyle w:val="Geenafstand"/>
        <w:spacing w:line="240" w:lineRule="atLeast"/>
        <w:rPr>
          <w:rFonts w:ascii="Verdana" w:hAnsi="Verdana"/>
          <w:color w:val="000000" w:themeColor="text1"/>
          <w:sz w:val="18"/>
          <w:szCs w:val="18"/>
        </w:rPr>
      </w:pPr>
      <w:r w:rsidRPr="00D539D6">
        <w:rPr>
          <w:rFonts w:ascii="Verdana" w:hAnsi="Verdana"/>
          <w:color w:val="000000" w:themeColor="text1"/>
          <w:sz w:val="18"/>
          <w:szCs w:val="18"/>
        </w:rPr>
        <w:t>Het is van groot maatschappelijk belang dat de identiteit van verdachten in het strafproces juist wordt vastgesteld, om te voorkomen dat onschuldigen nadeel ondervinden of dat daders hun straf ontlopen. Uit de rapportage van de Algemene Rekenkamer (ARK) in mei 2025 en de daarop volgende brieven aan uw Kamer</w:t>
      </w:r>
      <w:r w:rsidRPr="00D539D6">
        <w:rPr>
          <w:rStyle w:val="Voetnootmarkering"/>
          <w:rFonts w:ascii="Verdana" w:hAnsi="Verdana"/>
          <w:color w:val="000000" w:themeColor="text1"/>
          <w:sz w:val="18"/>
          <w:szCs w:val="18"/>
        </w:rPr>
        <w:footnoteReference w:id="4"/>
      </w:r>
      <w:r w:rsidRPr="00D539D6">
        <w:rPr>
          <w:rFonts w:ascii="Verdana" w:hAnsi="Verdana"/>
          <w:color w:val="000000" w:themeColor="text1"/>
          <w:sz w:val="18"/>
          <w:szCs w:val="18"/>
        </w:rPr>
        <w:t xml:space="preserve"> blijkt dat het in het verleden niet altijd goed is gegaan </w:t>
      </w:r>
    </w:p>
    <w:p w:rsidRPr="00D539D6" w:rsidR="009B2A56" w:rsidP="009B2A56" w:rsidRDefault="009B2A56" w14:paraId="7E5E4BFC" w14:textId="77777777">
      <w:pPr>
        <w:ind w:left="709" w:hanging="283"/>
        <w:rPr>
          <w:color w:val="000000" w:themeColor="text1"/>
        </w:rPr>
      </w:pPr>
    </w:p>
    <w:p w:rsidRPr="00D539D6" w:rsidR="009B2A56" w:rsidP="009B2A56" w:rsidRDefault="009B2A56" w14:paraId="0295F5B7" w14:textId="77777777">
      <w:pPr>
        <w:rPr>
          <w:color w:val="000000" w:themeColor="text1"/>
        </w:rPr>
      </w:pPr>
      <w:r w:rsidRPr="00D539D6">
        <w:rPr>
          <w:color w:val="000000" w:themeColor="text1"/>
        </w:rPr>
        <w:lastRenderedPageBreak/>
        <w:t>Om deze problematiek structureel en rechtstatelijk op te lossen, wordt momenteel een plan van aanpak uitgevoerd waarvan de hoofdlijnen eerder met uw Kamer zijn gedeeld. Kort samengevat bestaat dat uit:</w:t>
      </w:r>
    </w:p>
    <w:p w:rsidRPr="00D539D6" w:rsidR="009B2A56" w:rsidP="009B2A56" w:rsidRDefault="009B2A56" w14:paraId="4E002800" w14:textId="77777777">
      <w:pPr>
        <w:ind w:left="284" w:hanging="284"/>
        <w:rPr>
          <w:color w:val="000000" w:themeColor="text1"/>
        </w:rPr>
      </w:pPr>
      <w:r w:rsidRPr="00D539D6">
        <w:rPr>
          <w:color w:val="000000" w:themeColor="text1"/>
        </w:rPr>
        <w:t>a.</w:t>
      </w:r>
      <w:r w:rsidRPr="00D539D6">
        <w:rPr>
          <w:color w:val="000000" w:themeColor="text1"/>
        </w:rPr>
        <w:tab/>
        <w:t>Het ontwikkelen van een duidelijk en toepasbaar toetsings- en handelingskader voor de MA aan de hand waarvan de medewerkers van Justid concrete handvatten hebben om voorkomende gevallen af te handelen.</w:t>
      </w:r>
    </w:p>
    <w:p w:rsidRPr="00D539D6" w:rsidR="009B2A56" w:rsidP="009B2A56" w:rsidRDefault="009B2A56" w14:paraId="770B5C85" w14:textId="77777777">
      <w:pPr>
        <w:ind w:left="284" w:hanging="284"/>
        <w:rPr>
          <w:color w:val="000000" w:themeColor="text1"/>
        </w:rPr>
      </w:pPr>
      <w:r w:rsidRPr="00D539D6">
        <w:rPr>
          <w:color w:val="000000" w:themeColor="text1"/>
        </w:rPr>
        <w:t>b.</w:t>
      </w:r>
      <w:r w:rsidRPr="00D539D6">
        <w:rPr>
          <w:color w:val="000000" w:themeColor="text1"/>
        </w:rPr>
        <w:tab/>
        <w:t>Het toetsen en afhandelen door de M</w:t>
      </w:r>
      <w:r>
        <w:rPr>
          <w:color w:val="000000" w:themeColor="text1"/>
        </w:rPr>
        <w:t xml:space="preserve">atching </w:t>
      </w:r>
      <w:r w:rsidRPr="00D539D6">
        <w:rPr>
          <w:color w:val="000000" w:themeColor="text1"/>
        </w:rPr>
        <w:t>A</w:t>
      </w:r>
      <w:r>
        <w:rPr>
          <w:color w:val="000000" w:themeColor="text1"/>
        </w:rPr>
        <w:t>utoriteit</w:t>
      </w:r>
      <w:r w:rsidRPr="00D539D6">
        <w:rPr>
          <w:color w:val="000000" w:themeColor="text1"/>
        </w:rPr>
        <w:t xml:space="preserve"> van de bijgehouden zaken en eventuele nieuwe zaken op basis van het toetsings- en handelingskader.</w:t>
      </w:r>
    </w:p>
    <w:p w:rsidRPr="00D539D6" w:rsidR="009B2A56" w:rsidP="009B2A56" w:rsidRDefault="009B2A56" w14:paraId="09E946F7" w14:textId="77777777">
      <w:pPr>
        <w:ind w:left="284" w:hanging="284"/>
        <w:rPr>
          <w:color w:val="000000" w:themeColor="text1"/>
        </w:rPr>
      </w:pPr>
      <w:r w:rsidRPr="00D539D6">
        <w:rPr>
          <w:color w:val="000000" w:themeColor="text1"/>
        </w:rPr>
        <w:t>c.</w:t>
      </w:r>
      <w:r w:rsidRPr="00D539D6">
        <w:rPr>
          <w:color w:val="000000" w:themeColor="text1"/>
        </w:rPr>
        <w:tab/>
        <w:t xml:space="preserve">Het zoveel mogelijk voorkomen van fouten bij de identiteitsvaststelling in de strafrechtketen, </w:t>
      </w:r>
      <w:bookmarkStart w:name="_Hlk222848826" w:id="4"/>
      <w:r w:rsidRPr="00D539D6">
        <w:rPr>
          <w:color w:val="000000" w:themeColor="text1"/>
        </w:rPr>
        <w:t>waarbij met de strafrechtketenpartners in kaart wordt gebracht waar nog verbeteringen in de processen mogelijk zijn om het aantal nieuwe zaken waarbij het vonnis op de verkeerde naam terecht komt, zo klein mogelijk te maken.</w:t>
      </w:r>
    </w:p>
    <w:bookmarkEnd w:id="4"/>
    <w:p w:rsidRPr="00D539D6" w:rsidR="009B2A56" w:rsidP="009B2A56" w:rsidRDefault="009B2A56" w14:paraId="555433E4" w14:textId="77777777">
      <w:pPr>
        <w:ind w:left="284" w:hanging="284"/>
        <w:rPr>
          <w:color w:val="000000" w:themeColor="text1"/>
        </w:rPr>
      </w:pPr>
      <w:r w:rsidRPr="00D539D6">
        <w:rPr>
          <w:color w:val="000000" w:themeColor="text1"/>
        </w:rPr>
        <w:t>d.</w:t>
      </w:r>
      <w:r w:rsidRPr="00D539D6">
        <w:rPr>
          <w:color w:val="000000" w:themeColor="text1"/>
        </w:rPr>
        <w:tab/>
        <w:t>Het bezien of er via wetswijziging aanvullende herzieningsprocedures al dan niet bij de rechter kunnen worden gecreëerd die minder capaciteit– en tijdrovend zijn. Ook worden zo mogelijk rechtsingangen gecreëerd voor burgers die nadelige gevolgen ondervinden van een onjuiste tenaamstelling.</w:t>
      </w:r>
    </w:p>
    <w:p w:rsidRPr="00D539D6" w:rsidR="009B2A56" w:rsidP="009B2A56" w:rsidRDefault="009B2A56" w14:paraId="1A579A95" w14:textId="77777777">
      <w:pPr>
        <w:ind w:left="426"/>
        <w:rPr>
          <w:color w:val="000000" w:themeColor="text1"/>
        </w:rPr>
      </w:pPr>
    </w:p>
    <w:p w:rsidR="009B2A56" w:rsidP="009B2A56" w:rsidRDefault="009B2A56" w14:paraId="2DD1F70F" w14:textId="77777777">
      <w:r w:rsidRPr="00240E5E">
        <w:t>Daarbij wordt niet alleen ingezet op het voorkomen van nieuwe gevallen en het beoordelen van bekende zaken, maar ook op het zo veel mogelijk in beeld brengen van gevallen waarin burgers concreet nadeel hebben ondervonden. Waar daar aanleiding toe bestaat, wordt bezien of en hoe betrokkenen actief kunnen worden benaderd en welke passende herstel- of schadetrajecten openstaan.</w:t>
      </w:r>
      <w:r>
        <w:t xml:space="preserve"> </w:t>
      </w:r>
      <w:r w:rsidRPr="00240E5E">
        <w:t xml:space="preserve">Daarnaast kunnen burgers die menen nadeel te ondervinden van een onjuiste overheidsregistratie zich melden via </w:t>
      </w:r>
      <w:r>
        <w:t xml:space="preserve">onder andere het </w:t>
      </w:r>
      <w:r w:rsidRPr="003204B5">
        <w:rPr>
          <w:i/>
          <w:iCs/>
        </w:rPr>
        <w:t>Meldpunt Fouten in Overheidsregistraties</w:t>
      </w:r>
      <w:r w:rsidRPr="00240E5E">
        <w:t>; bezien wordt hoe deze route in dit dossier zo toegankelijk mogelijk kan worden gemaakt.</w:t>
      </w:r>
      <w:r w:rsidRPr="00FA1AC9">
        <w:br/>
      </w:r>
    </w:p>
    <w:p w:rsidR="009B2A56" w:rsidP="009B2A56" w:rsidRDefault="009B2A56" w14:paraId="6AFFC560" w14:textId="77777777"/>
    <w:p w:rsidRPr="00FA1AC9" w:rsidR="009B2A56" w:rsidP="009B2A56" w:rsidRDefault="009B2A56" w14:paraId="7143E64A" w14:textId="77777777"/>
    <w:p w:rsidR="009B2A56" w:rsidP="009B2A56" w:rsidRDefault="009B2A56" w14:paraId="54E68CCF" w14:textId="1418D02B">
      <w:pPr>
        <w:spacing w:line="240" w:lineRule="auto"/>
      </w:pPr>
      <w:r>
        <w:t>1)</w:t>
      </w:r>
      <w:r w:rsidRPr="00FA1AC9">
        <w:t> Telegraaf, Verbijsterde Kamer eist duidelijkheid over massale naamfouten bij justitie (https://www.telegraaf.nl/politiek/verbijsterde-kamer-eist-duidelijkheid-over-massale-naamfouten-bij-justitie/136345122.html)</w:t>
      </w:r>
    </w:p>
    <w:p w:rsidR="00F3345D" w:rsidRDefault="00F3345D" w14:paraId="2BB4B8A4" w14:textId="77777777"/>
    <w:sectPr w:rsidR="00F3345D" w:rsidSect="009B2A5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0464" w14:textId="77777777" w:rsidR="009B2A56" w:rsidRDefault="009B2A56" w:rsidP="009B2A56">
      <w:pPr>
        <w:spacing w:after="0" w:line="240" w:lineRule="auto"/>
      </w:pPr>
      <w:r>
        <w:separator/>
      </w:r>
    </w:p>
  </w:endnote>
  <w:endnote w:type="continuationSeparator" w:id="0">
    <w:p w14:paraId="762771E8" w14:textId="77777777" w:rsidR="009B2A56" w:rsidRDefault="009B2A56" w:rsidP="009B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046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5D56" w14:textId="77777777" w:rsidR="009B2A56" w:rsidRPr="009B2A56" w:rsidRDefault="009B2A56" w:rsidP="009B2A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D3DD" w14:textId="77777777" w:rsidR="009B2A56" w:rsidRPr="009B2A56" w:rsidRDefault="009B2A56" w:rsidP="009B2A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9A60" w14:textId="77777777" w:rsidR="009B2A56" w:rsidRPr="009B2A56" w:rsidRDefault="009B2A56" w:rsidP="009B2A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BE82" w14:textId="77777777" w:rsidR="009B2A56" w:rsidRDefault="009B2A56" w:rsidP="009B2A56">
      <w:pPr>
        <w:spacing w:after="0" w:line="240" w:lineRule="auto"/>
      </w:pPr>
      <w:r>
        <w:separator/>
      </w:r>
    </w:p>
  </w:footnote>
  <w:footnote w:type="continuationSeparator" w:id="0">
    <w:p w14:paraId="5C9A2FA3" w14:textId="77777777" w:rsidR="009B2A56" w:rsidRDefault="009B2A56" w:rsidP="009B2A56">
      <w:pPr>
        <w:spacing w:after="0" w:line="240" w:lineRule="auto"/>
      </w:pPr>
      <w:r>
        <w:continuationSeparator/>
      </w:r>
    </w:p>
  </w:footnote>
  <w:footnote w:id="1">
    <w:p w14:paraId="40C317D5" w14:textId="77777777" w:rsidR="009B2A56" w:rsidRPr="007A689E" w:rsidRDefault="009B2A56" w:rsidP="009B2A56">
      <w:pPr>
        <w:pStyle w:val="Voetnoottekst"/>
        <w:rPr>
          <w:rFonts w:ascii="Verdana" w:hAnsi="Verdana"/>
          <w:sz w:val="16"/>
          <w:szCs w:val="16"/>
        </w:rPr>
      </w:pPr>
      <w:r w:rsidRPr="007A689E">
        <w:rPr>
          <w:rStyle w:val="Voetnootmarkering"/>
          <w:rFonts w:ascii="Verdana" w:hAnsi="Verdana"/>
          <w:sz w:val="16"/>
          <w:szCs w:val="16"/>
        </w:rPr>
        <w:footnoteRef/>
      </w:r>
      <w:r w:rsidRPr="007A689E">
        <w:rPr>
          <w:rFonts w:ascii="Verdana" w:hAnsi="Verdana"/>
          <w:sz w:val="16"/>
          <w:szCs w:val="16"/>
        </w:rPr>
        <w:t xml:space="preserve"> Brief van 28 mei 2025, Kamerstukken II, 29279, nr 972; Brief van 10 november 2025, Kamerstukken II, 29279, nr 1001, Brief van 19 december 2025, Kamerstukken II, 29279, nr 1007.</w:t>
      </w:r>
    </w:p>
  </w:footnote>
  <w:footnote w:id="2">
    <w:p w14:paraId="1776192D" w14:textId="77777777" w:rsidR="009B2A56" w:rsidRDefault="009B2A56" w:rsidP="009B2A56">
      <w:pPr>
        <w:pStyle w:val="Voetnoottekst"/>
      </w:pPr>
      <w:r>
        <w:rPr>
          <w:rStyle w:val="Voetnootmarkering"/>
        </w:rPr>
        <w:footnoteRef/>
      </w:r>
      <w:r>
        <w:t xml:space="preserve"> </w:t>
      </w:r>
      <w:r w:rsidRPr="00FD345F">
        <w:t>Kamerstukken II, 29279, nr 1001.</w:t>
      </w:r>
    </w:p>
  </w:footnote>
  <w:footnote w:id="3">
    <w:p w14:paraId="28B0A22D" w14:textId="77777777" w:rsidR="009B2A56" w:rsidRPr="00132FC2" w:rsidRDefault="009B2A56" w:rsidP="009B2A56">
      <w:pPr>
        <w:pStyle w:val="Voetnoottekst"/>
        <w:rPr>
          <w:rFonts w:ascii="Verdana" w:hAnsi="Verdana"/>
          <w:sz w:val="16"/>
          <w:szCs w:val="16"/>
        </w:rPr>
      </w:pPr>
      <w:r w:rsidRPr="00132FC2">
        <w:rPr>
          <w:rStyle w:val="Voetnootmarkering"/>
          <w:rFonts w:ascii="Verdana" w:hAnsi="Verdana"/>
          <w:sz w:val="16"/>
          <w:szCs w:val="16"/>
        </w:rPr>
        <w:footnoteRef/>
      </w:r>
      <w:r w:rsidRPr="00132FC2">
        <w:rPr>
          <w:rFonts w:ascii="Verdana" w:hAnsi="Verdana"/>
          <w:sz w:val="16"/>
          <w:szCs w:val="16"/>
        </w:rPr>
        <w:t xml:space="preserve"> Kamerstukken II, 29279, nr 1001, pagina 2.</w:t>
      </w:r>
    </w:p>
  </w:footnote>
  <w:footnote w:id="4">
    <w:p w14:paraId="1B4A4F1F" w14:textId="77777777" w:rsidR="009B2A56" w:rsidRPr="00025FE3" w:rsidRDefault="009B2A56" w:rsidP="009B2A56">
      <w:pPr>
        <w:pStyle w:val="Voetnoottekst"/>
        <w:rPr>
          <w:rFonts w:ascii="Verdana" w:hAnsi="Verdana"/>
          <w:sz w:val="16"/>
          <w:szCs w:val="16"/>
        </w:rPr>
      </w:pPr>
      <w:r w:rsidRPr="00025FE3">
        <w:rPr>
          <w:rStyle w:val="Voetnootmarkering"/>
          <w:rFonts w:ascii="Verdana" w:hAnsi="Verdana"/>
          <w:sz w:val="16"/>
          <w:szCs w:val="16"/>
        </w:rPr>
        <w:footnoteRef/>
      </w:r>
      <w:r w:rsidRPr="00025FE3">
        <w:rPr>
          <w:rFonts w:ascii="Verdana" w:hAnsi="Verdana"/>
          <w:sz w:val="16"/>
          <w:szCs w:val="16"/>
        </w:rPr>
        <w:t xml:space="preserve"> </w:t>
      </w:r>
      <w:bookmarkStart w:id="2" w:name="_Hlk223341695"/>
      <w:bookmarkStart w:id="3" w:name="_Hlk223342746"/>
      <w:r w:rsidRPr="00025FE3">
        <w:rPr>
          <w:rFonts w:ascii="Verdana" w:hAnsi="Verdana"/>
          <w:sz w:val="16"/>
          <w:szCs w:val="16"/>
        </w:rPr>
        <w:t xml:space="preserve">Kamerstukken II, 29279, nrs 972, 1001, </w:t>
      </w:r>
      <w:bookmarkEnd w:id="2"/>
      <w:r w:rsidRPr="00025FE3">
        <w:rPr>
          <w:rFonts w:ascii="Verdana" w:hAnsi="Verdana"/>
          <w:sz w:val="16"/>
          <w:szCs w:val="16"/>
        </w:rPr>
        <w:t>1007</w:t>
      </w:r>
      <w:bookmarkEnd w:id="3"/>
      <w:r w:rsidRPr="00025FE3">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307C" w14:textId="77777777" w:rsidR="009B2A56" w:rsidRPr="009B2A56" w:rsidRDefault="009B2A56" w:rsidP="009B2A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0818" w14:textId="77777777" w:rsidR="009B2A56" w:rsidRPr="009B2A56" w:rsidRDefault="009B2A56" w:rsidP="009B2A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F151" w14:textId="77777777" w:rsidR="009B2A56" w:rsidRPr="009B2A56" w:rsidRDefault="009B2A56" w:rsidP="009B2A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56"/>
    <w:rsid w:val="009B2A56"/>
    <w:rsid w:val="00C70A1E"/>
    <w:rsid w:val="00F33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9F16"/>
  <w15:chartTrackingRefBased/>
  <w15:docId w15:val="{2FD07DC1-B85A-4638-98D3-08971165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2A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B2A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B2A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B2A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B2A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B2A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2A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2A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2A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2A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B2A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B2A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B2A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B2A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B2A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2A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2A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2A56"/>
    <w:rPr>
      <w:rFonts w:eastAsiaTheme="majorEastAsia" w:cstheme="majorBidi"/>
      <w:color w:val="272727" w:themeColor="text1" w:themeTint="D8"/>
    </w:rPr>
  </w:style>
  <w:style w:type="paragraph" w:styleId="Titel">
    <w:name w:val="Title"/>
    <w:basedOn w:val="Standaard"/>
    <w:next w:val="Standaard"/>
    <w:link w:val="TitelChar"/>
    <w:uiPriority w:val="10"/>
    <w:qFormat/>
    <w:rsid w:val="009B2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2A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2A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2A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2A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2A56"/>
    <w:rPr>
      <w:i/>
      <w:iCs/>
      <w:color w:val="404040" w:themeColor="text1" w:themeTint="BF"/>
    </w:rPr>
  </w:style>
  <w:style w:type="paragraph" w:styleId="Lijstalinea">
    <w:name w:val="List Paragraph"/>
    <w:basedOn w:val="Standaard"/>
    <w:uiPriority w:val="34"/>
    <w:qFormat/>
    <w:rsid w:val="009B2A56"/>
    <w:pPr>
      <w:ind w:left="720"/>
      <w:contextualSpacing/>
    </w:pPr>
  </w:style>
  <w:style w:type="character" w:styleId="Intensievebenadrukking">
    <w:name w:val="Intense Emphasis"/>
    <w:basedOn w:val="Standaardalinea-lettertype"/>
    <w:uiPriority w:val="21"/>
    <w:qFormat/>
    <w:rsid w:val="009B2A56"/>
    <w:rPr>
      <w:i/>
      <w:iCs/>
      <w:color w:val="2F5496" w:themeColor="accent1" w:themeShade="BF"/>
    </w:rPr>
  </w:style>
  <w:style w:type="paragraph" w:styleId="Duidelijkcitaat">
    <w:name w:val="Intense Quote"/>
    <w:basedOn w:val="Standaard"/>
    <w:next w:val="Standaard"/>
    <w:link w:val="DuidelijkcitaatChar"/>
    <w:uiPriority w:val="30"/>
    <w:qFormat/>
    <w:rsid w:val="009B2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B2A56"/>
    <w:rPr>
      <w:i/>
      <w:iCs/>
      <w:color w:val="2F5496" w:themeColor="accent1" w:themeShade="BF"/>
    </w:rPr>
  </w:style>
  <w:style w:type="character" w:styleId="Intensieveverwijzing">
    <w:name w:val="Intense Reference"/>
    <w:basedOn w:val="Standaardalinea-lettertype"/>
    <w:uiPriority w:val="32"/>
    <w:qFormat/>
    <w:rsid w:val="009B2A56"/>
    <w:rPr>
      <w:b/>
      <w:bCs/>
      <w:smallCaps/>
      <w:color w:val="2F5496" w:themeColor="accent1" w:themeShade="BF"/>
      <w:spacing w:val="5"/>
    </w:rPr>
  </w:style>
  <w:style w:type="paragraph" w:customStyle="1" w:styleId="Referentiegegevens">
    <w:name w:val="Referentiegegevens"/>
    <w:basedOn w:val="Standaard"/>
    <w:next w:val="Standaard"/>
    <w:rsid w:val="009B2A5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B2A5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9B2A56"/>
    <w:pPr>
      <w:spacing w:line="140" w:lineRule="exact"/>
    </w:pPr>
  </w:style>
  <w:style w:type="character" w:customStyle="1" w:styleId="VoettekstChar">
    <w:name w:val="Voettekst Char"/>
    <w:basedOn w:val="Standaardalinea-lettertype"/>
    <w:link w:val="Voettekst"/>
    <w:rsid w:val="009B2A5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B2A5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B2A5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B2A5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B2A5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B2A56"/>
    <w:pPr>
      <w:spacing w:after="0" w:line="240" w:lineRule="auto"/>
    </w:pPr>
  </w:style>
  <w:style w:type="paragraph" w:styleId="Voetnoottekst">
    <w:name w:val="footnote text"/>
    <w:basedOn w:val="Standaard"/>
    <w:link w:val="VoetnoottekstChar"/>
    <w:uiPriority w:val="99"/>
    <w:semiHidden/>
    <w:unhideWhenUsed/>
    <w:rsid w:val="009B2A5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B2A56"/>
    <w:rPr>
      <w:kern w:val="0"/>
      <w:sz w:val="20"/>
      <w:szCs w:val="20"/>
      <w14:ligatures w14:val="none"/>
    </w:rPr>
  </w:style>
  <w:style w:type="character" w:styleId="Voetnootmarkering">
    <w:name w:val="footnote reference"/>
    <w:basedOn w:val="Standaardalinea-lettertype"/>
    <w:uiPriority w:val="99"/>
    <w:semiHidden/>
    <w:unhideWhenUsed/>
    <w:rsid w:val="009B2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2456</ap:Words>
  <ap:Characters>13510</ap:Characters>
  <ap:DocSecurity>0</ap:DocSecurity>
  <ap:Lines>112</ap:Lines>
  <ap:Paragraphs>31</ap:Paragraphs>
  <ap:ScaleCrop>false</ap:ScaleCrop>
  <ap:LinksUpToDate>false</ap:LinksUpToDate>
  <ap:CharactersWithSpaces>15935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2026-04-16T10:50:00.0000000Z</dcterms:created>
  <dcterms:modified xsi:type="dcterms:W3CDTF">2026-04-16T10:51:00.0000000Z</dcterms:modified>
  <version/>
  <category/>
</coreProperties>
</file>