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C66" w:rsidP="007F5C66" w:rsidRDefault="007F5C66" w14:paraId="563ED52D" w14:textId="3DECE142">
      <w:pPr>
        <w:spacing w:line="276" w:lineRule="auto"/>
      </w:pPr>
      <w:r>
        <w:t>AH 1672</w:t>
      </w:r>
    </w:p>
    <w:p w:rsidR="007F5C66" w:rsidP="007F5C66" w:rsidRDefault="007F5C66" w14:paraId="2FAB1739" w14:textId="3C398712">
      <w:pPr>
        <w:spacing w:line="276" w:lineRule="auto"/>
      </w:pPr>
      <w:r>
        <w:t>2026Z06776</w:t>
      </w:r>
    </w:p>
    <w:p w:rsidR="007F5C66" w:rsidP="007F5C66" w:rsidRDefault="007F5C66" w14:paraId="3A424BB2" w14:textId="3395C521">
      <w:pPr>
        <w:rPr>
          <w:sz w:val="24"/>
          <w:szCs w:val="24"/>
        </w:rPr>
      </w:pPr>
      <w:r w:rsidRPr="00D25B3E">
        <w:rPr>
          <w:sz w:val="24"/>
          <w:szCs w:val="24"/>
        </w:rPr>
        <w:t>Antwoord van minister Berendsen (Buitenlandse Zaken) (ontvangen</w:t>
      </w:r>
      <w:r>
        <w:rPr>
          <w:sz w:val="24"/>
          <w:szCs w:val="24"/>
        </w:rPr>
        <w:t xml:space="preserve"> 20 april 2026)</w:t>
      </w:r>
    </w:p>
    <w:p w:rsidRPr="007F5C66" w:rsidR="007F5C66" w:rsidP="007F5C66" w:rsidRDefault="007F5C66" w14:paraId="22DF41EA" w14:textId="77777777">
      <w:pPr>
        <w:rPr>
          <w:sz w:val="24"/>
          <w:szCs w:val="24"/>
        </w:rPr>
      </w:pPr>
    </w:p>
    <w:p w:rsidR="007F5C66" w:rsidP="007F5C66" w:rsidRDefault="007F5C66" w14:paraId="4384F30B" w14:textId="77777777">
      <w:pPr>
        <w:spacing w:line="276" w:lineRule="auto"/>
      </w:pPr>
      <w:r w:rsidRPr="3F719366">
        <w:rPr>
          <w:b/>
          <w:bCs/>
        </w:rPr>
        <w:t>Vraag 1</w:t>
      </w:r>
    </w:p>
    <w:p w:rsidR="007F5C66" w:rsidP="007F5C66" w:rsidRDefault="007F5C66" w14:paraId="5E6CC2B6" w14:textId="77777777">
      <w:pPr>
        <w:spacing w:line="276" w:lineRule="auto"/>
      </w:pPr>
      <w:r w:rsidRPr="00201601">
        <w:t>Bent u bekend met het bericht “</w:t>
      </w:r>
      <w:proofErr w:type="spellStart"/>
      <w:r w:rsidRPr="00201601">
        <w:t>Knesset</w:t>
      </w:r>
      <w:proofErr w:type="spellEnd"/>
      <w:r w:rsidRPr="00201601">
        <w:t xml:space="preserve"> passes </w:t>
      </w:r>
      <w:proofErr w:type="spellStart"/>
      <w:r w:rsidRPr="00201601">
        <w:t>death</w:t>
      </w:r>
      <w:proofErr w:type="spellEnd"/>
      <w:r w:rsidRPr="00201601">
        <w:t xml:space="preserve"> penalty </w:t>
      </w:r>
      <w:proofErr w:type="spellStart"/>
      <w:r w:rsidRPr="00201601">
        <w:t>law</w:t>
      </w:r>
      <w:proofErr w:type="spellEnd"/>
      <w:r w:rsidRPr="00201601">
        <w:t xml:space="preserve"> </w:t>
      </w:r>
      <w:proofErr w:type="spellStart"/>
      <w:r w:rsidRPr="00201601">
        <w:t>for</w:t>
      </w:r>
      <w:proofErr w:type="spellEnd"/>
      <w:r w:rsidRPr="00201601">
        <w:t xml:space="preserve"> </w:t>
      </w:r>
      <w:proofErr w:type="spellStart"/>
      <w:r w:rsidRPr="00201601">
        <w:t>Palestinians</w:t>
      </w:r>
      <w:proofErr w:type="spellEnd"/>
      <w:r w:rsidRPr="00201601">
        <w:t xml:space="preserve"> </w:t>
      </w:r>
      <w:proofErr w:type="spellStart"/>
      <w:r w:rsidRPr="00201601">
        <w:t>convicted</w:t>
      </w:r>
      <w:proofErr w:type="spellEnd"/>
      <w:r w:rsidRPr="00201601">
        <w:t xml:space="preserve"> of </w:t>
      </w:r>
      <w:proofErr w:type="spellStart"/>
      <w:r w:rsidRPr="00201601">
        <w:t>deadly</w:t>
      </w:r>
      <w:proofErr w:type="spellEnd"/>
      <w:r w:rsidRPr="00201601">
        <w:t xml:space="preserve"> acts of </w:t>
      </w:r>
      <w:proofErr w:type="spellStart"/>
      <w:r w:rsidRPr="00201601">
        <w:t>terror</w:t>
      </w:r>
      <w:proofErr w:type="spellEnd"/>
      <w:r w:rsidRPr="00201601">
        <w:t>”</w:t>
      </w:r>
      <w:r>
        <w:rPr>
          <w:rStyle w:val="Voetnootmarkering"/>
        </w:rPr>
        <w:footnoteReference w:id="1"/>
      </w:r>
      <w:r w:rsidRPr="00201601">
        <w:t xml:space="preserve"> </w:t>
      </w:r>
      <w:r>
        <w:t>e</w:t>
      </w:r>
      <w:r w:rsidRPr="00201601">
        <w:t>n andere recente berichtgeving over dit onderwerp?</w:t>
      </w:r>
    </w:p>
    <w:p w:rsidR="007F5C66" w:rsidP="007F5C66" w:rsidRDefault="007F5C66" w14:paraId="0D76B888" w14:textId="77777777">
      <w:pPr>
        <w:spacing w:line="276" w:lineRule="auto"/>
      </w:pPr>
    </w:p>
    <w:p w:rsidR="007F5C66" w:rsidP="007F5C66" w:rsidRDefault="007F5C66" w14:paraId="1E91E8EA" w14:textId="77777777">
      <w:pPr>
        <w:spacing w:line="276" w:lineRule="auto"/>
      </w:pPr>
      <w:r w:rsidRPr="3F719366">
        <w:rPr>
          <w:b/>
          <w:bCs/>
        </w:rPr>
        <w:t>Antwoord</w:t>
      </w:r>
    </w:p>
    <w:p w:rsidR="007F5C66" w:rsidP="007F5C66" w:rsidRDefault="007F5C66" w14:paraId="5EA112A0" w14:textId="77777777">
      <w:pPr>
        <w:spacing w:line="276" w:lineRule="auto"/>
      </w:pPr>
      <w:r>
        <w:t>Ja.</w:t>
      </w:r>
    </w:p>
    <w:p w:rsidR="007F5C66" w:rsidP="007F5C66" w:rsidRDefault="007F5C66" w14:paraId="6454781D" w14:textId="77777777">
      <w:pPr>
        <w:spacing w:line="276" w:lineRule="auto"/>
      </w:pPr>
    </w:p>
    <w:p w:rsidR="007F5C66" w:rsidP="007F5C66" w:rsidRDefault="007F5C66" w14:paraId="1790D145" w14:textId="77777777">
      <w:pPr>
        <w:spacing w:line="276" w:lineRule="auto"/>
      </w:pPr>
      <w:r w:rsidRPr="3F719366">
        <w:rPr>
          <w:b/>
          <w:bCs/>
        </w:rPr>
        <w:t>Vraag 2</w:t>
      </w:r>
    </w:p>
    <w:p w:rsidR="007F5C66" w:rsidP="007F5C66" w:rsidRDefault="007F5C66" w14:paraId="29B90AA7" w14:textId="77777777">
      <w:pPr>
        <w:spacing w:line="276" w:lineRule="auto"/>
      </w:pPr>
      <w:r>
        <w:t xml:space="preserve">Klopt het dat de Israëlische </w:t>
      </w:r>
      <w:proofErr w:type="spellStart"/>
      <w:r>
        <w:t>Knesset</w:t>
      </w:r>
      <w:proofErr w:type="spellEnd"/>
      <w:r>
        <w:t xml:space="preserve"> een wet heeft aangenomen die de doodstraf (door ophanging) als standaardstraf invoert voor niet-Israëliërs die door militaire rechtbanken zijn veroordeeld voor dodelijke aanslagen? Hoe beoordeelt u het feit dat deze wet in de praktijk vooral of uitsluitend van toepassing lijkt te zijn op Palestijnen, en niet op Israëlische daders van vergelijkbare feiten?</w:t>
      </w:r>
    </w:p>
    <w:p w:rsidR="007F5C66" w:rsidP="007F5C66" w:rsidRDefault="007F5C66" w14:paraId="3ADA6031" w14:textId="77777777">
      <w:pPr>
        <w:spacing w:line="276" w:lineRule="auto"/>
      </w:pPr>
    </w:p>
    <w:p w:rsidR="007F5C66" w:rsidP="007F5C66" w:rsidRDefault="007F5C66" w14:paraId="66A90221" w14:textId="77777777">
      <w:pPr>
        <w:spacing w:line="276" w:lineRule="auto"/>
      </w:pPr>
      <w:r w:rsidRPr="3F719366">
        <w:rPr>
          <w:b/>
          <w:bCs/>
        </w:rPr>
        <w:t>Vraag 3</w:t>
      </w:r>
    </w:p>
    <w:p w:rsidR="007F5C66" w:rsidP="007F5C66" w:rsidRDefault="007F5C66" w14:paraId="7CC38D04" w14:textId="77777777">
      <w:pPr>
        <w:spacing w:line="276" w:lineRule="auto"/>
      </w:pPr>
      <w:r>
        <w:t>Deelt u de zorgen van internationale organisaties en de Europese Unie dat deze wet in strijd is met internationale mensenrechtennormen en het non-discriminatiebeginsel? Op welke wijze voldoet de wet daar volgens het kabinet niet aan?</w:t>
      </w:r>
    </w:p>
    <w:p w:rsidR="007F5C66" w:rsidP="007F5C66" w:rsidRDefault="007F5C66" w14:paraId="7505DB45" w14:textId="77777777">
      <w:pPr>
        <w:spacing w:line="276" w:lineRule="auto"/>
      </w:pPr>
    </w:p>
    <w:p w:rsidR="007F5C66" w:rsidP="007F5C66" w:rsidRDefault="007F5C66" w14:paraId="7CB9D9FA" w14:textId="77777777">
      <w:pPr>
        <w:spacing w:line="276" w:lineRule="auto"/>
      </w:pPr>
      <w:r w:rsidRPr="3F719366">
        <w:rPr>
          <w:b/>
          <w:bCs/>
        </w:rPr>
        <w:t>Antwoord</w:t>
      </w:r>
      <w:r>
        <w:rPr>
          <w:b/>
          <w:bCs/>
        </w:rPr>
        <w:t xml:space="preserve"> op vragen 2 en 3</w:t>
      </w:r>
    </w:p>
    <w:p w:rsidR="007F5C66" w:rsidP="007F5C66" w:rsidRDefault="007F5C66" w14:paraId="00EC4C07" w14:textId="77777777">
      <w:pPr>
        <w:spacing w:line="276" w:lineRule="auto"/>
      </w:pPr>
      <w:r>
        <w:lastRenderedPageBreak/>
        <w:t>Graag verwijst het kabinet u naar de recent verstuurde Kamerbrief over dit onderwerp.</w:t>
      </w:r>
      <w:r>
        <w:rPr>
          <w:rStyle w:val="Voetnootmarkering"/>
        </w:rPr>
        <w:footnoteReference w:id="2"/>
      </w:r>
    </w:p>
    <w:p w:rsidR="007F5C66" w:rsidP="007F5C66" w:rsidRDefault="007F5C66" w14:paraId="042D53EE" w14:textId="77777777">
      <w:pPr>
        <w:spacing w:line="276" w:lineRule="auto"/>
      </w:pPr>
    </w:p>
    <w:p w:rsidR="007F5C66" w:rsidP="007F5C66" w:rsidRDefault="007F5C66" w14:paraId="59F98B75" w14:textId="77777777">
      <w:pPr>
        <w:spacing w:line="276" w:lineRule="auto"/>
      </w:pPr>
      <w:r w:rsidRPr="3F719366">
        <w:rPr>
          <w:b/>
          <w:bCs/>
        </w:rPr>
        <w:t>Vraag 4</w:t>
      </w:r>
    </w:p>
    <w:p w:rsidR="007F5C66" w:rsidP="007F5C66" w:rsidRDefault="007F5C66" w14:paraId="5567DD1B" w14:textId="77777777">
      <w:pPr>
        <w:spacing w:line="276" w:lineRule="auto"/>
      </w:pPr>
      <w:r>
        <w:t>Hoe beoordeelt u het ontbreken van mogelijkheden tot beroep of gratie in deze wet, zoals gemeld in de berichtgeving?</w:t>
      </w:r>
    </w:p>
    <w:p w:rsidR="007F5C66" w:rsidP="007F5C66" w:rsidRDefault="007F5C66" w14:paraId="0C9A27FC" w14:textId="77777777">
      <w:pPr>
        <w:spacing w:line="276" w:lineRule="auto"/>
      </w:pPr>
    </w:p>
    <w:p w:rsidR="007F5C66" w:rsidP="007F5C66" w:rsidRDefault="007F5C66" w14:paraId="10FC937D" w14:textId="77777777">
      <w:pPr>
        <w:spacing w:line="276" w:lineRule="auto"/>
      </w:pPr>
      <w:r w:rsidRPr="3F719366">
        <w:rPr>
          <w:b/>
          <w:bCs/>
        </w:rPr>
        <w:t>Antwoord</w:t>
      </w:r>
    </w:p>
    <w:p w:rsidR="007F5C66" w:rsidP="007F5C66" w:rsidRDefault="007F5C66" w14:paraId="44B2EAF1" w14:textId="77777777">
      <w:pPr>
        <w:spacing w:line="276" w:lineRule="auto"/>
      </w:pPr>
      <w:r>
        <w:t>Dit is strijdig met internationaal recht. H</w:t>
      </w:r>
      <w:r w:rsidRPr="0039506C">
        <w:t>et Internationaal Verdrag inzake burgerrechten en politieke rechten waar</w:t>
      </w:r>
      <w:r>
        <w:t>bij</w:t>
      </w:r>
      <w:r w:rsidRPr="0039506C">
        <w:t xml:space="preserve"> zowel Nederland als Isra</w:t>
      </w:r>
      <w:r>
        <w:t>ë</w:t>
      </w:r>
      <w:r w:rsidRPr="0039506C">
        <w:t xml:space="preserve">l partij zijn, schrijft voor dat eenieder die ter dood veroordeeld is het recht heeft om gratie of verzachting van het vonnis te vragen. Ten aanzien van het recht om beroep in te kunnen stellen, heeft </w:t>
      </w:r>
      <w:r>
        <w:t>het VN-Mensenrechtencomité</w:t>
      </w:r>
      <w:r w:rsidRPr="0039506C">
        <w:t xml:space="preserve"> verduidelijkt dat dit onderdeel uitmaakt van het recht op een eerlijk proces. Een schending van het recht om beroep in te kunnen stellen tegen een veroordelend vonnis waarbij de doodstraf is opgelegd, moet er volgens </w:t>
      </w:r>
      <w:r>
        <w:t>het VN-Mensenrechtencomité</w:t>
      </w:r>
      <w:r w:rsidRPr="0039506C">
        <w:t xml:space="preserve"> toe leiden dat de opgelegde doodstraf wordt beschouwd als willekeurig en daarmee als een schending van het recht op leven.</w:t>
      </w:r>
      <w:r>
        <w:rPr>
          <w:rStyle w:val="Voetnootmarkering"/>
        </w:rPr>
        <w:footnoteReference w:id="3"/>
      </w:r>
      <w:r w:rsidRPr="0039506C">
        <w:t xml:space="preserve"> </w:t>
      </w:r>
    </w:p>
    <w:p w:rsidR="007F5C66" w:rsidP="007F5C66" w:rsidRDefault="007F5C66" w14:paraId="1EEBF2CC" w14:textId="77777777">
      <w:pPr>
        <w:spacing w:line="276" w:lineRule="auto"/>
        <w:rPr>
          <w:b/>
          <w:bCs/>
        </w:rPr>
      </w:pPr>
    </w:p>
    <w:p w:rsidR="007F5C66" w:rsidP="007F5C66" w:rsidRDefault="007F5C66" w14:paraId="5CCE4E61" w14:textId="77777777">
      <w:pPr>
        <w:spacing w:line="276" w:lineRule="auto"/>
      </w:pPr>
      <w:r w:rsidRPr="3F719366">
        <w:rPr>
          <w:b/>
          <w:bCs/>
        </w:rPr>
        <w:t>Vraag 5</w:t>
      </w:r>
    </w:p>
    <w:p w:rsidR="007F5C66" w:rsidP="007F5C66" w:rsidRDefault="007F5C66" w14:paraId="71A1CA02" w14:textId="77777777">
      <w:pPr>
        <w:spacing w:line="276" w:lineRule="auto"/>
      </w:pPr>
      <w:r>
        <w:t>Bent u bereid deze zorgen bilateraal en in EU-verband over te brengen aan de Israëlische autoriteiten? Welke verdere stappen overweegt u verder te nemen?</w:t>
      </w:r>
      <w:r>
        <w:br/>
      </w:r>
    </w:p>
    <w:p w:rsidR="007F5C66" w:rsidP="007F5C66" w:rsidRDefault="007F5C66" w14:paraId="66CFA8B5" w14:textId="77777777">
      <w:pPr>
        <w:spacing w:line="276" w:lineRule="auto"/>
      </w:pPr>
      <w:r w:rsidRPr="3F719366">
        <w:rPr>
          <w:b/>
          <w:bCs/>
        </w:rPr>
        <w:t>Antwoord</w:t>
      </w:r>
    </w:p>
    <w:p w:rsidRPr="00BF1DEC" w:rsidR="007F5C66" w:rsidP="007F5C66" w:rsidRDefault="007F5C66" w14:paraId="47881CDE" w14:textId="77777777">
      <w:pPr>
        <w:spacing w:line="276" w:lineRule="auto"/>
      </w:pPr>
      <w:r>
        <w:t>Zie het antwoord op vraag 2. Nu de wet is aangenomen roept Nederland Israël op de wet niet te implementeren en zal Nederland actief handelen langs de lijnen van het (Europese) afschaffingsbeleid. Conform het afschaffingsbeleid zet het kabinet zich in tot het instellen van een moratorium als een eerste stap naar afschaffing.</w:t>
      </w:r>
    </w:p>
    <w:p w:rsidR="007F5C66" w:rsidP="007F5C66" w:rsidRDefault="007F5C66" w14:paraId="4BC846D1" w14:textId="77777777">
      <w:pPr>
        <w:spacing w:line="276" w:lineRule="auto"/>
      </w:pPr>
    </w:p>
    <w:p w:rsidR="007F5C66" w:rsidP="007F5C66" w:rsidRDefault="007F5C66" w14:paraId="5D51956B" w14:textId="77777777">
      <w:pPr>
        <w:spacing w:line="276" w:lineRule="auto"/>
      </w:pPr>
      <w:r w:rsidRPr="3F719366">
        <w:rPr>
          <w:b/>
          <w:bCs/>
        </w:rPr>
        <w:t>Vraag 6</w:t>
      </w:r>
    </w:p>
    <w:p w:rsidR="007F5C66" w:rsidP="007F5C66" w:rsidRDefault="007F5C66" w14:paraId="1DDE0D61" w14:textId="77777777">
      <w:pPr>
        <w:spacing w:line="276" w:lineRule="auto"/>
      </w:pPr>
      <w:r>
        <w:lastRenderedPageBreak/>
        <w:t>Welke gevolgen verwacht u dat deze wet zal hebben voor de rechtsstaat, de spanningen in de regio en de veiligheidssituatie op de Westelijke Jordaanoever? Welke rol kan Nederland hierin spelen?</w:t>
      </w:r>
    </w:p>
    <w:p w:rsidR="007F5C66" w:rsidP="007F5C66" w:rsidRDefault="007F5C66" w14:paraId="6AB3FE1B" w14:textId="77777777">
      <w:pPr>
        <w:spacing w:line="276" w:lineRule="auto"/>
      </w:pPr>
    </w:p>
    <w:p w:rsidR="007F5C66" w:rsidP="007F5C66" w:rsidRDefault="007F5C66" w14:paraId="162830AC" w14:textId="77777777">
      <w:pPr>
        <w:spacing w:line="276" w:lineRule="auto"/>
      </w:pPr>
      <w:r w:rsidRPr="3F719366">
        <w:rPr>
          <w:b/>
          <w:bCs/>
        </w:rPr>
        <w:t>Antwoord</w:t>
      </w:r>
    </w:p>
    <w:p w:rsidR="007F5C66" w:rsidP="007F5C66" w:rsidRDefault="007F5C66" w14:paraId="1EDFE850" w14:textId="77777777">
      <w:pPr>
        <w:spacing w:line="276" w:lineRule="auto"/>
      </w:pPr>
      <w:r>
        <w:t>Het wetsvoorstel past binnen de bredere zorgen die het kabinet heeft over de rechtstatelijke ontwikkelingen in Israël. Hierover blijft het kabinet met de Israëlische regering in gesprek.</w:t>
      </w:r>
    </w:p>
    <w:p w:rsidR="007F5C66" w:rsidP="007F5C66" w:rsidRDefault="007F5C66" w14:paraId="0EE016E3" w14:textId="77777777">
      <w:pPr>
        <w:spacing w:line="276" w:lineRule="auto"/>
      </w:pPr>
    </w:p>
    <w:p w:rsidR="007F5C66" w:rsidP="007F5C66" w:rsidRDefault="007F5C66" w14:paraId="45DAC36D" w14:textId="77777777">
      <w:pPr>
        <w:spacing w:line="276" w:lineRule="auto"/>
      </w:pPr>
      <w:r>
        <w:t>De exacte gevolgen zijn momenteel niet te voorspellen en zal afhangen van de wijze waarop er daadwerkelijk invulling aan de wet zal worden gegeven. Bovendien ligt er ook een zaak voor bij het Israëlisch hooggerechtshof over de wet. Israël kende altijd al de doodstraf, echter dit is een heel grote stap in de verkeerde richting. Begrijpelijkerwijs leidt tot grote bezorgdheid onder Palestijnen en tot verdere ongelijkheid tussen Israëliërs en Palestijnen. Zie verder het antwoord op vragen 2, 5 en 11.</w:t>
      </w:r>
    </w:p>
    <w:p w:rsidR="007F5C66" w:rsidP="007F5C66" w:rsidRDefault="007F5C66" w14:paraId="748818F1" w14:textId="77777777">
      <w:pPr>
        <w:spacing w:line="276" w:lineRule="auto"/>
      </w:pPr>
    </w:p>
    <w:p w:rsidR="007F5C66" w:rsidP="007F5C66" w:rsidRDefault="007F5C66" w14:paraId="2431C86B" w14:textId="77777777">
      <w:pPr>
        <w:spacing w:line="276" w:lineRule="auto"/>
      </w:pPr>
      <w:r w:rsidRPr="3F719366">
        <w:rPr>
          <w:b/>
          <w:bCs/>
        </w:rPr>
        <w:t>Vraag 7</w:t>
      </w:r>
    </w:p>
    <w:p w:rsidR="007F5C66" w:rsidP="007F5C66" w:rsidRDefault="007F5C66" w14:paraId="24E275E2" w14:textId="77777777">
      <w:pPr>
        <w:spacing w:line="276" w:lineRule="auto"/>
      </w:pPr>
      <w:r w:rsidRPr="00201601">
        <w:t xml:space="preserve">Bent u bekend met het artikel van </w:t>
      </w:r>
      <w:proofErr w:type="spellStart"/>
      <w:r w:rsidRPr="00201601">
        <w:t>Cvandaag</w:t>
      </w:r>
      <w:proofErr w:type="spellEnd"/>
      <w:r w:rsidRPr="00201601">
        <w:t xml:space="preserve"> over de zorgen van een priester uit het christelijke dorp </w:t>
      </w:r>
      <w:proofErr w:type="spellStart"/>
      <w:r w:rsidRPr="00201601">
        <w:t>Taybeh</w:t>
      </w:r>
      <w:proofErr w:type="spellEnd"/>
      <w:r w:rsidRPr="00201601">
        <w:t xml:space="preserve"> over aanhoudende aanvallen door Israëlische kolonisten?</w:t>
      </w:r>
      <w:r>
        <w:rPr>
          <w:rStyle w:val="Voetnootmarkering"/>
        </w:rPr>
        <w:footnoteReference w:id="4"/>
      </w:r>
    </w:p>
    <w:p w:rsidR="007F5C66" w:rsidP="007F5C66" w:rsidRDefault="007F5C66" w14:paraId="1ED11DBE" w14:textId="77777777">
      <w:pPr>
        <w:spacing w:line="276" w:lineRule="auto"/>
      </w:pPr>
    </w:p>
    <w:p w:rsidR="007F5C66" w:rsidP="007F5C66" w:rsidRDefault="007F5C66" w14:paraId="576ED62B" w14:textId="77777777">
      <w:pPr>
        <w:spacing w:line="276" w:lineRule="auto"/>
      </w:pPr>
      <w:r w:rsidRPr="3F719366">
        <w:rPr>
          <w:b/>
          <w:bCs/>
        </w:rPr>
        <w:t>Antwoord</w:t>
      </w:r>
    </w:p>
    <w:p w:rsidR="007F5C66" w:rsidP="007F5C66" w:rsidRDefault="007F5C66" w14:paraId="521B08C9" w14:textId="77777777">
      <w:pPr>
        <w:spacing w:line="276" w:lineRule="auto"/>
      </w:pPr>
      <w:r>
        <w:t>Ja.</w:t>
      </w:r>
    </w:p>
    <w:p w:rsidR="007F5C66" w:rsidP="007F5C66" w:rsidRDefault="007F5C66" w14:paraId="722CE6B3" w14:textId="77777777">
      <w:pPr>
        <w:spacing w:line="276" w:lineRule="auto"/>
      </w:pPr>
    </w:p>
    <w:p w:rsidR="007F5C66" w:rsidP="007F5C66" w:rsidRDefault="007F5C66" w14:paraId="3F9B5F82" w14:textId="77777777">
      <w:pPr>
        <w:spacing w:line="276" w:lineRule="auto"/>
      </w:pPr>
      <w:r w:rsidRPr="3F719366">
        <w:rPr>
          <w:b/>
          <w:bCs/>
        </w:rPr>
        <w:t>Vraag 8</w:t>
      </w:r>
    </w:p>
    <w:p w:rsidR="007F5C66" w:rsidP="007F5C66" w:rsidRDefault="007F5C66" w14:paraId="46ABC914" w14:textId="77777777">
      <w:pPr>
        <w:spacing w:line="276" w:lineRule="auto"/>
      </w:pPr>
      <w:r w:rsidRPr="00201601">
        <w:t xml:space="preserve">Kunt u bevestigen dat in het overwegend christelijke dorp </w:t>
      </w:r>
      <w:proofErr w:type="spellStart"/>
      <w:r w:rsidRPr="00201601">
        <w:t>Taybeh</w:t>
      </w:r>
      <w:proofErr w:type="spellEnd"/>
      <w:r w:rsidRPr="00201601">
        <w:t xml:space="preserve"> sprake is van herhaalde aanvallen op bewoners, landbouwgrond en religieuze locaties door kolonisten en dat dit niet is opgehouden sinds de laatste keer dat de ChristenUnie hier aandacht bij het kabinet voor vroeg? Welke stappen heeft de minister genomen </w:t>
      </w:r>
      <w:r w:rsidRPr="00201601">
        <w:lastRenderedPageBreak/>
        <w:t>sinds de eerder gestelde en beantwoorde Kamervragen?</w:t>
      </w:r>
      <w:r>
        <w:rPr>
          <w:rStyle w:val="Voetnootmarkering"/>
        </w:rPr>
        <w:footnoteReference w:id="5"/>
      </w:r>
      <w:r w:rsidRPr="00201601">
        <w:t xml:space="preserve"> Wat de respons van de Israëlische autoriteiten?</w:t>
      </w:r>
    </w:p>
    <w:p w:rsidR="007F5C66" w:rsidP="007F5C66" w:rsidRDefault="007F5C66" w14:paraId="474DEFB6" w14:textId="77777777">
      <w:pPr>
        <w:spacing w:line="276" w:lineRule="auto"/>
      </w:pPr>
    </w:p>
    <w:p w:rsidR="007F5C66" w:rsidP="007F5C66" w:rsidRDefault="007F5C66" w14:paraId="13F20518" w14:textId="77777777">
      <w:pPr>
        <w:spacing w:line="276" w:lineRule="auto"/>
      </w:pPr>
    </w:p>
    <w:p w:rsidR="007F5C66" w:rsidP="007F5C66" w:rsidRDefault="007F5C66" w14:paraId="46BA1361" w14:textId="77777777">
      <w:pPr>
        <w:spacing w:line="276" w:lineRule="auto"/>
      </w:pPr>
      <w:r w:rsidRPr="3F719366">
        <w:rPr>
          <w:b/>
          <w:bCs/>
        </w:rPr>
        <w:t>Antwoord</w:t>
      </w:r>
    </w:p>
    <w:p w:rsidR="007F5C66" w:rsidP="007F5C66" w:rsidRDefault="007F5C66" w14:paraId="6B8649C6" w14:textId="77777777">
      <w:pPr>
        <w:spacing w:line="276" w:lineRule="auto"/>
        <w:rPr>
          <w:rFonts w:eastAsia="Verdana" w:cs="Verdana"/>
        </w:rPr>
      </w:pPr>
      <w:r>
        <w:t xml:space="preserve">Het kolonistengeweld op de Westelijke Jordaanoever is het afgelopen jaar toegenomen. Ook het dorp </w:t>
      </w:r>
      <w:proofErr w:type="spellStart"/>
      <w:r>
        <w:t>Taybeh</w:t>
      </w:r>
      <w:proofErr w:type="spellEnd"/>
      <w:r>
        <w:t xml:space="preserve"> is sinds de eerder gestelde Kamervragen opnieuw doelwit geweest van aanvallen. Het kabinet veroordeelt kolonistengeweld, waaronder geweld tegen christelijke gemeenschappen. Het kabinet brengt deze boodschap consequent over en benadrukt daarbij dat Israël als bezettende macht verantwoordelijk is voor de bescherming van de bevolking en voor het vervolgen van plegers van dit geweld. Zoals bekend zet Nederland zich in EU-verband in voor sancties voor sancties tegen gewelddadige kolonisten. De Israëlische autoriteiten hebben aan gegeven steviger te willen gaan optreden tegen gewelddadige kolonisten. Het kabinet moet echter constateren dat dit vooralsnog bij woorden is gebleven. Zie ook het antwoord op vraag 9. </w:t>
      </w:r>
    </w:p>
    <w:p w:rsidR="007F5C66" w:rsidP="007F5C66" w:rsidRDefault="007F5C66" w14:paraId="19C93375" w14:textId="77777777">
      <w:pPr>
        <w:spacing w:line="276" w:lineRule="auto"/>
      </w:pPr>
    </w:p>
    <w:p w:rsidR="007F5C66" w:rsidP="007F5C66" w:rsidRDefault="007F5C66" w14:paraId="56C7D32A" w14:textId="77777777">
      <w:pPr>
        <w:spacing w:line="276" w:lineRule="auto"/>
      </w:pPr>
      <w:r w:rsidRPr="3F719366">
        <w:rPr>
          <w:b/>
          <w:bCs/>
        </w:rPr>
        <w:t>Vraag 9</w:t>
      </w:r>
    </w:p>
    <w:p w:rsidR="007F5C66" w:rsidP="007F5C66" w:rsidRDefault="007F5C66" w14:paraId="4AFCCCEC" w14:textId="77777777">
      <w:pPr>
        <w:spacing w:line="276" w:lineRule="auto"/>
      </w:pPr>
      <w:r>
        <w:t>Kunt u aangeven in hoeverre de Israëlische autoriteiten optreden tegen daders van kolonistengeweld en in hoeverre sprake is van straffeloosheid? En heeft het ministerie een beeld in hoeveel dorpen/ gebieden dit inmiddels speelt? Hoeveel kolonisten die opgepakt zijn, zijn in de afgelopen 2 jaar uiteindelijk veroordeeld?</w:t>
      </w:r>
    </w:p>
    <w:p w:rsidR="007F5C66" w:rsidP="007F5C66" w:rsidRDefault="007F5C66" w14:paraId="5F4E4B54" w14:textId="77777777">
      <w:pPr>
        <w:spacing w:line="276" w:lineRule="auto"/>
      </w:pPr>
    </w:p>
    <w:p w:rsidR="007F5C66" w:rsidP="007F5C66" w:rsidRDefault="007F5C66" w14:paraId="59ACCE4C" w14:textId="77777777">
      <w:pPr>
        <w:spacing w:line="276" w:lineRule="auto"/>
      </w:pPr>
      <w:r w:rsidRPr="3F719366">
        <w:rPr>
          <w:b/>
          <w:bCs/>
        </w:rPr>
        <w:t>Antwoord</w:t>
      </w:r>
    </w:p>
    <w:p w:rsidR="007F5C66" w:rsidP="007F5C66" w:rsidRDefault="007F5C66" w14:paraId="55733251" w14:textId="77777777">
      <w:pPr>
        <w:spacing w:line="276" w:lineRule="auto"/>
      </w:pPr>
      <w:r w:rsidRPr="00F12F49">
        <w:t>In het advies van 19 juli 2024 over het optreden van Israël in de bezette Palestijnse Gebieden, oordeelt het Internationaal Gerechtshof dat Israël systematisch faalt om aanvallen van kolonisten op de lichamelijke integriteit en/of het leven van Palestijnen te voorkomen of te bestraffen. Het Hof oordeelt tevens dat Israël zelf buitensporig geweld gebruikt. Volgens het Hof is dit in strijd met Israëls verplichtingen om het recht op leven van Palestijnen onder het humanitair oorlogsrecht en de mensenrechten te eerbiedigen.</w:t>
      </w:r>
    </w:p>
    <w:p w:rsidR="007F5C66" w:rsidP="007F5C66" w:rsidRDefault="007F5C66" w14:paraId="3F5E3F2B" w14:textId="77777777">
      <w:pPr>
        <w:spacing w:line="276" w:lineRule="auto"/>
      </w:pPr>
    </w:p>
    <w:p w:rsidR="007F5C66" w:rsidP="007F5C66" w:rsidRDefault="007F5C66" w14:paraId="1DAA241F" w14:textId="77777777">
      <w:pPr>
        <w:spacing w:line="276" w:lineRule="auto"/>
        <w:rPr>
          <w:rFonts w:eastAsia="Verdana" w:cs="Verdana"/>
        </w:rPr>
      </w:pPr>
      <w:r>
        <w:lastRenderedPageBreak/>
        <w:t xml:space="preserve">In gevallen waar Israëlische autoriteiten wel optreden tegen het geweld, leidt dit vrijwel nooit tot een aanklacht, en daarmee een veroordeling. Uit cijfers van de Israëlische ngo </w:t>
      </w:r>
      <w:proofErr w:type="spellStart"/>
      <w:r w:rsidRPr="509A3389">
        <w:rPr>
          <w:i/>
          <w:iCs/>
        </w:rPr>
        <w:t>Yesh</w:t>
      </w:r>
      <w:proofErr w:type="spellEnd"/>
      <w:r w:rsidRPr="509A3389">
        <w:rPr>
          <w:i/>
          <w:iCs/>
        </w:rPr>
        <w:t xml:space="preserve"> </w:t>
      </w:r>
      <w:proofErr w:type="spellStart"/>
      <w:r w:rsidRPr="509A3389">
        <w:rPr>
          <w:i/>
          <w:iCs/>
        </w:rPr>
        <w:t>Din</w:t>
      </w:r>
      <w:proofErr w:type="spellEnd"/>
      <w:r>
        <w:t xml:space="preserve"> blijkt dat in de periode van 2005-2025 3% van de onderzoeken naar kolonistengeweld tot een veroordeling leidde. Sinds 7 oktober 2023 is het aantal veroordelingen voor kolonistengeweld volgens diezelfde cijfers 0; wel heeft een aantal kolonisten tijdelijk in administratieve detentie gezeten. </w:t>
      </w:r>
      <w:r w:rsidRPr="3F719366">
        <w:rPr>
          <w:rFonts w:eastAsia="Verdana" w:cs="Verdana"/>
        </w:rPr>
        <w:t>Het uitblijven van effectieve handhaving werkt straffeloosheid in de hand en draagt bij aan verdere escalatie. Het kabinet blijft dit benadrukken richting de Israëlische regering.</w:t>
      </w:r>
    </w:p>
    <w:p w:rsidR="007F5C66" w:rsidP="007F5C66" w:rsidRDefault="007F5C66" w14:paraId="23388863" w14:textId="77777777">
      <w:pPr>
        <w:spacing w:line="276" w:lineRule="auto"/>
        <w:rPr>
          <w:rFonts w:eastAsia="Verdana" w:cs="Verdana"/>
        </w:rPr>
      </w:pPr>
    </w:p>
    <w:p w:rsidR="007F5C66" w:rsidP="007F5C66" w:rsidRDefault="007F5C66" w14:paraId="4AD5109C" w14:textId="77777777">
      <w:pPr>
        <w:spacing w:line="276" w:lineRule="auto"/>
        <w:rPr>
          <w:rFonts w:eastAsia="Verdana" w:cs="Verdana"/>
        </w:rPr>
      </w:pPr>
      <w:r w:rsidRPr="000D5533">
        <w:rPr>
          <w:rFonts w:eastAsia="Verdana" w:cs="Verdana"/>
        </w:rPr>
        <w:t xml:space="preserve">Zowel het Internationaal Strafhof als diverse </w:t>
      </w:r>
      <w:proofErr w:type="spellStart"/>
      <w:r w:rsidRPr="000D5533">
        <w:rPr>
          <w:rFonts w:eastAsia="Verdana" w:cs="Verdana"/>
        </w:rPr>
        <w:t>onderzoeksmechanismen</w:t>
      </w:r>
      <w:proofErr w:type="spellEnd"/>
      <w:r w:rsidRPr="000D5533">
        <w:rPr>
          <w:rFonts w:eastAsia="Verdana" w:cs="Verdana"/>
        </w:rPr>
        <w:t xml:space="preserve"> ingesteld door de VN(-Mensrechtenraad) doen reeds onderzoek naar de situatie. Nederland deed de afgelopen jaren een extra vrijwillige bijdrage van in totaal EUR 6 mln. aan het Internationaal Strafhof voor de versterking van de algehele onderzoekscapaciteit van het Hof. Het kantoor van de VN Hoge Commissaris voor de Mensenrechten in de Palestijnse Gebieden speelt een belangrijke rol waar het onderzoek naar mensenrechtenschendingen betreft.</w:t>
      </w:r>
    </w:p>
    <w:p w:rsidRPr="00B133BA" w:rsidR="007F5C66" w:rsidP="007F5C66" w:rsidRDefault="007F5C66" w14:paraId="6AEB17EC" w14:textId="77777777">
      <w:pPr>
        <w:spacing w:line="276" w:lineRule="auto"/>
        <w:rPr>
          <w:rFonts w:eastAsia="Verdana" w:cs="Verdana"/>
        </w:rPr>
      </w:pPr>
    </w:p>
    <w:p w:rsidR="007F5C66" w:rsidP="007F5C66" w:rsidRDefault="007F5C66" w14:paraId="58019E1C" w14:textId="77777777">
      <w:pPr>
        <w:spacing w:line="276" w:lineRule="auto"/>
      </w:pPr>
      <w:r w:rsidRPr="3F719366">
        <w:rPr>
          <w:b/>
          <w:bCs/>
        </w:rPr>
        <w:t>Vraag 10</w:t>
      </w:r>
    </w:p>
    <w:p w:rsidR="007F5C66" w:rsidP="007F5C66" w:rsidRDefault="007F5C66" w14:paraId="511B8F3B" w14:textId="77777777">
      <w:pPr>
        <w:spacing w:line="276" w:lineRule="auto"/>
      </w:pPr>
      <w:r>
        <w:t xml:space="preserve">Bent u bereid zich in EU-verband in te zetten voor concrete maatregelen om Palestijnse (en in ook in het bijzonder christelijke) gemeenschappen zoals </w:t>
      </w:r>
      <w:proofErr w:type="spellStart"/>
      <w:r>
        <w:t>Taybeh</w:t>
      </w:r>
      <w:proofErr w:type="spellEnd"/>
      <w:r>
        <w:t xml:space="preserve"> beter te beschermen tegen geweld door kolonisten?</w:t>
      </w:r>
    </w:p>
    <w:p w:rsidR="007F5C66" w:rsidP="007F5C66" w:rsidRDefault="007F5C66" w14:paraId="2952BC54" w14:textId="77777777">
      <w:pPr>
        <w:spacing w:line="276" w:lineRule="auto"/>
      </w:pPr>
    </w:p>
    <w:p w:rsidR="007F5C66" w:rsidP="007F5C66" w:rsidRDefault="007F5C66" w14:paraId="660F9996" w14:textId="77777777">
      <w:pPr>
        <w:spacing w:line="276" w:lineRule="auto"/>
      </w:pPr>
      <w:r w:rsidRPr="3F719366">
        <w:rPr>
          <w:b/>
          <w:bCs/>
        </w:rPr>
        <w:t>Antwoord</w:t>
      </w:r>
    </w:p>
    <w:p w:rsidRPr="002A710E" w:rsidR="007F5C66" w:rsidP="007F5C66" w:rsidRDefault="007F5C66" w14:paraId="7F83FCBC" w14:textId="77777777">
      <w:pPr>
        <w:spacing w:line="276" w:lineRule="auto"/>
      </w:pPr>
      <w:r>
        <w:t>Nederland veroordeelt kolonistengeweld en geweld tegen Palestijnse burgers. In EU-verband blijft Nederland voortrekker voor sancties voor sancties tegen gewelddadige kolonisten.</w:t>
      </w:r>
    </w:p>
    <w:p w:rsidR="007F5C66" w:rsidP="007F5C66" w:rsidRDefault="007F5C66" w14:paraId="0583B20F" w14:textId="77777777">
      <w:pPr>
        <w:spacing w:line="276" w:lineRule="auto"/>
      </w:pPr>
    </w:p>
    <w:p w:rsidR="007F5C66" w:rsidP="007F5C66" w:rsidRDefault="007F5C66" w14:paraId="2852A35F" w14:textId="77777777">
      <w:pPr>
        <w:spacing w:line="276" w:lineRule="auto"/>
      </w:pPr>
      <w:r w:rsidRPr="3F719366">
        <w:rPr>
          <w:b/>
          <w:bCs/>
        </w:rPr>
        <w:t>Vraag 11</w:t>
      </w:r>
    </w:p>
    <w:p w:rsidR="007F5C66" w:rsidP="007F5C66" w:rsidRDefault="007F5C66" w14:paraId="055236A7" w14:textId="77777777">
      <w:pPr>
        <w:spacing w:line="276" w:lineRule="auto"/>
      </w:pPr>
      <w:r>
        <w:t>Welke stappen onderneemt Nederland momenteel om de veiligheid, rechtsbescherming en leefbaarheid van gemeenschappen op de Westelijke Jordaanoever te ondersteunen?</w:t>
      </w:r>
    </w:p>
    <w:p w:rsidR="007F5C66" w:rsidP="007F5C66" w:rsidRDefault="007F5C66" w14:paraId="3E074E8E" w14:textId="77777777">
      <w:pPr>
        <w:spacing w:line="276" w:lineRule="auto"/>
      </w:pPr>
    </w:p>
    <w:p w:rsidR="007F5C66" w:rsidP="007F5C66" w:rsidRDefault="007F5C66" w14:paraId="395D65AB" w14:textId="77777777">
      <w:pPr>
        <w:spacing w:line="276" w:lineRule="auto"/>
      </w:pPr>
    </w:p>
    <w:p w:rsidR="007F5C66" w:rsidP="007F5C66" w:rsidRDefault="007F5C66" w14:paraId="4F1220EB" w14:textId="77777777">
      <w:pPr>
        <w:spacing w:line="276" w:lineRule="auto"/>
      </w:pPr>
      <w:r w:rsidRPr="3F719366">
        <w:rPr>
          <w:b/>
          <w:bCs/>
        </w:rPr>
        <w:lastRenderedPageBreak/>
        <w:t>Antwoord</w:t>
      </w:r>
    </w:p>
    <w:p w:rsidRPr="002A710E" w:rsidR="007F5C66" w:rsidP="007F5C66" w:rsidRDefault="007F5C66" w14:paraId="0585C25F" w14:textId="77777777">
      <w:pPr>
        <w:spacing w:line="276" w:lineRule="auto"/>
      </w:pPr>
      <w:r>
        <w:t>Het is van belang vanuit verschillende invalshoeken hier een bijdrage aan te leveren. Ten eerste door het beëindigen van de onrechtmatige Israëlische bezetting van de Westelijke Jordaanoever. Nederland schaart zich achter de oproep om de onrechtmatige bezetting zo spoedig mogelijk te beëindigen, met inachtneming van Israëls legitieme veiligheidsbelangen. Het kabinet benadrukt dat Israël als bezettende macht verantwoordelijk is voor bescherming van de lokale bevolking en voor het vervolgen van daders van misdrijven. In EU-verband blijft Nederland voortrekker voor sancties voor sancties tegen gewelddadige kolonisten en hun organisaties. Daarnaast werkt het kabinet aan nationale maatregelen om producten uit de onrechtmatige nederzettingen te weren van de Nederlandse markt.</w:t>
      </w:r>
    </w:p>
    <w:p w:rsidR="007F5C66" w:rsidP="007F5C66" w:rsidRDefault="007F5C66" w14:paraId="777E78AC" w14:textId="77777777">
      <w:pPr>
        <w:spacing w:line="276" w:lineRule="auto"/>
      </w:pPr>
    </w:p>
    <w:p w:rsidR="007F5C66" w:rsidP="007F5C66" w:rsidRDefault="007F5C66" w14:paraId="49E8473C" w14:textId="77777777">
      <w:pPr>
        <w:spacing w:line="276" w:lineRule="auto"/>
      </w:pPr>
      <w:r>
        <w:t xml:space="preserve">Nederland zet zich ook actief in via steun aan de Palestijnse Autoriteit en via verschillende ontwikkelingssamenwerkingsprojecten, met name op het gebied van water, rechtstaat en private sector ontwikkeling, die bijdragen aan de rechtsbescherming en leefbaarheid in de Westelijke Jordaanoever. Lokaal onderhoudt de Nederlandse vertegenwoordiging in de Palestijnse Gebieden ook contact met Palestijnse gemeenschappen. Nederland draagt bij aan projecten die het tegengaan van straffeloosheid promoten en projecten die Palestijnen, die bedreigd worden door kolonisten, steunen, onder door middel van juridische hulp en weerbaarheidstrainingen. </w:t>
      </w:r>
    </w:p>
    <w:p w:rsidR="007F5C66" w:rsidP="007F5C66" w:rsidRDefault="007F5C66" w14:paraId="6F01A03C" w14:textId="77777777">
      <w:pPr>
        <w:spacing w:line="276" w:lineRule="auto"/>
      </w:pPr>
    </w:p>
    <w:p w:rsidR="007F5C66" w:rsidP="007F5C66" w:rsidRDefault="007F5C66" w14:paraId="2C6D1D07" w14:textId="77777777">
      <w:pPr>
        <w:spacing w:line="276" w:lineRule="auto"/>
      </w:pPr>
      <w:r w:rsidRPr="3F719366">
        <w:rPr>
          <w:b/>
          <w:bCs/>
        </w:rPr>
        <w:t>Vraag 12</w:t>
      </w:r>
    </w:p>
    <w:p w:rsidR="007F5C66" w:rsidP="007F5C66" w:rsidRDefault="007F5C66" w14:paraId="70FF5980" w14:textId="77777777">
      <w:pPr>
        <w:spacing w:line="276" w:lineRule="auto"/>
      </w:pPr>
      <w:r w:rsidRPr="00201601">
        <w:t>Klopt het dat sinds de beantwoording van eerdere Kamervragen</w:t>
      </w:r>
      <w:r>
        <w:rPr>
          <w:rStyle w:val="Voetnootmarkering"/>
        </w:rPr>
        <w:footnoteReference w:id="6"/>
      </w:r>
      <w:r w:rsidRPr="00201601">
        <w:t xml:space="preserve"> de situatie rond de Tent of Nations (d.d. 14 april 2025) is verergerd? Zo ja, op welke wijze?</w:t>
      </w:r>
    </w:p>
    <w:p w:rsidR="007F5C66" w:rsidP="007F5C66" w:rsidRDefault="007F5C66" w14:paraId="0F197A0A" w14:textId="77777777">
      <w:pPr>
        <w:spacing w:line="276" w:lineRule="auto"/>
      </w:pPr>
    </w:p>
    <w:p w:rsidR="007F5C66" w:rsidP="007F5C66" w:rsidRDefault="007F5C66" w14:paraId="5F6B92E5" w14:textId="77777777">
      <w:pPr>
        <w:spacing w:line="276" w:lineRule="auto"/>
      </w:pPr>
      <w:r w:rsidRPr="3F719366">
        <w:rPr>
          <w:b/>
          <w:bCs/>
        </w:rPr>
        <w:t>Antwoord</w:t>
      </w:r>
    </w:p>
    <w:p w:rsidR="007F5C66" w:rsidP="007F5C66" w:rsidRDefault="007F5C66" w14:paraId="3CEF3D0C" w14:textId="77777777">
      <w:pPr>
        <w:spacing w:line="276" w:lineRule="auto"/>
      </w:pPr>
      <w:r>
        <w:t xml:space="preserve">Ja. De nabijgelegen buitenpost is verder uitgebreid in de richting van het land van </w:t>
      </w:r>
      <w:r w:rsidRPr="509A3389">
        <w:rPr>
          <w:i/>
          <w:iCs/>
        </w:rPr>
        <w:t>Tent of Nations</w:t>
      </w:r>
      <w:r>
        <w:t xml:space="preserve">. Daarnaast is er een toename van intimidaties en </w:t>
      </w:r>
      <w:proofErr w:type="spellStart"/>
      <w:r>
        <w:t>incursies</w:t>
      </w:r>
      <w:proofErr w:type="spellEnd"/>
      <w:r>
        <w:t xml:space="preserve"> door kolonisten. </w:t>
      </w:r>
    </w:p>
    <w:p w:rsidR="007F5C66" w:rsidP="007F5C66" w:rsidRDefault="007F5C66" w14:paraId="4105D7BE" w14:textId="77777777">
      <w:pPr>
        <w:spacing w:line="276" w:lineRule="auto"/>
      </w:pPr>
    </w:p>
    <w:p w:rsidR="007F5C66" w:rsidP="007F5C66" w:rsidRDefault="007F5C66" w14:paraId="18325A75" w14:textId="77777777">
      <w:pPr>
        <w:spacing w:line="276" w:lineRule="auto"/>
      </w:pPr>
      <w:r w:rsidRPr="3F719366">
        <w:rPr>
          <w:b/>
          <w:bCs/>
        </w:rPr>
        <w:t>Vraag 13</w:t>
      </w:r>
    </w:p>
    <w:p w:rsidR="007F5C66" w:rsidP="007F5C66" w:rsidRDefault="007F5C66" w14:paraId="5EC50A73" w14:textId="77777777">
      <w:pPr>
        <w:spacing w:line="276" w:lineRule="auto"/>
      </w:pPr>
      <w:r>
        <w:lastRenderedPageBreak/>
        <w:t>Klopt het dat er inmiddels wegen en andere infrastructuur zijn aangelegd op het terrein van Tent of Nations? Klopt het dat deze infrastructuur door de rechter als illegaal is bestempeld en verwijderd moet worden? Waarom wordt er niet gehandhaafd en waar ligt dat aan?</w:t>
      </w:r>
    </w:p>
    <w:p w:rsidR="007F5C66" w:rsidP="007F5C66" w:rsidRDefault="007F5C66" w14:paraId="482ED6B6" w14:textId="77777777">
      <w:pPr>
        <w:spacing w:line="276" w:lineRule="auto"/>
      </w:pPr>
    </w:p>
    <w:p w:rsidR="007F5C66" w:rsidP="007F5C66" w:rsidRDefault="007F5C66" w14:paraId="47EFE466" w14:textId="77777777">
      <w:pPr>
        <w:spacing w:line="276" w:lineRule="auto"/>
      </w:pPr>
      <w:r w:rsidRPr="3F719366">
        <w:rPr>
          <w:b/>
          <w:bCs/>
        </w:rPr>
        <w:t>Antwoord</w:t>
      </w:r>
    </w:p>
    <w:p w:rsidR="007F5C66" w:rsidP="007F5C66" w:rsidRDefault="007F5C66" w14:paraId="591A068D" w14:textId="77777777">
      <w:pPr>
        <w:spacing w:line="276" w:lineRule="auto"/>
      </w:pPr>
      <w:r>
        <w:t xml:space="preserve">Ja. De Israëlische bezetting van de Palestijnse Gebieden, de nederzettingen aldaar en de daarmee gepaarde infrastructuur zijn onrechtmatig – dus ook de door kolonisten aangelegde infrastructuur nabij en op het land van </w:t>
      </w:r>
      <w:r w:rsidRPr="509A3389">
        <w:rPr>
          <w:i/>
          <w:iCs/>
        </w:rPr>
        <w:t>Tent of Nations</w:t>
      </w:r>
      <w:r>
        <w:t xml:space="preserve">. Daar komt bovenop dat ook de Israëlische rechter meermaals heeft geoordeeld dat de aangelegde infrastructuur op het land van </w:t>
      </w:r>
      <w:r w:rsidRPr="509A3389">
        <w:rPr>
          <w:i/>
          <w:iCs/>
        </w:rPr>
        <w:t>Tent of Nations</w:t>
      </w:r>
      <w:r>
        <w:t xml:space="preserve"> illegaal is en moet worden verwijderd. De Israëlische autoriteiten hebben tot op heden geen actie ondernomen naar aanleiding van deze uitspraken, hetgeen het kabinet afkeurt. Het kabinet kan niet speculeren over waarom deze rechterlijke uitspraken niet nageleefd worden.</w:t>
      </w:r>
    </w:p>
    <w:p w:rsidR="007F5C66" w:rsidP="007F5C66" w:rsidRDefault="007F5C66" w14:paraId="567A45D5" w14:textId="77777777">
      <w:pPr>
        <w:spacing w:line="276" w:lineRule="auto"/>
      </w:pPr>
    </w:p>
    <w:p w:rsidR="007F5C66" w:rsidP="007F5C66" w:rsidRDefault="007F5C66" w14:paraId="2BD5EAD3" w14:textId="77777777">
      <w:pPr>
        <w:spacing w:line="276" w:lineRule="auto"/>
      </w:pPr>
      <w:r w:rsidRPr="3F719366">
        <w:rPr>
          <w:b/>
          <w:bCs/>
        </w:rPr>
        <w:t>Vraag 14</w:t>
      </w:r>
    </w:p>
    <w:p w:rsidR="007F5C66" w:rsidP="007F5C66" w:rsidRDefault="007F5C66" w14:paraId="489E7073" w14:textId="77777777">
      <w:pPr>
        <w:spacing w:line="276" w:lineRule="auto"/>
      </w:pPr>
      <w:r>
        <w:t>Klopt het dat zolang de uitspraak van de rechter niet wordt nageleefd en de infrastructuur wordt verwijderd, de bewegingsvrijheid van de eigenaren van de Tent of Nations de facto wordt beperkt door deze ‘</w:t>
      </w:r>
      <w:proofErr w:type="spellStart"/>
      <w:r>
        <w:t>facts</w:t>
      </w:r>
      <w:proofErr w:type="spellEnd"/>
      <w:r>
        <w:t xml:space="preserve"> on </w:t>
      </w:r>
      <w:proofErr w:type="spellStart"/>
      <w:r>
        <w:t>the</w:t>
      </w:r>
      <w:proofErr w:type="spellEnd"/>
      <w:r>
        <w:t xml:space="preserve"> </w:t>
      </w:r>
      <w:proofErr w:type="spellStart"/>
      <w:r>
        <w:t>ground</w:t>
      </w:r>
      <w:proofErr w:type="spellEnd"/>
      <w:r>
        <w:t>’?</w:t>
      </w:r>
    </w:p>
    <w:p w:rsidR="007F5C66" w:rsidP="007F5C66" w:rsidRDefault="007F5C66" w14:paraId="014CD6C7" w14:textId="77777777">
      <w:pPr>
        <w:spacing w:line="276" w:lineRule="auto"/>
      </w:pPr>
      <w:r w:rsidRPr="3F719366">
        <w:rPr>
          <w:b/>
          <w:bCs/>
        </w:rPr>
        <w:t>Antwoord</w:t>
      </w:r>
    </w:p>
    <w:p w:rsidR="007F5C66" w:rsidP="007F5C66" w:rsidRDefault="007F5C66" w14:paraId="7BD85274" w14:textId="77777777">
      <w:pPr>
        <w:spacing w:line="276" w:lineRule="auto"/>
      </w:pPr>
      <w:r>
        <w:t>Ja.</w:t>
      </w:r>
    </w:p>
    <w:p w:rsidR="007F5C66" w:rsidP="007F5C66" w:rsidRDefault="007F5C66" w14:paraId="34E014E4" w14:textId="77777777">
      <w:pPr>
        <w:spacing w:line="276" w:lineRule="auto"/>
      </w:pPr>
    </w:p>
    <w:p w:rsidR="007F5C66" w:rsidP="007F5C66" w:rsidRDefault="007F5C66" w14:paraId="138E51A9" w14:textId="77777777">
      <w:pPr>
        <w:spacing w:line="276" w:lineRule="auto"/>
      </w:pPr>
      <w:r w:rsidRPr="3F719366">
        <w:rPr>
          <w:b/>
          <w:bCs/>
        </w:rPr>
        <w:t>Vraag 15</w:t>
      </w:r>
    </w:p>
    <w:p w:rsidR="007F5C66" w:rsidP="007F5C66" w:rsidRDefault="007F5C66" w14:paraId="55DF8A46" w14:textId="77777777">
      <w:pPr>
        <w:spacing w:line="276" w:lineRule="auto"/>
      </w:pPr>
      <w:r>
        <w:t xml:space="preserve">Klopt het dat er wooncontainers direct naast het land van de familie </w:t>
      </w:r>
      <w:proofErr w:type="spellStart"/>
      <w:r>
        <w:t>Nassar</w:t>
      </w:r>
      <w:proofErr w:type="spellEnd"/>
      <w:r>
        <w:t xml:space="preserve"> zijn geplaatst? Zo ja, is het rechtmatig dat deze daar staan? Zo nee, wat is uw inzet richting de Israëlische autoriteiten om te zorgen dat deze worden verwijderd?  </w:t>
      </w:r>
    </w:p>
    <w:p w:rsidR="007F5C66" w:rsidP="007F5C66" w:rsidRDefault="007F5C66" w14:paraId="7BC87D03" w14:textId="77777777">
      <w:pPr>
        <w:spacing w:line="276" w:lineRule="auto"/>
      </w:pPr>
    </w:p>
    <w:p w:rsidR="007F5C66" w:rsidP="007F5C66" w:rsidRDefault="007F5C66" w14:paraId="5570D745" w14:textId="77777777">
      <w:pPr>
        <w:spacing w:line="276" w:lineRule="auto"/>
      </w:pPr>
      <w:r w:rsidRPr="3F719366">
        <w:rPr>
          <w:b/>
          <w:bCs/>
        </w:rPr>
        <w:t>Vraag 16</w:t>
      </w:r>
    </w:p>
    <w:p w:rsidR="007F5C66" w:rsidP="007F5C66" w:rsidRDefault="007F5C66" w14:paraId="64FF6395" w14:textId="77777777">
      <w:pPr>
        <w:spacing w:line="276" w:lineRule="auto"/>
      </w:pPr>
      <w:r>
        <w:t>Hoe staat het met de lopende rechtszaak tussen de Israëlische regering en de eigenaren van de Tent of Nations? Is er zicht op een datum voor uitspraak? Kunt u hier de Israëlische autoriteiten op aanspreken dat er sprake lijkt te zijn van onnodige vertraging met ‘</w:t>
      </w:r>
      <w:proofErr w:type="spellStart"/>
      <w:r>
        <w:t>facts</w:t>
      </w:r>
      <w:proofErr w:type="spellEnd"/>
      <w:r>
        <w:t xml:space="preserve"> on </w:t>
      </w:r>
      <w:proofErr w:type="spellStart"/>
      <w:r>
        <w:t>the</w:t>
      </w:r>
      <w:proofErr w:type="spellEnd"/>
      <w:r>
        <w:t xml:space="preserve"> </w:t>
      </w:r>
      <w:proofErr w:type="spellStart"/>
      <w:r>
        <w:t>ground</w:t>
      </w:r>
      <w:proofErr w:type="spellEnd"/>
      <w:r>
        <w:t>’ tot gevolg? Welke andere stappen kan het kabinet zetten?</w:t>
      </w:r>
    </w:p>
    <w:p w:rsidR="007F5C66" w:rsidP="007F5C66" w:rsidRDefault="007F5C66" w14:paraId="349C2C16" w14:textId="77777777">
      <w:pPr>
        <w:spacing w:line="276" w:lineRule="auto"/>
      </w:pPr>
    </w:p>
    <w:p w:rsidR="007F5C66" w:rsidP="007F5C66" w:rsidRDefault="007F5C66" w14:paraId="6654237A" w14:textId="77777777">
      <w:pPr>
        <w:spacing w:line="276" w:lineRule="auto"/>
      </w:pPr>
      <w:r w:rsidRPr="3F719366">
        <w:rPr>
          <w:b/>
          <w:bCs/>
        </w:rPr>
        <w:t>Antwoord op vragen 15 en 16</w:t>
      </w:r>
    </w:p>
    <w:p w:rsidRPr="0046168A" w:rsidR="007F5C66" w:rsidP="007F5C66" w:rsidRDefault="007F5C66" w14:paraId="44E1F735" w14:textId="77777777">
      <w:pPr>
        <w:spacing w:line="276" w:lineRule="auto"/>
      </w:pPr>
      <w:r>
        <w:t xml:space="preserve">Zie het antwoord op vragen 11, 12 en 13. Er wordt nog altijd gewacht op een (datum voor) uitspraak in de landregistratiezaak van </w:t>
      </w:r>
      <w:r w:rsidRPr="509A3389">
        <w:rPr>
          <w:i/>
          <w:iCs/>
        </w:rPr>
        <w:t>Tent of Nations</w:t>
      </w:r>
      <w:r>
        <w:t xml:space="preserve">. Nederland blijft de zaak van </w:t>
      </w:r>
      <w:r w:rsidRPr="509A3389">
        <w:rPr>
          <w:i/>
          <w:iCs/>
        </w:rPr>
        <w:t>Tent of Nations</w:t>
      </w:r>
      <w:r>
        <w:t xml:space="preserve"> met regelmaat onder de aandacht brengen van de Israëlische autoriteiten, en wijst hen daarbij op hun verantwoordelijkheid om de familie </w:t>
      </w:r>
      <w:proofErr w:type="spellStart"/>
      <w:r>
        <w:t>Nassar</w:t>
      </w:r>
      <w:proofErr w:type="spellEnd"/>
      <w:r>
        <w:t>, hun land en hun gasten te beschermen. Dit gebeurt op politiek en ambtelijk niveau, zowel vanuit Den Haag als via de ambassade in Tel Aviv en vertegenwoordiging in Ramallah.</w:t>
      </w:r>
    </w:p>
    <w:p w:rsidRPr="0046168A" w:rsidR="007F5C66" w:rsidP="007F5C66" w:rsidRDefault="007F5C66" w14:paraId="2BD577B5" w14:textId="77777777">
      <w:pPr>
        <w:spacing w:line="276" w:lineRule="auto"/>
      </w:pPr>
    </w:p>
    <w:p w:rsidRPr="0046168A" w:rsidR="007F5C66" w:rsidP="007F5C66" w:rsidRDefault="007F5C66" w14:paraId="375E3139" w14:textId="77777777">
      <w:pPr>
        <w:spacing w:line="276" w:lineRule="auto"/>
      </w:pPr>
    </w:p>
    <w:p w:rsidR="007F5C66" w:rsidP="007F5C66" w:rsidRDefault="007F5C66" w14:paraId="339322B6" w14:textId="77777777">
      <w:pPr>
        <w:spacing w:line="276" w:lineRule="auto"/>
      </w:pPr>
    </w:p>
    <w:p w:rsidRPr="0046168A" w:rsidR="007F5C66" w:rsidP="007F5C66" w:rsidRDefault="007F5C66" w14:paraId="2EA77324" w14:textId="77777777">
      <w:pPr>
        <w:tabs>
          <w:tab w:val="left" w:pos="2370"/>
        </w:tabs>
        <w:spacing w:line="276" w:lineRule="auto"/>
      </w:pPr>
      <w:r>
        <w:tab/>
      </w:r>
    </w:p>
    <w:p w:rsidR="002B50F3" w:rsidRDefault="002B50F3" w14:paraId="68F8E971" w14:textId="77777777"/>
    <w:sectPr w:rsidR="002B50F3" w:rsidSect="007F5C6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971A" w14:textId="77777777" w:rsidR="007F5C66" w:rsidRDefault="007F5C66" w:rsidP="007F5C66">
      <w:pPr>
        <w:spacing w:after="0" w:line="240" w:lineRule="auto"/>
      </w:pPr>
      <w:r>
        <w:separator/>
      </w:r>
    </w:p>
  </w:endnote>
  <w:endnote w:type="continuationSeparator" w:id="0">
    <w:p w14:paraId="427EFBE1" w14:textId="77777777" w:rsidR="007F5C66" w:rsidRDefault="007F5C66" w:rsidP="007F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9F06" w14:textId="77777777" w:rsidR="007F5C66" w:rsidRPr="007F5C66" w:rsidRDefault="007F5C66" w:rsidP="007F5C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2766" w14:textId="77777777" w:rsidR="007F5C66" w:rsidRPr="007F5C66" w:rsidRDefault="007F5C66" w:rsidP="007F5C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75FF" w14:textId="77777777" w:rsidR="007F5C66" w:rsidRPr="007F5C66" w:rsidRDefault="007F5C66" w:rsidP="007F5C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F8B1" w14:textId="77777777" w:rsidR="007F5C66" w:rsidRDefault="007F5C66" w:rsidP="007F5C66">
      <w:pPr>
        <w:spacing w:after="0" w:line="240" w:lineRule="auto"/>
      </w:pPr>
      <w:r>
        <w:separator/>
      </w:r>
    </w:p>
  </w:footnote>
  <w:footnote w:type="continuationSeparator" w:id="0">
    <w:p w14:paraId="2546E160" w14:textId="77777777" w:rsidR="007F5C66" w:rsidRDefault="007F5C66" w:rsidP="007F5C66">
      <w:pPr>
        <w:spacing w:after="0" w:line="240" w:lineRule="auto"/>
      </w:pPr>
      <w:r>
        <w:continuationSeparator/>
      </w:r>
    </w:p>
  </w:footnote>
  <w:footnote w:id="1">
    <w:p w14:paraId="3092D8E4" w14:textId="77777777" w:rsidR="007F5C66" w:rsidRPr="0046168A" w:rsidRDefault="007F5C66" w:rsidP="007F5C66">
      <w:pPr>
        <w:pStyle w:val="Voetnoottekst"/>
        <w:rPr>
          <w:sz w:val="16"/>
          <w:szCs w:val="16"/>
          <w:lang w:val="en-US"/>
        </w:rPr>
      </w:pPr>
      <w:r w:rsidRPr="0046168A">
        <w:rPr>
          <w:rStyle w:val="Voetnootmarkering"/>
          <w:sz w:val="16"/>
          <w:szCs w:val="16"/>
        </w:rPr>
        <w:footnoteRef/>
      </w:r>
      <w:r w:rsidRPr="0046168A">
        <w:rPr>
          <w:sz w:val="16"/>
          <w:szCs w:val="16"/>
          <w:lang w:val="en-US"/>
        </w:rPr>
        <w:t xml:space="preserve"> The Times of Israel, 31 </w:t>
      </w:r>
      <w:proofErr w:type="spellStart"/>
      <w:r w:rsidRPr="0046168A">
        <w:rPr>
          <w:sz w:val="16"/>
          <w:szCs w:val="16"/>
          <w:lang w:val="en-US"/>
        </w:rPr>
        <w:t>maart</w:t>
      </w:r>
      <w:proofErr w:type="spellEnd"/>
      <w:r w:rsidRPr="0046168A">
        <w:rPr>
          <w:sz w:val="16"/>
          <w:szCs w:val="16"/>
          <w:lang w:val="en-US"/>
        </w:rPr>
        <w:t xml:space="preserve"> 2026, 'Knesset passes death penalty law for Palestinians convicted of deadly acts of terror' (https://www.timesofisrael.com/knesset-passes-death-penalty-law-for-palestinians-convicted-of-deadly-acts-of-terror/)</w:t>
      </w:r>
    </w:p>
  </w:footnote>
  <w:footnote w:id="2">
    <w:p w14:paraId="0C97607F" w14:textId="77777777" w:rsidR="007F5C66" w:rsidRPr="00D94E34" w:rsidRDefault="007F5C66" w:rsidP="007F5C66">
      <w:pPr>
        <w:pStyle w:val="Voetnoottekst"/>
        <w:rPr>
          <w:sz w:val="16"/>
          <w:szCs w:val="16"/>
          <w:lang w:val="en-US"/>
        </w:rPr>
      </w:pPr>
      <w:r w:rsidRPr="00D94E34">
        <w:rPr>
          <w:rStyle w:val="Voetnootmarkering"/>
          <w:sz w:val="16"/>
          <w:szCs w:val="16"/>
        </w:rPr>
        <w:footnoteRef/>
      </w:r>
      <w:r w:rsidRPr="00D94E34">
        <w:rPr>
          <w:sz w:val="16"/>
          <w:szCs w:val="16"/>
          <w:lang w:val="en-US"/>
        </w:rPr>
        <w:t xml:space="preserve"> </w:t>
      </w:r>
      <w:proofErr w:type="spellStart"/>
      <w:r w:rsidRPr="00D94E34">
        <w:rPr>
          <w:sz w:val="16"/>
          <w:szCs w:val="16"/>
          <w:lang w:val="en-US"/>
        </w:rPr>
        <w:t>Kamerstuk</w:t>
      </w:r>
      <w:proofErr w:type="spellEnd"/>
      <w:r w:rsidRPr="00D94E34">
        <w:rPr>
          <w:sz w:val="16"/>
          <w:szCs w:val="16"/>
          <w:lang w:val="en-US"/>
        </w:rPr>
        <w:t xml:space="preserve"> </w:t>
      </w:r>
      <w:r w:rsidRPr="00D841DE">
        <w:rPr>
          <w:sz w:val="16"/>
          <w:szCs w:val="16"/>
          <w:lang w:val="en-US"/>
        </w:rPr>
        <w:t>32 735, nr. 428.</w:t>
      </w:r>
    </w:p>
  </w:footnote>
  <w:footnote w:id="3">
    <w:p w14:paraId="265DAE6C" w14:textId="77777777" w:rsidR="007F5C66" w:rsidRPr="00363C62" w:rsidRDefault="007F5C66" w:rsidP="007F5C66">
      <w:pPr>
        <w:pStyle w:val="Voetnoottekst"/>
        <w:rPr>
          <w:sz w:val="16"/>
          <w:szCs w:val="16"/>
        </w:rPr>
      </w:pPr>
      <w:r w:rsidRPr="00D94E34">
        <w:rPr>
          <w:rStyle w:val="Voetnootmarkering"/>
          <w:sz w:val="16"/>
          <w:szCs w:val="16"/>
        </w:rPr>
        <w:footnoteRef/>
      </w:r>
      <w:r w:rsidRPr="00D94E34">
        <w:rPr>
          <w:sz w:val="16"/>
          <w:szCs w:val="16"/>
          <w:lang w:val="en-US"/>
        </w:rPr>
        <w:t xml:space="preserve"> </w:t>
      </w:r>
      <w:proofErr w:type="spellStart"/>
      <w:r w:rsidRPr="00D94E34">
        <w:rPr>
          <w:sz w:val="16"/>
          <w:szCs w:val="16"/>
          <w:lang w:val="en-US"/>
        </w:rPr>
        <w:t>Mensenrechtencomité</w:t>
      </w:r>
      <w:proofErr w:type="spellEnd"/>
      <w:r w:rsidRPr="00D94E34">
        <w:rPr>
          <w:sz w:val="16"/>
          <w:szCs w:val="16"/>
          <w:lang w:val="en-US"/>
        </w:rPr>
        <w:t>, General Comment No</w:t>
      </w:r>
      <w:r w:rsidRPr="00363C62">
        <w:rPr>
          <w:sz w:val="16"/>
          <w:szCs w:val="16"/>
          <w:lang w:val="en-US"/>
        </w:rPr>
        <w:t xml:space="preserve">. 36 (Right to life), CCPR/C/GC/36, para. </w:t>
      </w:r>
      <w:r w:rsidRPr="0039506C">
        <w:rPr>
          <w:sz w:val="16"/>
          <w:szCs w:val="16"/>
        </w:rPr>
        <w:t>41.</w:t>
      </w:r>
    </w:p>
  </w:footnote>
  <w:footnote w:id="4">
    <w:p w14:paraId="72F9273E" w14:textId="77777777" w:rsidR="007F5C66" w:rsidRPr="00BF1DEC" w:rsidRDefault="007F5C66" w:rsidP="007F5C66">
      <w:pPr>
        <w:pStyle w:val="Voetnoottekst"/>
        <w:rPr>
          <w:sz w:val="16"/>
          <w:szCs w:val="16"/>
        </w:rPr>
      </w:pPr>
      <w:r w:rsidRPr="0046168A">
        <w:rPr>
          <w:rStyle w:val="Voetnootmarkering"/>
          <w:sz w:val="16"/>
          <w:szCs w:val="16"/>
        </w:rPr>
        <w:footnoteRef/>
      </w:r>
      <w:r w:rsidRPr="0046168A">
        <w:rPr>
          <w:sz w:val="16"/>
          <w:szCs w:val="16"/>
        </w:rPr>
        <w:t xml:space="preserve"> </w:t>
      </w:r>
      <w:proofErr w:type="spellStart"/>
      <w:r w:rsidRPr="0046168A">
        <w:rPr>
          <w:sz w:val="16"/>
          <w:szCs w:val="16"/>
        </w:rPr>
        <w:t>Cvandaag</w:t>
      </w:r>
      <w:proofErr w:type="spellEnd"/>
      <w:r w:rsidRPr="0046168A">
        <w:rPr>
          <w:sz w:val="16"/>
          <w:szCs w:val="16"/>
        </w:rPr>
        <w:t>, 31 maart 2026, 'Priester in christelijk dorp op Westelijke Jordaanoever uit zorgen over kolonistenaanvallen' (https://cvandaag.nl/109632-priester-in-christelijk-dorp-op-westelijke-jordaanoever-uit-zorgen-over-kolonistenaanvallen)</w:t>
      </w:r>
    </w:p>
  </w:footnote>
  <w:footnote w:id="5">
    <w:p w14:paraId="5B6376B3" w14:textId="77777777" w:rsidR="007F5C66" w:rsidRPr="00BF1DEC" w:rsidRDefault="007F5C66" w:rsidP="007F5C66">
      <w:pPr>
        <w:pStyle w:val="Voetnoottekst"/>
        <w:rPr>
          <w:sz w:val="16"/>
          <w:szCs w:val="16"/>
        </w:rPr>
      </w:pPr>
      <w:r w:rsidRPr="0046168A">
        <w:rPr>
          <w:rStyle w:val="Voetnootmarkering"/>
          <w:sz w:val="16"/>
          <w:szCs w:val="16"/>
        </w:rPr>
        <w:footnoteRef/>
      </w:r>
      <w:r w:rsidRPr="0046168A">
        <w:rPr>
          <w:sz w:val="16"/>
          <w:szCs w:val="16"/>
        </w:rPr>
        <w:t xml:space="preserve"> Aanhangsel Handelingen II, 2024-2025, nr. 2919.</w:t>
      </w:r>
    </w:p>
  </w:footnote>
  <w:footnote w:id="6">
    <w:p w14:paraId="11CD9090" w14:textId="77777777" w:rsidR="007F5C66" w:rsidRPr="00BF1DEC" w:rsidRDefault="007F5C66" w:rsidP="007F5C66">
      <w:pPr>
        <w:pStyle w:val="Voetnoottekst"/>
        <w:rPr>
          <w:sz w:val="16"/>
          <w:szCs w:val="16"/>
        </w:rPr>
      </w:pPr>
      <w:r w:rsidRPr="0046168A">
        <w:rPr>
          <w:rStyle w:val="Voetnootmarkering"/>
          <w:sz w:val="16"/>
          <w:szCs w:val="16"/>
        </w:rPr>
        <w:footnoteRef/>
      </w:r>
      <w:r w:rsidRPr="0046168A">
        <w:rPr>
          <w:sz w:val="16"/>
          <w:szCs w:val="16"/>
        </w:rPr>
        <w:t xml:space="preserve"> Aanhangsel Handelingen II, 2024-2025, nr. 1948.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4953" w14:textId="77777777" w:rsidR="007F5C66" w:rsidRPr="007F5C66" w:rsidRDefault="007F5C66" w:rsidP="007F5C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312A" w14:textId="77777777" w:rsidR="007F5C66" w:rsidRPr="007F5C66" w:rsidRDefault="007F5C66" w:rsidP="007F5C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23D" w14:textId="77777777" w:rsidR="007F5C66" w:rsidRPr="007F5C66" w:rsidRDefault="007F5C66" w:rsidP="007F5C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6"/>
    <w:rsid w:val="002B50F3"/>
    <w:rsid w:val="007F5C66"/>
    <w:rsid w:val="00D72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7F5D"/>
  <w15:chartTrackingRefBased/>
  <w15:docId w15:val="{9D4E688A-8917-4D7A-A288-4F7DC62F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5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5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5C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5C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5C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5C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C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C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C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C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5C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5C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5C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5C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5C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C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C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C66"/>
    <w:rPr>
      <w:rFonts w:eastAsiaTheme="majorEastAsia" w:cstheme="majorBidi"/>
      <w:color w:val="272727" w:themeColor="text1" w:themeTint="D8"/>
    </w:rPr>
  </w:style>
  <w:style w:type="paragraph" w:styleId="Titel">
    <w:name w:val="Title"/>
    <w:basedOn w:val="Standaard"/>
    <w:next w:val="Standaard"/>
    <w:link w:val="TitelChar"/>
    <w:uiPriority w:val="10"/>
    <w:qFormat/>
    <w:rsid w:val="007F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C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C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C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C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C66"/>
    <w:rPr>
      <w:i/>
      <w:iCs/>
      <w:color w:val="404040" w:themeColor="text1" w:themeTint="BF"/>
    </w:rPr>
  </w:style>
  <w:style w:type="paragraph" w:styleId="Lijstalinea">
    <w:name w:val="List Paragraph"/>
    <w:basedOn w:val="Standaard"/>
    <w:uiPriority w:val="34"/>
    <w:qFormat/>
    <w:rsid w:val="007F5C66"/>
    <w:pPr>
      <w:ind w:left="720"/>
      <w:contextualSpacing/>
    </w:pPr>
  </w:style>
  <w:style w:type="character" w:styleId="Intensievebenadrukking">
    <w:name w:val="Intense Emphasis"/>
    <w:basedOn w:val="Standaardalinea-lettertype"/>
    <w:uiPriority w:val="21"/>
    <w:qFormat/>
    <w:rsid w:val="007F5C66"/>
    <w:rPr>
      <w:i/>
      <w:iCs/>
      <w:color w:val="2F5496" w:themeColor="accent1" w:themeShade="BF"/>
    </w:rPr>
  </w:style>
  <w:style w:type="paragraph" w:styleId="Duidelijkcitaat">
    <w:name w:val="Intense Quote"/>
    <w:basedOn w:val="Standaard"/>
    <w:next w:val="Standaard"/>
    <w:link w:val="DuidelijkcitaatChar"/>
    <w:uiPriority w:val="30"/>
    <w:qFormat/>
    <w:rsid w:val="007F5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5C66"/>
    <w:rPr>
      <w:i/>
      <w:iCs/>
      <w:color w:val="2F5496" w:themeColor="accent1" w:themeShade="BF"/>
    </w:rPr>
  </w:style>
  <w:style w:type="character" w:styleId="Intensieveverwijzing">
    <w:name w:val="Intense Reference"/>
    <w:basedOn w:val="Standaardalinea-lettertype"/>
    <w:uiPriority w:val="32"/>
    <w:qFormat/>
    <w:rsid w:val="007F5C66"/>
    <w:rPr>
      <w:b/>
      <w:bCs/>
      <w:smallCaps/>
      <w:color w:val="2F5496" w:themeColor="accent1" w:themeShade="BF"/>
      <w:spacing w:val="5"/>
    </w:rPr>
  </w:style>
  <w:style w:type="paragraph" w:customStyle="1" w:styleId="Referentiegegevens">
    <w:name w:val="Referentiegegevens"/>
    <w:basedOn w:val="Standaard"/>
    <w:next w:val="Standaard"/>
    <w:uiPriority w:val="9"/>
    <w:qFormat/>
    <w:rsid w:val="007F5C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F5C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F5C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5C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F5C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5C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5C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F5C6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F5C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5C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5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1771</ap:Words>
  <ap:Characters>9746</ap:Characters>
  <ap:DocSecurity>0</ap:DocSecurity>
  <ap:Lines>81</ap:Lines>
  <ap:Paragraphs>22</ap:Paragraphs>
  <ap:ScaleCrop>false</ap:ScaleCrop>
  <ap:LinksUpToDate>false</ap:LinksUpToDate>
  <ap:CharactersWithSpaces>11495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2026-04-20T11:05:00.0000000Z</dcterms:created>
  <dcterms:modified xsi:type="dcterms:W3CDTF">2026-04-20T11:05:00.0000000Z</dcterms:modified>
  <version/>
  <category/>
</coreProperties>
</file>