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74BD" w:rsidR="00985C3E" w:rsidRDefault="00672CEF" w14:paraId="1A7EE803" w14:textId="23D147E1">
      <w:r w:rsidRPr="00E374BD">
        <w:t>Bij brief van 12 februari 2026 heeft de vaste commissie voor Justitie en Veiligheid van uw Kamer mij verzocht om een brief over het juridisch kader en de reikwijdte van Kamermotie</w:t>
      </w:r>
      <w:r w:rsidRPr="00E374BD" w:rsidR="007276AE">
        <w:t>s</w:t>
      </w:r>
      <w:r w:rsidRPr="00E374BD">
        <w:t>. Dit naar aanleiding van het arrest van de Hoge Raad van 10 februari 2026 in de zaak “</w:t>
      </w:r>
      <w:proofErr w:type="spellStart"/>
      <w:r w:rsidRPr="00E374BD">
        <w:t>Vidar</w:t>
      </w:r>
      <w:proofErr w:type="spellEnd"/>
      <w:r w:rsidRPr="00E374BD">
        <w:t xml:space="preserve">”, waarin de Hoge Raad is ingegaan op de juridische betekenis van </w:t>
      </w:r>
      <w:r w:rsidRPr="00E374BD" w:rsidR="007276AE">
        <w:t xml:space="preserve">twee </w:t>
      </w:r>
      <w:r w:rsidRPr="00E374BD">
        <w:t>door de Tweede Kamer aangenomen moties met betrekking tot de inzet van criminele burgerinfiltranten in het kader van de toepassing van artikel 126w van het Wetboek van Strafvorderin</w:t>
      </w:r>
      <w:r w:rsidRPr="00E374BD" w:rsidR="001642B2">
        <w:t>g (Sv)</w:t>
      </w:r>
      <w:r w:rsidRPr="00E374BD">
        <w:t>.</w:t>
      </w:r>
      <w:r w:rsidRPr="00E374BD" w:rsidR="00B464F4">
        <w:rPr>
          <w:rStyle w:val="Voetnootmarkering"/>
        </w:rPr>
        <w:footnoteReference w:id="1"/>
      </w:r>
      <w:r w:rsidRPr="00E374BD">
        <w:t xml:space="preserve"> Met deze brief voldoe ik aan genoemd verzoek.</w:t>
      </w:r>
    </w:p>
    <w:p w:rsidRPr="00E374BD" w:rsidR="00672CEF" w:rsidRDefault="00672CEF" w14:paraId="18C18180" w14:textId="77777777"/>
    <w:p w:rsidRPr="00E374BD" w:rsidR="00EB745D" w:rsidRDefault="001642B2" w14:paraId="2F8582A9" w14:textId="75C63AB9">
      <w:r w:rsidRPr="00E374BD">
        <w:t>In de zaak “</w:t>
      </w:r>
      <w:proofErr w:type="spellStart"/>
      <w:r w:rsidRPr="00E374BD">
        <w:t>Vidar</w:t>
      </w:r>
      <w:proofErr w:type="spellEnd"/>
      <w:r w:rsidRPr="00E374BD">
        <w:t xml:space="preserve">” lag bij de Hoge Raad primair de rechtsvraag voor of artikel 126w </w:t>
      </w:r>
      <w:r w:rsidRPr="00E374BD" w:rsidR="007276AE">
        <w:t xml:space="preserve">Sv </w:t>
      </w:r>
      <w:r w:rsidRPr="00E374BD">
        <w:t xml:space="preserve">een toereikende wettelijke grondslag bood voor </w:t>
      </w:r>
      <w:r w:rsidRPr="00E374BD" w:rsidR="006261BB">
        <w:t xml:space="preserve">het in deze zaak in de jaren 2019 en 2020 door het </w:t>
      </w:r>
      <w:r w:rsidRPr="00E374BD" w:rsidR="00B464F4">
        <w:t>O</w:t>
      </w:r>
      <w:r w:rsidRPr="00E374BD" w:rsidR="006261BB">
        <w:t xml:space="preserve">penbaar </w:t>
      </w:r>
      <w:r w:rsidRPr="00E374BD" w:rsidR="00B464F4">
        <w:t>M</w:t>
      </w:r>
      <w:r w:rsidRPr="00E374BD" w:rsidR="006261BB">
        <w:t xml:space="preserve">inisterie inzetten </w:t>
      </w:r>
      <w:r w:rsidRPr="00E374BD">
        <w:t xml:space="preserve">van een criminele </w:t>
      </w:r>
      <w:proofErr w:type="spellStart"/>
      <w:r w:rsidRPr="00E374BD">
        <w:t>burgerinfitrant</w:t>
      </w:r>
      <w:proofErr w:type="spellEnd"/>
      <w:r w:rsidRPr="00E374BD">
        <w:t xml:space="preserve">. Door de verdachte was in cassatie aangevoerd dat deze grondslag ontbrak, </w:t>
      </w:r>
      <w:r w:rsidRPr="00E374BD" w:rsidR="00F438A5">
        <w:t xml:space="preserve">omdat de Tweede Kamer in 1998 </w:t>
      </w:r>
      <w:r w:rsidRPr="00E374BD">
        <w:t xml:space="preserve">bij de parlementaire behandeling van het wetsvoorstel </w:t>
      </w:r>
      <w:r w:rsidRPr="00E374BD" w:rsidR="008847D5">
        <w:t xml:space="preserve">Wet bijzondere </w:t>
      </w:r>
      <w:proofErr w:type="spellStart"/>
      <w:r w:rsidRPr="00E374BD" w:rsidR="008847D5">
        <w:t>opsporingsbevoedheden</w:t>
      </w:r>
      <w:proofErr w:type="spellEnd"/>
      <w:r w:rsidRPr="00E374BD" w:rsidR="008847D5">
        <w:t xml:space="preserve">, </w:t>
      </w:r>
      <w:r w:rsidRPr="00E374BD">
        <w:t>dat heeft geleid tot artikel 126w Sv</w:t>
      </w:r>
      <w:r w:rsidRPr="00E374BD" w:rsidR="008847D5">
        <w:t>,</w:t>
      </w:r>
      <w:r w:rsidRPr="00E374BD">
        <w:t xml:space="preserve"> </w:t>
      </w:r>
      <w:r w:rsidRPr="00E374BD" w:rsidR="00F438A5">
        <w:t>een zogeheten “spreekt</w:t>
      </w:r>
      <w:r w:rsidRPr="00E374BD" w:rsidR="00735890">
        <w:t xml:space="preserve"> </w:t>
      </w:r>
      <w:r w:rsidRPr="00E374BD" w:rsidR="00F438A5">
        <w:t>uit</w:t>
      </w:r>
      <w:r w:rsidRPr="00E374BD" w:rsidR="00735890">
        <w:t>-</w:t>
      </w:r>
      <w:r w:rsidRPr="00E374BD" w:rsidR="00F438A5">
        <w:t xml:space="preserve">motie” van het lid </w:t>
      </w:r>
      <w:proofErr w:type="spellStart"/>
      <w:r w:rsidRPr="00E374BD" w:rsidR="00F438A5">
        <w:t>Kalsbeek</w:t>
      </w:r>
      <w:proofErr w:type="spellEnd"/>
      <w:r w:rsidRPr="00E374BD" w:rsidR="00F438A5">
        <w:t>-Jasperse had aan</w:t>
      </w:r>
      <w:r w:rsidRPr="00E374BD" w:rsidR="00735890">
        <w:t>genomen</w:t>
      </w:r>
      <w:r w:rsidRPr="00E374BD" w:rsidR="00F438A5">
        <w:t>, waa</w:t>
      </w:r>
      <w:r w:rsidRPr="00E374BD" w:rsidR="00735890">
        <w:t>rin werd uitgesproken “dat met criminele burgerinfiltranten</w:t>
      </w:r>
      <w:r w:rsidRPr="00E374BD" w:rsidR="00965D75">
        <w:t xml:space="preserve"> </w:t>
      </w:r>
      <w:r w:rsidRPr="00E374BD" w:rsidR="00735890">
        <w:t>niet dient te worden gewerkt en dat voor de politie en het Openbaar Ministerie een verbod geldt op het inzetten van criminele burgerinfiltranten</w:t>
      </w:r>
      <w:r w:rsidRPr="00E374BD" w:rsidR="007276AE">
        <w:t>”</w:t>
      </w:r>
      <w:r w:rsidRPr="00E374BD" w:rsidR="00735890">
        <w:t>.</w:t>
      </w:r>
      <w:r w:rsidRPr="00E374BD" w:rsidR="007276AE">
        <w:rPr>
          <w:rStyle w:val="Voetnootmarkering"/>
        </w:rPr>
        <w:footnoteReference w:id="2"/>
      </w:r>
      <w:r w:rsidRPr="00E374BD" w:rsidR="00735890">
        <w:t xml:space="preserve"> Verder was in cassatie aangevoerd dat het gerechtshof had moeten nagaan of bij de inzet van de criminele burgerinfiltrant</w:t>
      </w:r>
      <w:r w:rsidRPr="00E374BD" w:rsidR="008847D5">
        <w:t xml:space="preserve"> in deze zaak was voldaan aan de (aanvullende) eisen zoals die zijn verwoord in een door de Tweede Kamer in 2014 aangenomen motie van de leden </w:t>
      </w:r>
      <w:proofErr w:type="spellStart"/>
      <w:r w:rsidRPr="00E374BD" w:rsidR="008847D5">
        <w:t>Recourt</w:t>
      </w:r>
      <w:proofErr w:type="spellEnd"/>
      <w:r w:rsidRPr="00E374BD" w:rsidR="008847D5">
        <w:t xml:space="preserve"> c.s., waarin </w:t>
      </w:r>
      <w:r w:rsidRPr="00E374BD" w:rsidR="00A60940">
        <w:t>(in zoverre dus terugkomend op de</w:t>
      </w:r>
      <w:r w:rsidRPr="00E374BD" w:rsidR="007276AE">
        <w:t xml:space="preserve"> </w:t>
      </w:r>
      <w:r w:rsidRPr="00E374BD" w:rsidR="00A60940">
        <w:t>Kameruitspraak in de motie-</w:t>
      </w:r>
      <w:proofErr w:type="spellStart"/>
      <w:r w:rsidRPr="00E374BD" w:rsidR="00A60940">
        <w:t>Kalsbeek</w:t>
      </w:r>
      <w:proofErr w:type="spellEnd"/>
      <w:r w:rsidRPr="00E374BD" w:rsidR="00A60940">
        <w:t>-Jas</w:t>
      </w:r>
      <w:r w:rsidRPr="00E374BD" w:rsidR="007276AE">
        <w:t>p</w:t>
      </w:r>
      <w:r w:rsidRPr="00E374BD" w:rsidR="00A60940">
        <w:t>erse) werd</w:t>
      </w:r>
      <w:r w:rsidRPr="00E374BD" w:rsidR="008847D5">
        <w:t xml:space="preserve"> overwogen dat in hoge uitzonderingsgevallen en onder strikte waarborgen gewerkt moet kunnen worden met </w:t>
      </w:r>
      <w:r w:rsidRPr="00E374BD" w:rsidR="00A60940">
        <w:t>i</w:t>
      </w:r>
      <w:r w:rsidRPr="00E374BD" w:rsidR="008847D5">
        <w:t>nzet van een criminele burgerinfiltrant.</w:t>
      </w:r>
      <w:r w:rsidRPr="00E374BD" w:rsidR="007276AE">
        <w:rPr>
          <w:rStyle w:val="Voetnootmarkering"/>
        </w:rPr>
        <w:footnoteReference w:id="3"/>
      </w:r>
    </w:p>
    <w:p w:rsidRPr="00E374BD" w:rsidR="00965D75" w:rsidRDefault="00965D75" w14:paraId="18773ED3" w14:textId="77777777"/>
    <w:p w:rsidRPr="00E374BD" w:rsidR="008847D5" w:rsidRDefault="008847D5" w14:paraId="1FD46CEE" w14:textId="2561A9B7">
      <w:r w:rsidRPr="00E374BD">
        <w:t>In het genoemde arrest overw</w:t>
      </w:r>
      <w:r w:rsidRPr="00E374BD" w:rsidR="006261BB">
        <w:t>eegt</w:t>
      </w:r>
      <w:r w:rsidRPr="00E374BD">
        <w:t xml:space="preserve"> de Hoge Raad dat de tekst van artikel 126w Sv</w:t>
      </w:r>
      <w:r w:rsidRPr="00E374BD" w:rsidR="007567BC">
        <w:rPr>
          <w:rStyle w:val="Voetnootmarkering"/>
        </w:rPr>
        <w:footnoteReference w:id="4"/>
      </w:r>
      <w:r w:rsidRPr="00E374BD">
        <w:t xml:space="preserve"> niet de beperking stelt dat het de officier van justitie niet zou zijn toegestaan om toepassing te </w:t>
      </w:r>
      <w:r w:rsidRPr="00E374BD" w:rsidR="006261BB">
        <w:t xml:space="preserve">geven </w:t>
      </w:r>
      <w:r w:rsidRPr="00E374BD">
        <w:t xml:space="preserve">aan </w:t>
      </w:r>
      <w:r w:rsidRPr="00E374BD" w:rsidR="00C248A7">
        <w:t xml:space="preserve">daarin geregelde </w:t>
      </w:r>
      <w:r w:rsidRPr="00E374BD">
        <w:t xml:space="preserve">bevoegdheid </w:t>
      </w:r>
      <w:r w:rsidRPr="00E374BD" w:rsidR="006261BB">
        <w:t>ten aanzien van een “criminele burgerinfiltrant”</w:t>
      </w:r>
      <w:r w:rsidRPr="00E374BD" w:rsidR="00C248A7">
        <w:t xml:space="preserve"> en dat voor de toepassing van deze bepaling uitsluitend van belang is dat het gaat om een persoon die geen opsporingsambtenaar is</w:t>
      </w:r>
      <w:r w:rsidRPr="00E374BD" w:rsidR="006261BB">
        <w:t>. Wat de twee genoemde moties betreft, acht de Hoge Raad “daarbij van belang dat deze de (</w:t>
      </w:r>
      <w:proofErr w:type="spellStart"/>
      <w:r w:rsidRPr="00E374BD" w:rsidR="006261BB">
        <w:t>meerderheids</w:t>
      </w:r>
      <w:proofErr w:type="spellEnd"/>
      <w:r w:rsidRPr="00E374BD" w:rsidR="006261BB">
        <w:t xml:space="preserve">)opvatting van de Tweede Kamer op twee verschillende momenten in de tijd tot uitdrukking brengen over de vraag of, en zo ja, onder welke voorwaarden door de politie en het </w:t>
      </w:r>
      <w:r w:rsidRPr="00E374BD" w:rsidR="00B464F4">
        <w:t>O</w:t>
      </w:r>
      <w:r w:rsidRPr="00E374BD" w:rsidR="006261BB">
        <w:t xml:space="preserve">penbaar </w:t>
      </w:r>
      <w:r w:rsidRPr="00E374BD" w:rsidR="00B464F4">
        <w:t>M</w:t>
      </w:r>
      <w:r w:rsidRPr="00E374BD" w:rsidR="006261BB">
        <w:t>inisterie toepassing zou mogen worden gegeven aan de bevoegdheid die artikel 126w Sv biedt om een burgerinfiltrant in te zetten”. Naar het oordeel van de Hoge Raad brengt het samenstel van deze moties niet met zich dat dat</w:t>
      </w:r>
      <w:r w:rsidRPr="00E374BD" w:rsidR="00A60940">
        <w:t xml:space="preserve"> bij </w:t>
      </w:r>
      <w:r w:rsidRPr="00E374BD" w:rsidR="006261BB">
        <w:t xml:space="preserve">de toepassing van artikel 126w </w:t>
      </w:r>
      <w:r w:rsidRPr="00E374BD" w:rsidR="00606ADE">
        <w:t>S</w:t>
      </w:r>
      <w:r w:rsidRPr="00E374BD" w:rsidR="006261BB">
        <w:t xml:space="preserve">v in </w:t>
      </w:r>
      <w:r w:rsidRPr="00E374BD" w:rsidR="00606ADE">
        <w:t xml:space="preserve">deze zaak </w:t>
      </w:r>
      <w:r w:rsidRPr="00E374BD" w:rsidR="002E04F6">
        <w:t>d</w:t>
      </w:r>
      <w:r w:rsidRPr="00E374BD" w:rsidR="000E68C3">
        <w:t xml:space="preserve">e wettelijke grondslag – in weerwil van de tekst van artikel 126w </w:t>
      </w:r>
      <w:r w:rsidRPr="00E374BD" w:rsidR="00965D75">
        <w:t>S</w:t>
      </w:r>
      <w:r w:rsidRPr="00E374BD" w:rsidR="000E68C3">
        <w:t>v – ontbrak.</w:t>
      </w:r>
    </w:p>
    <w:p w:rsidRPr="00E374BD" w:rsidR="000E68C3" w:rsidRDefault="000E68C3" w14:paraId="27B6D7DA" w14:textId="77777777"/>
    <w:p w:rsidRPr="00E374BD" w:rsidR="000E68C3" w:rsidRDefault="002B3196" w14:paraId="4C947980" w14:textId="08BED109">
      <w:r w:rsidRPr="00E374BD">
        <w:t xml:space="preserve">De rechtbank en het gerechtshof </w:t>
      </w:r>
      <w:r w:rsidRPr="00E374BD" w:rsidR="00816F71">
        <w:t xml:space="preserve">oordeelden </w:t>
      </w:r>
      <w:r w:rsidRPr="00E374BD">
        <w:t xml:space="preserve">in deze zaak eerder in soortgelijke zin. </w:t>
      </w:r>
      <w:r w:rsidRPr="00E374BD" w:rsidR="000E68C3">
        <w:t xml:space="preserve">De Hoge Raad volgt in zijn arrest </w:t>
      </w:r>
      <w:r w:rsidRPr="00E374BD">
        <w:t xml:space="preserve">ook </w:t>
      </w:r>
      <w:r w:rsidRPr="00E374BD" w:rsidR="000E68C3">
        <w:t xml:space="preserve">de </w:t>
      </w:r>
      <w:r w:rsidRPr="00E374BD" w:rsidR="00816F71">
        <w:t>a</w:t>
      </w:r>
      <w:r w:rsidRPr="00E374BD" w:rsidR="000E68C3">
        <w:t>dvocaat-</w:t>
      </w:r>
      <w:r w:rsidRPr="00E374BD" w:rsidR="00816F71">
        <w:t>g</w:t>
      </w:r>
      <w:r w:rsidRPr="00E374BD" w:rsidR="000E68C3">
        <w:t>eneraal, die in haar conclusie</w:t>
      </w:r>
      <w:r w:rsidRPr="00E374BD" w:rsidR="00816F71">
        <w:t xml:space="preserve"> </w:t>
      </w:r>
      <w:r w:rsidRPr="00E374BD" w:rsidR="000E68C3">
        <w:t xml:space="preserve">uitvoerig is ingegaan op </w:t>
      </w:r>
      <w:r w:rsidRPr="00E374BD">
        <w:t>interpretatiemethoden door de rechter</w:t>
      </w:r>
      <w:r w:rsidRPr="00E374BD" w:rsidR="00816F71">
        <w:t xml:space="preserve">, waaronder </w:t>
      </w:r>
      <w:r w:rsidRPr="00E374BD">
        <w:t>wetshistori</w:t>
      </w:r>
      <w:r w:rsidRPr="00E374BD" w:rsidR="00816F71">
        <w:t>s</w:t>
      </w:r>
      <w:r w:rsidRPr="00E374BD">
        <w:t>che interpretatie</w:t>
      </w:r>
      <w:r w:rsidRPr="00E374BD" w:rsidR="00816F71">
        <w:t>,</w:t>
      </w:r>
      <w:r w:rsidRPr="00E374BD">
        <w:t xml:space="preserve"> en </w:t>
      </w:r>
      <w:r w:rsidRPr="00E374BD" w:rsidR="000E68C3">
        <w:t>de juridische betekenis van aangenomen Kamermoties in het algemeen en de twee genoemde moties in het bijzonder.</w:t>
      </w:r>
      <w:r w:rsidRPr="00E374BD" w:rsidR="00B464F4">
        <w:rPr>
          <w:rStyle w:val="Voetnootmarkering"/>
        </w:rPr>
        <w:footnoteReference w:id="5"/>
      </w:r>
      <w:r w:rsidRPr="00E374BD">
        <w:t xml:space="preserve"> </w:t>
      </w:r>
      <w:r w:rsidRPr="00E374BD" w:rsidR="00816F71">
        <w:t>Onder verwijzing naar staatsrechtelijke literatuur merkt de advocaat-generaal op dat een motie is te omschrijven als een uitingsinstrument van de Kamer</w:t>
      </w:r>
      <w:r w:rsidRPr="00E374BD" w:rsidR="00965D75">
        <w:t xml:space="preserve"> waarin een oordeel of verlangen kenbaar wordt gemaakt ten aanzien van een minister of het kabinet</w:t>
      </w:r>
      <w:r w:rsidRPr="00E374BD" w:rsidR="00816F71">
        <w:t>, dat een tijdens het wetgevingsproces aangenomen motie een standpunt kan bevatten over de uitleg van een (onderdeel van een) wettelijke bepaling en dat een motie juridisch niet bindend is voor de regering (of anderen) maar wel vanwege de vertrouwensregel een zekere politieke betekenis heeft</w:t>
      </w:r>
      <w:r w:rsidRPr="00E374BD" w:rsidR="00965D75">
        <w:t>, waarbij geldt dat een motie van wantrouwen in zoverre als bindend moet worden opgevat dat aanvaarding daarvan de vertrouwensregel activeert</w:t>
      </w:r>
      <w:r w:rsidRPr="00E374BD" w:rsidR="00816F71">
        <w:t xml:space="preserve">. </w:t>
      </w:r>
    </w:p>
    <w:p w:rsidRPr="00E374BD" w:rsidR="00816F71" w:rsidRDefault="00816F71" w14:paraId="3B45C408" w14:textId="77777777"/>
    <w:p w:rsidRPr="00E374BD" w:rsidR="00965D75" w:rsidRDefault="00816F71" w14:paraId="415E2A64" w14:textId="77777777">
      <w:r w:rsidRPr="00E374BD">
        <w:t xml:space="preserve">Ik acht de beschouwingen van de advocaat-generaal goed navolgbaar. </w:t>
      </w:r>
      <w:r w:rsidRPr="00E374BD" w:rsidR="00E3369A">
        <w:t>Cruciaal</w:t>
      </w:r>
      <w:r w:rsidRPr="00E374BD">
        <w:t xml:space="preserve"> lijkt mij te zijn dat </w:t>
      </w:r>
      <w:r w:rsidRPr="00E374BD" w:rsidR="00606ADE">
        <w:t xml:space="preserve">als men </w:t>
      </w:r>
      <w:r w:rsidRPr="00E374BD" w:rsidR="00E3369A">
        <w:t>destijds bij de behandeling van het wetsvoorstel Wet bijzondere opsporingsbevoegdheden i</w:t>
      </w:r>
      <w:r w:rsidRPr="00E374BD">
        <w:t>n juridische zin</w:t>
      </w:r>
      <w:r w:rsidRPr="00E374BD" w:rsidR="00E3369A">
        <w:t xml:space="preserve"> </w:t>
      </w:r>
      <w:r w:rsidRPr="00E374BD">
        <w:t xml:space="preserve">een verbod op de inzet van criminele burgerinfiltranten </w:t>
      </w:r>
      <w:r w:rsidRPr="00E374BD" w:rsidR="00E3369A">
        <w:t xml:space="preserve">had </w:t>
      </w:r>
      <w:r w:rsidRPr="00E374BD" w:rsidR="00606ADE">
        <w:t>willen bewerkstelligen</w:t>
      </w:r>
      <w:r w:rsidRPr="00E374BD" w:rsidR="00E3369A">
        <w:t xml:space="preserve">, dit had gemoeten via een uitdrukkelijke wijziging van </w:t>
      </w:r>
      <w:r w:rsidRPr="00E374BD" w:rsidR="00606ADE">
        <w:t>de wettekst</w:t>
      </w:r>
      <w:r w:rsidRPr="00E374BD" w:rsidR="00E3369A">
        <w:t>. Een daartoe strekkend initiatief vanuit de Tweede Kamer had dan, zoals ook aangegeven door het gerechtshof in deze zaak, de vorm moeten krijgen van een amendement, niet van een motie.</w:t>
      </w:r>
    </w:p>
    <w:p w:rsidRPr="00E374BD" w:rsidR="00672CEF" w:rsidRDefault="00E3369A" w14:paraId="3B26D54B" w14:textId="0E071931">
      <w:r w:rsidRPr="00E374BD">
        <w:t xml:space="preserve"> </w:t>
      </w:r>
    </w:p>
    <w:p w:rsidRPr="00E374BD" w:rsidR="00B464F4" w:rsidRDefault="00B464F4" w14:paraId="562E9DF0" w14:textId="77777777"/>
    <w:p w:rsidRPr="00E374BD" w:rsidR="00B464F4" w:rsidRDefault="00B464F4" w14:paraId="72B98B8E" w14:textId="77777777"/>
    <w:p w:rsidRPr="00E374BD" w:rsidR="00B464F4" w:rsidRDefault="00B464F4" w14:paraId="52283D1C" w14:textId="77777777"/>
    <w:p w:rsidRPr="00E374BD" w:rsidR="00B464F4" w:rsidRDefault="00B464F4" w14:paraId="3495C402" w14:textId="77777777"/>
    <w:p w:rsidRPr="00E374BD" w:rsidR="00B464F4" w:rsidRDefault="00B464F4" w14:paraId="79934173" w14:textId="77777777"/>
    <w:p w:rsidRPr="00E374BD" w:rsidR="00B464F4" w:rsidRDefault="00B464F4" w14:paraId="1A128362" w14:textId="77777777"/>
    <w:p w:rsidRPr="00E374BD" w:rsidR="00B464F4" w:rsidRDefault="00B464F4" w14:paraId="69920DC8" w14:textId="77777777"/>
    <w:p w:rsidRPr="00E374BD" w:rsidR="00B464F4" w:rsidRDefault="00B464F4" w14:paraId="43F08154" w14:textId="77777777"/>
    <w:p w:rsidRPr="00E374BD" w:rsidR="00B464F4" w:rsidRDefault="00B464F4" w14:paraId="5F7D9411" w14:textId="77777777"/>
    <w:p w:rsidRPr="00E374BD" w:rsidR="00B464F4" w:rsidRDefault="00B464F4" w14:paraId="561C5C50" w14:textId="77777777"/>
    <w:p w:rsidRPr="00E374BD" w:rsidR="00B464F4" w:rsidRDefault="00B464F4" w14:paraId="534BE809" w14:textId="77777777"/>
    <w:p w:rsidRPr="00E374BD" w:rsidR="00B464F4" w:rsidRDefault="00B464F4" w14:paraId="17B1C48C" w14:textId="77777777"/>
    <w:p w:rsidRPr="00E374BD" w:rsidR="00B464F4" w:rsidRDefault="00B464F4" w14:paraId="0D7EABBE" w14:textId="77777777"/>
    <w:p w:rsidRPr="00E374BD" w:rsidR="00B464F4" w:rsidRDefault="00B464F4" w14:paraId="45FD0E6F" w14:textId="77777777"/>
    <w:p w:rsidRPr="00E374BD" w:rsidR="00B464F4" w:rsidRDefault="00B464F4" w14:paraId="0C48BD2D" w14:textId="77777777"/>
    <w:p w:rsidRPr="00E374BD" w:rsidR="00B464F4" w:rsidRDefault="00B464F4" w14:paraId="3254038C" w14:textId="77777777"/>
    <w:p w:rsidRPr="00E374BD" w:rsidR="004C5991" w:rsidRDefault="00A60940" w14:paraId="55DF5DE1" w14:textId="1E217675">
      <w:r w:rsidRPr="00E374BD">
        <w:t xml:space="preserve">Dat een aangenomen motie van een andere orde is dan een aangenomen amendement, ziet men overigens ook </w:t>
      </w:r>
      <w:r w:rsidRPr="00E374BD" w:rsidR="004C5991">
        <w:t xml:space="preserve">terug </w:t>
      </w:r>
      <w:r w:rsidRPr="00E374BD">
        <w:t xml:space="preserve">in uitspraken van andere rechtscolleges </w:t>
      </w:r>
      <w:r w:rsidRPr="00E374BD" w:rsidR="006A7775">
        <w:t xml:space="preserve">in ons Koninkrijk </w:t>
      </w:r>
      <w:r w:rsidRPr="00E374BD" w:rsidR="004C5991">
        <w:t>en op andere rechtsterreinen, waarbij wel moet worden aangetekend dat rechterlijke uitspraken over de betekenis van aangenomen Kamermoties dun zijn gezaaid</w:t>
      </w:r>
      <w:r w:rsidRPr="00E374BD">
        <w:t xml:space="preserve">. </w:t>
      </w:r>
      <w:r w:rsidRPr="00E374BD" w:rsidR="004C5991">
        <w:t xml:space="preserve">Een </w:t>
      </w:r>
      <w:r w:rsidRPr="00E374BD" w:rsidR="002E04F6">
        <w:t xml:space="preserve">recent </w:t>
      </w:r>
      <w:r w:rsidRPr="00E374BD" w:rsidR="0062237E">
        <w:t>v</w:t>
      </w:r>
      <w:r w:rsidRPr="00E374BD" w:rsidR="004C5991">
        <w:t xml:space="preserve">oorbeeld is de uitspraak van de </w:t>
      </w:r>
      <w:r w:rsidRPr="00E374BD">
        <w:t>Afdeling bestuursrechtspraak van 10 september 2025</w:t>
      </w:r>
      <w:r w:rsidRPr="00E374BD" w:rsidR="0062237E">
        <w:t>, w</w:t>
      </w:r>
      <w:r w:rsidRPr="00E374BD" w:rsidR="004C5991">
        <w:t>aarin de Afdeling overwoog</w:t>
      </w:r>
      <w:r w:rsidRPr="00E374BD">
        <w:t xml:space="preserve"> dat </w:t>
      </w:r>
      <w:r w:rsidRPr="00E374BD" w:rsidR="006A7775">
        <w:t xml:space="preserve">met de </w:t>
      </w:r>
      <w:r w:rsidRPr="00E374BD">
        <w:t xml:space="preserve">door de Tweede Kamer aangenomen motie </w:t>
      </w:r>
      <w:r w:rsidRPr="00E374BD" w:rsidR="006A7775">
        <w:t>waarin de regering is verzocht om niet langer door te procederen</w:t>
      </w:r>
      <w:r w:rsidRPr="00E374BD" w:rsidR="0062237E">
        <w:t xml:space="preserve"> </w:t>
      </w:r>
      <w:r w:rsidRPr="00E374BD" w:rsidR="006A7775">
        <w:t>tegen gedupeerden van de gaswinning</w:t>
      </w:r>
      <w:r w:rsidRPr="00E374BD" w:rsidR="002F16BA">
        <w:t>,</w:t>
      </w:r>
      <w:r w:rsidRPr="00E374BD" w:rsidR="0062237E">
        <w:rPr>
          <w:rStyle w:val="Voetnootmarkering"/>
        </w:rPr>
        <w:footnoteReference w:id="6"/>
      </w:r>
      <w:r w:rsidRPr="00E374BD" w:rsidR="006A7775">
        <w:t xml:space="preserve"> de uit artikel 8:104, tweede lid, van de Algemene wet bestuursrecht voortvloeiende bevoegdheid van het Instituut Mijnbouwschade Groningen om hoger beroep in te stellen tegen een uitspraak van de rechtbank, niet kan worden beperkt.</w:t>
      </w:r>
      <w:r w:rsidRPr="00E374BD" w:rsidR="0062237E">
        <w:rPr>
          <w:rStyle w:val="Voetnootmarkering"/>
        </w:rPr>
        <w:footnoteReference w:id="7"/>
      </w:r>
    </w:p>
    <w:p w:rsidRPr="00E374BD" w:rsidR="004C5991" w:rsidRDefault="004C5991" w14:paraId="1E06B5A3" w14:textId="77777777"/>
    <w:p w:rsidRPr="00E374BD" w:rsidR="00BE718F" w:rsidRDefault="00BE718F" w14:paraId="5CEC380F" w14:textId="77777777"/>
    <w:p w:rsidRPr="00E374BD" w:rsidR="00985C3E" w:rsidRDefault="00672CEF" w14:paraId="7A01A642" w14:textId="353FE9EE">
      <w:r w:rsidRPr="00E374BD">
        <w:t>De Minister van Justitie en Veiligheid,</w:t>
      </w:r>
    </w:p>
    <w:p w:rsidRPr="00E374BD" w:rsidR="00672CEF" w:rsidRDefault="00672CEF" w14:paraId="00BD6C1A" w14:textId="77777777"/>
    <w:p w:rsidRPr="00E374BD" w:rsidR="00672CEF" w:rsidRDefault="00672CEF" w14:paraId="68BBADB7" w14:textId="77777777"/>
    <w:p w:rsidRPr="00E374BD" w:rsidR="00672CEF" w:rsidRDefault="00672CEF" w14:paraId="536E3937" w14:textId="77777777"/>
    <w:p w:rsidRPr="00E374BD" w:rsidR="00985C3E" w:rsidRDefault="00985C3E" w14:paraId="2C543806" w14:textId="77777777"/>
    <w:p w:rsidR="00985C3E" w:rsidRDefault="001C73AC" w14:paraId="3CC50C55" w14:textId="5C18D585">
      <w:r w:rsidRPr="00E374BD">
        <w:t>D.M. van Weel</w:t>
      </w:r>
    </w:p>
    <w:sectPr w:rsidR="00985C3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8A42" w14:textId="77777777" w:rsidR="00912AC7" w:rsidRDefault="00912AC7">
      <w:pPr>
        <w:spacing w:line="240" w:lineRule="auto"/>
      </w:pPr>
      <w:r>
        <w:separator/>
      </w:r>
    </w:p>
  </w:endnote>
  <w:endnote w:type="continuationSeparator" w:id="0">
    <w:p w14:paraId="2DE79876" w14:textId="77777777" w:rsidR="00912AC7" w:rsidRDefault="00912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4A8C" w14:textId="77777777" w:rsidR="00985C3E" w:rsidRDefault="00985C3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BE54" w14:textId="77777777" w:rsidR="00912AC7" w:rsidRDefault="00912AC7">
      <w:pPr>
        <w:spacing w:line="240" w:lineRule="auto"/>
      </w:pPr>
      <w:r>
        <w:separator/>
      </w:r>
    </w:p>
  </w:footnote>
  <w:footnote w:type="continuationSeparator" w:id="0">
    <w:p w14:paraId="452AF88D" w14:textId="77777777" w:rsidR="00912AC7" w:rsidRDefault="00912AC7">
      <w:pPr>
        <w:spacing w:line="240" w:lineRule="auto"/>
      </w:pPr>
      <w:r>
        <w:continuationSeparator/>
      </w:r>
    </w:p>
  </w:footnote>
  <w:footnote w:id="1">
    <w:p w14:paraId="2EBF3E88" w14:textId="2837643A" w:rsidR="00B464F4" w:rsidRPr="00B464F4" w:rsidRDefault="00B464F4">
      <w:pPr>
        <w:pStyle w:val="Voetnoottekst"/>
        <w:rPr>
          <w:sz w:val="16"/>
          <w:szCs w:val="16"/>
        </w:rPr>
      </w:pPr>
      <w:r w:rsidRPr="00B464F4">
        <w:rPr>
          <w:rStyle w:val="Voetnootmarkering"/>
          <w:sz w:val="16"/>
          <w:szCs w:val="16"/>
        </w:rPr>
        <w:footnoteRef/>
      </w:r>
      <w:r w:rsidRPr="00B464F4">
        <w:rPr>
          <w:sz w:val="16"/>
          <w:szCs w:val="16"/>
        </w:rPr>
        <w:t xml:space="preserve"> ECLI:NL:HR:2026:178</w:t>
      </w:r>
      <w:r>
        <w:rPr>
          <w:sz w:val="16"/>
          <w:szCs w:val="16"/>
        </w:rPr>
        <w:t>.</w:t>
      </w:r>
    </w:p>
  </w:footnote>
  <w:footnote w:id="2">
    <w:p w14:paraId="2873A183" w14:textId="1A573D9F" w:rsidR="007276AE" w:rsidRPr="00B464F4" w:rsidRDefault="007276AE">
      <w:pPr>
        <w:pStyle w:val="Voetnoottekst"/>
        <w:rPr>
          <w:rFonts w:cs="Times New Roman"/>
          <w:sz w:val="16"/>
          <w:szCs w:val="16"/>
        </w:rPr>
      </w:pPr>
      <w:r w:rsidRPr="00B464F4">
        <w:rPr>
          <w:rStyle w:val="Voetnootmarkering"/>
          <w:rFonts w:cs="Times New Roman"/>
          <w:sz w:val="16"/>
          <w:szCs w:val="16"/>
        </w:rPr>
        <w:footnoteRef/>
      </w:r>
      <w:r w:rsidRPr="00B464F4">
        <w:rPr>
          <w:rFonts w:cs="Times New Roman"/>
          <w:sz w:val="16"/>
          <w:szCs w:val="16"/>
        </w:rPr>
        <w:t xml:space="preserve"> </w:t>
      </w:r>
      <w:r w:rsidRPr="00B464F4">
        <w:rPr>
          <w:rFonts w:cs="Times New Roman"/>
          <w:i/>
          <w:iCs/>
          <w:sz w:val="16"/>
          <w:szCs w:val="16"/>
        </w:rPr>
        <w:t xml:space="preserve">Kamerstukken II </w:t>
      </w:r>
      <w:r w:rsidRPr="00B464F4">
        <w:rPr>
          <w:rFonts w:cs="Times New Roman"/>
          <w:sz w:val="16"/>
          <w:szCs w:val="16"/>
        </w:rPr>
        <w:t>1998/99, 25403 en 23251, nr. 33.</w:t>
      </w:r>
    </w:p>
  </w:footnote>
  <w:footnote w:id="3">
    <w:p w14:paraId="46232CC4" w14:textId="76C1BC51" w:rsidR="007276AE" w:rsidRPr="00B464F4" w:rsidRDefault="007276AE">
      <w:pPr>
        <w:pStyle w:val="Voetnoottekst"/>
        <w:rPr>
          <w:rFonts w:cs="Times New Roman"/>
          <w:sz w:val="16"/>
          <w:szCs w:val="16"/>
        </w:rPr>
      </w:pPr>
      <w:r w:rsidRPr="00B464F4">
        <w:rPr>
          <w:rStyle w:val="Voetnootmarkering"/>
          <w:rFonts w:cs="Times New Roman"/>
          <w:sz w:val="16"/>
          <w:szCs w:val="16"/>
        </w:rPr>
        <w:footnoteRef/>
      </w:r>
      <w:r w:rsidRPr="00B464F4">
        <w:rPr>
          <w:rFonts w:cs="Times New Roman"/>
          <w:sz w:val="16"/>
          <w:szCs w:val="16"/>
        </w:rPr>
        <w:t xml:space="preserve"> </w:t>
      </w:r>
      <w:r w:rsidRPr="00B464F4">
        <w:rPr>
          <w:rFonts w:cs="Times New Roman"/>
          <w:i/>
          <w:iCs/>
          <w:sz w:val="16"/>
          <w:szCs w:val="16"/>
        </w:rPr>
        <w:t xml:space="preserve">Kamerstukken II </w:t>
      </w:r>
      <w:r w:rsidRPr="00B464F4">
        <w:rPr>
          <w:rFonts w:cs="Times New Roman"/>
          <w:sz w:val="16"/>
          <w:szCs w:val="16"/>
        </w:rPr>
        <w:t>2013/14, 29279, nr. 192.</w:t>
      </w:r>
    </w:p>
  </w:footnote>
  <w:footnote w:id="4">
    <w:p w14:paraId="504DB580" w14:textId="12238076" w:rsidR="007567BC" w:rsidRPr="00B464F4" w:rsidRDefault="007567BC">
      <w:pPr>
        <w:pStyle w:val="Voetnoottekst"/>
        <w:rPr>
          <w:rFonts w:cs="Times New Roman"/>
          <w:sz w:val="16"/>
          <w:szCs w:val="16"/>
        </w:rPr>
      </w:pPr>
      <w:r w:rsidRPr="00B464F4">
        <w:rPr>
          <w:rStyle w:val="Voetnootmarkering"/>
          <w:rFonts w:cs="Times New Roman"/>
          <w:sz w:val="16"/>
          <w:szCs w:val="16"/>
        </w:rPr>
        <w:footnoteRef/>
      </w:r>
      <w:r w:rsidRPr="00B464F4">
        <w:rPr>
          <w:rFonts w:cs="Times New Roman"/>
          <w:sz w:val="16"/>
          <w:szCs w:val="16"/>
        </w:rPr>
        <w:t xml:space="preserve"> In het bijzonder lid 1, luidende: “</w:t>
      </w:r>
      <w:r w:rsidR="00C248A7" w:rsidRPr="00B464F4">
        <w:rPr>
          <w:rFonts w:cs="Times New Roman"/>
          <w:sz w:val="16"/>
          <w:szCs w:val="16"/>
        </w:rPr>
        <w:t>1. In een geval als bedoeld in artikel 126h, eerste lid, kan de officier van justitie, indien het onderzoek dit dringend vordert, met een persoon die geen opsporingsambtenaar is, overeenkomen dat deze bijstand verleent aan de opsporing door deel te nemen aan of medewerking te verlenen aan een groep van personen waarbinnen naar redelijkerwijs kan worden vermoed misdrijven worden beraamd of gepleegd.”</w:t>
      </w:r>
    </w:p>
  </w:footnote>
  <w:footnote w:id="5">
    <w:p w14:paraId="78DCD0A5" w14:textId="2FACC2C5" w:rsidR="00B464F4" w:rsidRPr="00B464F4" w:rsidRDefault="00B464F4">
      <w:pPr>
        <w:pStyle w:val="Voetnoottekst"/>
        <w:rPr>
          <w:sz w:val="16"/>
          <w:szCs w:val="16"/>
        </w:rPr>
      </w:pPr>
      <w:r w:rsidRPr="00B464F4">
        <w:rPr>
          <w:rStyle w:val="Voetnootmarkering"/>
          <w:sz w:val="16"/>
          <w:szCs w:val="16"/>
        </w:rPr>
        <w:footnoteRef/>
      </w:r>
      <w:r w:rsidRPr="00B464F4">
        <w:rPr>
          <w:sz w:val="16"/>
          <w:szCs w:val="16"/>
        </w:rPr>
        <w:t xml:space="preserve"> ECLI:NL:PHR:2025:706.</w:t>
      </w:r>
    </w:p>
  </w:footnote>
  <w:footnote w:id="6">
    <w:p w14:paraId="24D90185" w14:textId="3DF7E5E6" w:rsidR="0062237E" w:rsidRPr="00B464F4" w:rsidRDefault="0062237E">
      <w:pPr>
        <w:pStyle w:val="Voetnoottekst"/>
        <w:rPr>
          <w:rFonts w:cs="Times New Roman"/>
          <w:sz w:val="16"/>
          <w:szCs w:val="16"/>
        </w:rPr>
      </w:pPr>
      <w:r w:rsidRPr="00B464F4">
        <w:rPr>
          <w:rStyle w:val="Voetnootmarkering"/>
          <w:rFonts w:cs="Times New Roman"/>
          <w:sz w:val="16"/>
          <w:szCs w:val="16"/>
        </w:rPr>
        <w:footnoteRef/>
      </w:r>
      <w:r w:rsidRPr="00B464F4">
        <w:rPr>
          <w:rFonts w:cs="Times New Roman"/>
          <w:sz w:val="16"/>
          <w:szCs w:val="16"/>
        </w:rPr>
        <w:t xml:space="preserve"> Gedoeld werd op de </w:t>
      </w:r>
      <w:r w:rsidR="007276AE" w:rsidRPr="00B464F4">
        <w:rPr>
          <w:rFonts w:cs="Times New Roman"/>
          <w:sz w:val="16"/>
          <w:szCs w:val="16"/>
        </w:rPr>
        <w:t>op 5 december 2024 door de Tweede Kamer aanvaarde motie-Beckerman/</w:t>
      </w:r>
      <w:proofErr w:type="spellStart"/>
      <w:r w:rsidR="007276AE" w:rsidRPr="00B464F4">
        <w:rPr>
          <w:rFonts w:cs="Times New Roman"/>
          <w:sz w:val="16"/>
          <w:szCs w:val="16"/>
        </w:rPr>
        <w:t>Bushoff</w:t>
      </w:r>
      <w:proofErr w:type="spellEnd"/>
      <w:r w:rsidR="007276AE" w:rsidRPr="00B464F4">
        <w:rPr>
          <w:rFonts w:cs="Times New Roman"/>
          <w:sz w:val="16"/>
          <w:szCs w:val="16"/>
        </w:rPr>
        <w:t xml:space="preserve"> (</w:t>
      </w:r>
      <w:r w:rsidR="007276AE" w:rsidRPr="00B464F4">
        <w:rPr>
          <w:rFonts w:cs="Times New Roman"/>
          <w:i/>
          <w:iCs/>
          <w:sz w:val="16"/>
          <w:szCs w:val="16"/>
        </w:rPr>
        <w:t>Kamerstukken II</w:t>
      </w:r>
      <w:r w:rsidR="007276AE" w:rsidRPr="00B464F4">
        <w:rPr>
          <w:rFonts w:cs="Times New Roman"/>
          <w:sz w:val="16"/>
          <w:szCs w:val="16"/>
        </w:rPr>
        <w:t xml:space="preserve"> 2024/25, 36600 VII, nr. 97).</w:t>
      </w:r>
    </w:p>
  </w:footnote>
  <w:footnote w:id="7">
    <w:p w14:paraId="09A3FCF8" w14:textId="10335BC8" w:rsidR="0062237E" w:rsidRPr="00B464F4" w:rsidRDefault="0062237E">
      <w:pPr>
        <w:pStyle w:val="Voetnoottekst"/>
        <w:rPr>
          <w:rFonts w:cs="Times New Roman"/>
          <w:sz w:val="16"/>
          <w:szCs w:val="16"/>
        </w:rPr>
      </w:pPr>
      <w:r w:rsidRPr="00B464F4">
        <w:rPr>
          <w:rStyle w:val="Voetnootmarkering"/>
          <w:rFonts w:cs="Times New Roman"/>
          <w:sz w:val="16"/>
          <w:szCs w:val="16"/>
        </w:rPr>
        <w:footnoteRef/>
      </w:r>
      <w:r w:rsidRPr="00B464F4">
        <w:rPr>
          <w:rFonts w:cs="Times New Roman"/>
          <w:sz w:val="16"/>
          <w:szCs w:val="16"/>
        </w:rPr>
        <w:t xml:space="preserve"> </w:t>
      </w:r>
      <w:r w:rsidR="00B464F4" w:rsidRPr="00B464F4">
        <w:rPr>
          <w:rFonts w:cs="Times New Roman"/>
          <w:sz w:val="16"/>
          <w:szCs w:val="16"/>
        </w:rPr>
        <w:t>ECLI:NL:RVS:2025:4320</w:t>
      </w:r>
      <w:r w:rsidR="00B464F4">
        <w:rPr>
          <w:rFonts w:cs="Times New Roman"/>
          <w:sz w:val="16"/>
          <w:szCs w:val="16"/>
        </w:rPr>
        <w:t xml:space="preserve">. </w:t>
      </w:r>
      <w:r w:rsidRPr="00B464F4">
        <w:rPr>
          <w:rFonts w:cs="Times New Roman"/>
          <w:sz w:val="16"/>
          <w:szCs w:val="16"/>
        </w:rPr>
        <w:t xml:space="preserve">Andere voorbeelden: </w:t>
      </w:r>
      <w:proofErr w:type="spellStart"/>
      <w:r w:rsidRPr="00B464F4">
        <w:rPr>
          <w:rFonts w:cs="Times New Roman"/>
          <w:sz w:val="16"/>
          <w:szCs w:val="16"/>
        </w:rPr>
        <w:t>ABRvS</w:t>
      </w:r>
      <w:proofErr w:type="spellEnd"/>
      <w:r w:rsidRPr="00B464F4">
        <w:rPr>
          <w:rFonts w:cs="Times New Roman"/>
          <w:sz w:val="16"/>
          <w:szCs w:val="16"/>
        </w:rPr>
        <w:t xml:space="preserve"> 13 februari 2007, ECLI:NL:RVS:2007:AZ9574; Gerecht in eerste aanleg van Sint Maarten 23 maart 2021, ECLI:NL:OGEAM:2021:30.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8DCE" w14:textId="77777777" w:rsidR="00985C3E" w:rsidRDefault="001C73AC">
    <w:r>
      <w:rPr>
        <w:noProof/>
      </w:rPr>
      <mc:AlternateContent>
        <mc:Choice Requires="wps">
          <w:drawing>
            <wp:anchor distT="0" distB="0" distL="0" distR="0" simplePos="0" relativeHeight="251652608" behindDoc="0" locked="1" layoutInCell="1" allowOverlap="1" wp14:anchorId="2E9F7F3D" wp14:editId="1AD0BDE9">
              <wp:simplePos x="0" y="0"/>
              <wp:positionH relativeFrom="page">
                <wp:posOffset>5924550</wp:posOffset>
              </wp:positionH>
              <wp:positionV relativeFrom="margin">
                <wp:align>top</wp:align>
              </wp:positionV>
              <wp:extent cx="1277620" cy="8038465"/>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38465"/>
                      </a:xfrm>
                      <a:prstGeom prst="rect">
                        <a:avLst/>
                      </a:prstGeom>
                      <a:noFill/>
                    </wps:spPr>
                    <wps:txbx>
                      <w:txbxContent>
                        <w:p w14:paraId="3A58E703" w14:textId="77777777" w:rsidR="00985C3E" w:rsidRPr="00BE718F" w:rsidRDefault="001C73AC">
                          <w:pPr>
                            <w:pStyle w:val="Referentiegegevens"/>
                            <w:rPr>
                              <w:b/>
                              <w:bCs/>
                            </w:rPr>
                          </w:pPr>
                          <w:r w:rsidRPr="00BE718F">
                            <w:rPr>
                              <w:b/>
                              <w:bCs/>
                            </w:rPr>
                            <w:t>Directie Wetgeving en Juridische Zaken</w:t>
                          </w:r>
                        </w:p>
                        <w:p w14:paraId="7FA33621" w14:textId="77777777" w:rsidR="00985C3E" w:rsidRDefault="001C73AC">
                          <w:pPr>
                            <w:pStyle w:val="Referentiegegevens"/>
                          </w:pPr>
                          <w:r>
                            <w:t>Sector Staats- en bestuursrecht</w:t>
                          </w:r>
                        </w:p>
                        <w:p w14:paraId="33607A3D" w14:textId="77777777" w:rsidR="00985C3E" w:rsidRDefault="00985C3E">
                          <w:pPr>
                            <w:pStyle w:val="WitregelW2"/>
                          </w:pPr>
                        </w:p>
                        <w:p w14:paraId="173E3F85" w14:textId="77777777" w:rsidR="00985C3E" w:rsidRDefault="001C73AC">
                          <w:pPr>
                            <w:pStyle w:val="Referentiegegevensbold"/>
                          </w:pPr>
                          <w:r>
                            <w:t>Datum</w:t>
                          </w:r>
                        </w:p>
                        <w:p w14:paraId="4A177E20" w14:textId="5B739824" w:rsidR="00985C3E" w:rsidRDefault="00B464F4">
                          <w:pPr>
                            <w:pStyle w:val="Referentiegegevens"/>
                          </w:pPr>
                          <w:r>
                            <w:t>20</w:t>
                          </w:r>
                          <w:r w:rsidR="00BE718F">
                            <w:t xml:space="preserve"> april 2026</w:t>
                          </w:r>
                        </w:p>
                        <w:p w14:paraId="024E5CEF" w14:textId="77777777" w:rsidR="00985C3E" w:rsidRDefault="00985C3E">
                          <w:pPr>
                            <w:pStyle w:val="WitregelW1"/>
                          </w:pPr>
                        </w:p>
                        <w:p w14:paraId="134FDEFF" w14:textId="77777777" w:rsidR="00985C3E" w:rsidRDefault="001C73AC">
                          <w:pPr>
                            <w:pStyle w:val="Referentiegegevensbold"/>
                          </w:pPr>
                          <w:r>
                            <w:t>Onze referentie</w:t>
                          </w:r>
                        </w:p>
                        <w:p w14:paraId="7A2A8985" w14:textId="77777777" w:rsidR="00985C3E" w:rsidRDefault="001C73AC">
                          <w:pPr>
                            <w:pStyle w:val="Referentiegegevens"/>
                          </w:pPr>
                          <w:r>
                            <w:t>7502437</w:t>
                          </w: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2E9F7F3D" id="_x0000_t202" coordsize="21600,21600" o:spt="202" path="m,l,21600r21600,l21600,xe">
              <v:stroke joinstyle="miter"/>
              <v:path gradientshapeok="t" o:connecttype="rect"/>
            </v:shapetype>
            <v:shape id="46fef022-aa3c-11ea-a756-beb5f67e67be" o:spid="_x0000_s1026" type="#_x0000_t202" style="position:absolute;margin-left:466.5pt;margin-top:0;width:100.6pt;height:632.95pt;z-index:251652608;visibility:visible;mso-wrap-style:square;mso-height-percent:0;mso-wrap-distance-left:0;mso-wrap-distance-top:0;mso-wrap-distance-right:0;mso-wrap-distance-bottom:0;mso-position-horizontal:absolute;mso-position-horizontal-relative:page;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" filled="f" stroked="f">
              <v:textbox inset="0,0,0,0">
                <w:txbxContent>
                  <w:p w14:paraId="3A58E703" w14:textId="77777777" w:rsidR="00985C3E" w:rsidRPr="00BE718F" w:rsidRDefault="001C73AC">
                    <w:pPr>
                      <w:pStyle w:val="Referentiegegevens"/>
                      <w:rPr>
                        <w:b/>
                        <w:bCs/>
                      </w:rPr>
                    </w:pPr>
                    <w:r w:rsidRPr="00BE718F">
                      <w:rPr>
                        <w:b/>
                        <w:bCs/>
                      </w:rPr>
                      <w:t>Directie Wetgeving en Juridische Zaken</w:t>
                    </w:r>
                  </w:p>
                  <w:p w14:paraId="7FA33621" w14:textId="77777777" w:rsidR="00985C3E" w:rsidRDefault="001C73AC">
                    <w:pPr>
                      <w:pStyle w:val="Referentiegegevens"/>
                    </w:pPr>
                    <w:r>
                      <w:t>Sector Staats- en bestuursrecht</w:t>
                    </w:r>
                  </w:p>
                  <w:p w14:paraId="33607A3D" w14:textId="77777777" w:rsidR="00985C3E" w:rsidRDefault="00985C3E">
                    <w:pPr>
                      <w:pStyle w:val="WitregelW2"/>
                    </w:pPr>
                  </w:p>
                  <w:p w14:paraId="173E3F85" w14:textId="77777777" w:rsidR="00985C3E" w:rsidRDefault="001C73AC">
                    <w:pPr>
                      <w:pStyle w:val="Referentiegegevensbold"/>
                    </w:pPr>
                    <w:r>
                      <w:t>Datum</w:t>
                    </w:r>
                  </w:p>
                  <w:p w14:paraId="4A177E20" w14:textId="5B739824" w:rsidR="00985C3E" w:rsidRDefault="00B464F4">
                    <w:pPr>
                      <w:pStyle w:val="Referentiegegevens"/>
                    </w:pPr>
                    <w:r>
                      <w:t>20</w:t>
                    </w:r>
                    <w:r w:rsidR="00BE718F">
                      <w:t xml:space="preserve"> april 2026</w:t>
                    </w:r>
                  </w:p>
                  <w:p w14:paraId="024E5CEF" w14:textId="77777777" w:rsidR="00985C3E" w:rsidRDefault="00985C3E">
                    <w:pPr>
                      <w:pStyle w:val="WitregelW1"/>
                    </w:pPr>
                  </w:p>
                  <w:p w14:paraId="134FDEFF" w14:textId="77777777" w:rsidR="00985C3E" w:rsidRDefault="001C73AC">
                    <w:pPr>
                      <w:pStyle w:val="Referentiegegevensbold"/>
                    </w:pPr>
                    <w:r>
                      <w:t>Onze referentie</w:t>
                    </w:r>
                  </w:p>
                  <w:p w14:paraId="7A2A8985" w14:textId="77777777" w:rsidR="00985C3E" w:rsidRDefault="001C73AC">
                    <w:pPr>
                      <w:pStyle w:val="Referentiegegevens"/>
                    </w:pPr>
                    <w:r>
                      <w:t>7502437</w:t>
                    </w:r>
                  </w:p>
                </w:txbxContent>
              </v:textbox>
              <w10:wrap anchorx="page" anchory="margin"/>
              <w10:anchorlock/>
            </v:shape>
          </w:pict>
        </mc:Fallback>
      </mc:AlternateContent>
    </w:r>
    <w:r>
      <w:rPr>
        <w:noProof/>
      </w:rPr>
      <mc:AlternateContent>
        <mc:Choice Requires="wps">
          <w:drawing>
            <wp:anchor distT="0" distB="0" distL="0" distR="0" simplePos="0" relativeHeight="251653632" behindDoc="0" locked="1" layoutInCell="1" allowOverlap="1" wp14:anchorId="4EFBB9DE" wp14:editId="2A164E6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862EA3" w14:textId="77777777" w:rsidR="0060676A" w:rsidRDefault="0060676A"/>
                      </w:txbxContent>
                    </wps:txbx>
                    <wps:bodyPr vert="horz" wrap="square" lIns="0" tIns="0" rIns="0" bIns="0" anchor="t" anchorCtr="0"/>
                  </wps:wsp>
                </a:graphicData>
              </a:graphic>
            </wp:anchor>
          </w:drawing>
        </mc:Choice>
        <mc:Fallback>
          <w:pict>
            <v:shape w14:anchorId="4EFBB9D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F862EA3" w14:textId="77777777" w:rsidR="0060676A" w:rsidRDefault="0060676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4CA3CE1" wp14:editId="4D8E427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B0310A" w14:textId="3363B0CA" w:rsidR="00985C3E" w:rsidRDefault="001C73AC">
                          <w:pPr>
                            <w:pStyle w:val="Referentiegegevens"/>
                          </w:pPr>
                          <w:r>
                            <w:t xml:space="preserve">Pagina </w:t>
                          </w:r>
                          <w:r>
                            <w:fldChar w:fldCharType="begin"/>
                          </w:r>
                          <w:r>
                            <w:instrText>PAGE</w:instrText>
                          </w:r>
                          <w:r>
                            <w:fldChar w:fldCharType="separate"/>
                          </w:r>
                          <w:r w:rsidR="008847D5">
                            <w:rPr>
                              <w:noProof/>
                            </w:rPr>
                            <w:t>2</w:t>
                          </w:r>
                          <w:r>
                            <w:fldChar w:fldCharType="end"/>
                          </w:r>
                          <w:r>
                            <w:t xml:space="preserve"> van </w:t>
                          </w:r>
                          <w:r>
                            <w:fldChar w:fldCharType="begin"/>
                          </w:r>
                          <w:r>
                            <w:instrText>NUMPAGES</w:instrText>
                          </w:r>
                          <w:r>
                            <w:fldChar w:fldCharType="separate"/>
                          </w:r>
                          <w:r w:rsidR="00672CEF">
                            <w:rPr>
                              <w:noProof/>
                            </w:rPr>
                            <w:t>1</w:t>
                          </w:r>
                          <w:r>
                            <w:fldChar w:fldCharType="end"/>
                          </w:r>
                        </w:p>
                      </w:txbxContent>
                    </wps:txbx>
                    <wps:bodyPr vert="horz" wrap="square" lIns="0" tIns="0" rIns="0" bIns="0" anchor="t" anchorCtr="0"/>
                  </wps:wsp>
                </a:graphicData>
              </a:graphic>
            </wp:anchor>
          </w:drawing>
        </mc:Choice>
        <mc:Fallback>
          <w:pict>
            <v:shape w14:anchorId="34CA3CE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2B0310A" w14:textId="3363B0CA" w:rsidR="00985C3E" w:rsidRDefault="001C73AC">
                    <w:pPr>
                      <w:pStyle w:val="Referentiegegevens"/>
                    </w:pPr>
                    <w:r>
                      <w:t xml:space="preserve">Pagina </w:t>
                    </w:r>
                    <w:r>
                      <w:fldChar w:fldCharType="begin"/>
                    </w:r>
                    <w:r>
                      <w:instrText>PAGE</w:instrText>
                    </w:r>
                    <w:r>
                      <w:fldChar w:fldCharType="separate"/>
                    </w:r>
                    <w:r w:rsidR="008847D5">
                      <w:rPr>
                        <w:noProof/>
                      </w:rPr>
                      <w:t>2</w:t>
                    </w:r>
                    <w:r>
                      <w:fldChar w:fldCharType="end"/>
                    </w:r>
                    <w:r>
                      <w:t xml:space="preserve"> van </w:t>
                    </w:r>
                    <w:r>
                      <w:fldChar w:fldCharType="begin"/>
                    </w:r>
                    <w:r>
                      <w:instrText>NUMPAGES</w:instrText>
                    </w:r>
                    <w:r>
                      <w:fldChar w:fldCharType="separate"/>
                    </w:r>
                    <w:r w:rsidR="00672CE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5728" w14:textId="77777777" w:rsidR="00985C3E" w:rsidRDefault="001C73AC">
    <w:pPr>
      <w:spacing w:after="6377" w:line="14" w:lineRule="exact"/>
    </w:pPr>
    <w:r>
      <w:rPr>
        <w:noProof/>
      </w:rPr>
      <mc:AlternateContent>
        <mc:Choice Requires="wps">
          <w:drawing>
            <wp:anchor distT="0" distB="0" distL="0" distR="0" simplePos="0" relativeHeight="251655680" behindDoc="0" locked="1" layoutInCell="1" allowOverlap="1" wp14:anchorId="65983740" wp14:editId="1B8C8DA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27D73C" w14:textId="77777777" w:rsidR="00740765" w:rsidRDefault="001C73AC">
                          <w:r>
                            <w:t xml:space="preserve">Aan de Voorzitter van de Tweede Kamer </w:t>
                          </w:r>
                        </w:p>
                        <w:p w14:paraId="3444B122" w14:textId="0D9249DA" w:rsidR="00985C3E" w:rsidRDefault="001C73AC">
                          <w:r>
                            <w:t>der Staten-Generaal</w:t>
                          </w:r>
                        </w:p>
                        <w:p w14:paraId="4A4C33E0" w14:textId="77777777" w:rsidR="00985C3E" w:rsidRDefault="001C73AC">
                          <w:r>
                            <w:t xml:space="preserve">Postbus 20018 </w:t>
                          </w:r>
                        </w:p>
                        <w:p w14:paraId="686F0000" w14:textId="77777777" w:rsidR="00985C3E" w:rsidRDefault="001C73AC">
                          <w:r>
                            <w:t>2500 EA  DEN HAAG</w:t>
                          </w:r>
                        </w:p>
                      </w:txbxContent>
                    </wps:txbx>
                    <wps:bodyPr vert="horz" wrap="square" lIns="0" tIns="0" rIns="0" bIns="0" anchor="t" anchorCtr="0"/>
                  </wps:wsp>
                </a:graphicData>
              </a:graphic>
            </wp:anchor>
          </w:drawing>
        </mc:Choice>
        <mc:Fallback>
          <w:pict>
            <v:shapetype w14:anchorId="6598374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027D73C" w14:textId="77777777" w:rsidR="00740765" w:rsidRDefault="001C73AC">
                    <w:r>
                      <w:t xml:space="preserve">Aan de Voorzitter van de Tweede Kamer </w:t>
                    </w:r>
                  </w:p>
                  <w:p w14:paraId="3444B122" w14:textId="0D9249DA" w:rsidR="00985C3E" w:rsidRDefault="001C73AC">
                    <w:r>
                      <w:t>der Staten-Generaal</w:t>
                    </w:r>
                  </w:p>
                  <w:p w14:paraId="4A4C33E0" w14:textId="77777777" w:rsidR="00985C3E" w:rsidRDefault="001C73AC">
                    <w:r>
                      <w:t xml:space="preserve">Postbus 20018 </w:t>
                    </w:r>
                  </w:p>
                  <w:p w14:paraId="686F0000" w14:textId="77777777" w:rsidR="00985C3E" w:rsidRDefault="001C73A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A234616" wp14:editId="3644B4F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85C3E" w14:paraId="5456FA7F" w14:textId="77777777">
                            <w:trPr>
                              <w:trHeight w:val="240"/>
                            </w:trPr>
                            <w:tc>
                              <w:tcPr>
                                <w:tcW w:w="1140" w:type="dxa"/>
                              </w:tcPr>
                              <w:p w14:paraId="4A6870F0" w14:textId="77777777" w:rsidR="00985C3E" w:rsidRDefault="001C73AC">
                                <w:r>
                                  <w:t>Datum</w:t>
                                </w:r>
                              </w:p>
                            </w:tc>
                            <w:tc>
                              <w:tcPr>
                                <w:tcW w:w="5918" w:type="dxa"/>
                              </w:tcPr>
                              <w:p w14:paraId="23C193FC" w14:textId="3EC1345A" w:rsidR="00985C3E" w:rsidRDefault="00B464F4">
                                <w:r>
                                  <w:t xml:space="preserve">20 </w:t>
                                </w:r>
                                <w:r w:rsidR="00740765">
                                  <w:t>april 2026</w:t>
                                </w:r>
                              </w:p>
                            </w:tc>
                          </w:tr>
                          <w:tr w:rsidR="00985C3E" w14:paraId="058D4EC6" w14:textId="77777777">
                            <w:trPr>
                              <w:trHeight w:val="240"/>
                            </w:trPr>
                            <w:tc>
                              <w:tcPr>
                                <w:tcW w:w="1140" w:type="dxa"/>
                              </w:tcPr>
                              <w:p w14:paraId="27D4ACB6" w14:textId="77777777" w:rsidR="00985C3E" w:rsidRDefault="001C73AC">
                                <w:r>
                                  <w:t>Betreft</w:t>
                                </w:r>
                              </w:p>
                            </w:tc>
                            <w:tc>
                              <w:tcPr>
                                <w:tcW w:w="5918" w:type="dxa"/>
                              </w:tcPr>
                              <w:p w14:paraId="24F27C0A" w14:textId="6303B758" w:rsidR="00985C3E" w:rsidRDefault="001C73AC">
                                <w:r>
                                  <w:t>Juridisch kader en reikwijdte van Kamermotie</w:t>
                                </w:r>
                                <w:r w:rsidR="004A3AFA">
                                  <w:t>s</w:t>
                                </w:r>
                              </w:p>
                            </w:tc>
                          </w:tr>
                        </w:tbl>
                        <w:p w14:paraId="1913ABD1" w14:textId="77777777" w:rsidR="0060676A" w:rsidRDefault="0060676A"/>
                      </w:txbxContent>
                    </wps:txbx>
                    <wps:bodyPr vert="horz" wrap="square" lIns="0" tIns="0" rIns="0" bIns="0" anchor="t" anchorCtr="0"/>
                  </wps:wsp>
                </a:graphicData>
              </a:graphic>
            </wp:anchor>
          </w:drawing>
        </mc:Choice>
        <mc:Fallback>
          <w:pict>
            <v:shape w14:anchorId="7A234616"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85C3E" w14:paraId="5456FA7F" w14:textId="77777777">
                      <w:trPr>
                        <w:trHeight w:val="240"/>
                      </w:trPr>
                      <w:tc>
                        <w:tcPr>
                          <w:tcW w:w="1140" w:type="dxa"/>
                        </w:tcPr>
                        <w:p w14:paraId="4A6870F0" w14:textId="77777777" w:rsidR="00985C3E" w:rsidRDefault="001C73AC">
                          <w:r>
                            <w:t>Datum</w:t>
                          </w:r>
                        </w:p>
                      </w:tc>
                      <w:tc>
                        <w:tcPr>
                          <w:tcW w:w="5918" w:type="dxa"/>
                        </w:tcPr>
                        <w:p w14:paraId="23C193FC" w14:textId="3EC1345A" w:rsidR="00985C3E" w:rsidRDefault="00B464F4">
                          <w:r>
                            <w:t xml:space="preserve">20 </w:t>
                          </w:r>
                          <w:r w:rsidR="00740765">
                            <w:t>april 2026</w:t>
                          </w:r>
                        </w:p>
                      </w:tc>
                    </w:tr>
                    <w:tr w:rsidR="00985C3E" w14:paraId="058D4EC6" w14:textId="77777777">
                      <w:trPr>
                        <w:trHeight w:val="240"/>
                      </w:trPr>
                      <w:tc>
                        <w:tcPr>
                          <w:tcW w:w="1140" w:type="dxa"/>
                        </w:tcPr>
                        <w:p w14:paraId="27D4ACB6" w14:textId="77777777" w:rsidR="00985C3E" w:rsidRDefault="001C73AC">
                          <w:r>
                            <w:t>Betreft</w:t>
                          </w:r>
                        </w:p>
                      </w:tc>
                      <w:tc>
                        <w:tcPr>
                          <w:tcW w:w="5918" w:type="dxa"/>
                        </w:tcPr>
                        <w:p w14:paraId="24F27C0A" w14:textId="6303B758" w:rsidR="00985C3E" w:rsidRDefault="001C73AC">
                          <w:r>
                            <w:t>Juridisch kader en reikwijdte van Kamermotie</w:t>
                          </w:r>
                          <w:r w:rsidR="004A3AFA">
                            <w:t>s</w:t>
                          </w:r>
                        </w:p>
                      </w:tc>
                    </w:tr>
                  </w:tbl>
                  <w:p w14:paraId="1913ABD1" w14:textId="77777777" w:rsidR="0060676A" w:rsidRDefault="0060676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4DEAAF8" wp14:editId="6D5193A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D8ECAD" w14:textId="77777777" w:rsidR="00985C3E" w:rsidRPr="00740765" w:rsidRDefault="001C73AC">
                          <w:pPr>
                            <w:pStyle w:val="Referentiegegevens"/>
                            <w:rPr>
                              <w:b/>
                              <w:bCs/>
                            </w:rPr>
                          </w:pPr>
                          <w:r w:rsidRPr="00740765">
                            <w:rPr>
                              <w:b/>
                              <w:bCs/>
                            </w:rPr>
                            <w:t>Directie Wetgeving en Juridische Zaken</w:t>
                          </w:r>
                        </w:p>
                        <w:p w14:paraId="57FC915F" w14:textId="77777777" w:rsidR="00985C3E" w:rsidRDefault="001C73AC">
                          <w:pPr>
                            <w:pStyle w:val="Referentiegegevens"/>
                          </w:pPr>
                          <w:r>
                            <w:t>Sector Staats- en bestuursrecht</w:t>
                          </w:r>
                        </w:p>
                        <w:p w14:paraId="0F61D257" w14:textId="77777777" w:rsidR="00985C3E" w:rsidRDefault="00985C3E">
                          <w:pPr>
                            <w:pStyle w:val="WitregelW1"/>
                          </w:pPr>
                        </w:p>
                        <w:p w14:paraId="36CF0B81" w14:textId="77777777" w:rsidR="00985C3E" w:rsidRPr="0039702A" w:rsidRDefault="001C73AC">
                          <w:pPr>
                            <w:pStyle w:val="Referentiegegevens"/>
                            <w:rPr>
                              <w:lang w:val="de-DE"/>
                            </w:rPr>
                          </w:pPr>
                          <w:r w:rsidRPr="0039702A">
                            <w:rPr>
                              <w:lang w:val="de-DE"/>
                            </w:rPr>
                            <w:t>Turfmarkt 147</w:t>
                          </w:r>
                        </w:p>
                        <w:p w14:paraId="3FF91AAC" w14:textId="77777777" w:rsidR="00985C3E" w:rsidRPr="0039702A" w:rsidRDefault="001C73AC">
                          <w:pPr>
                            <w:pStyle w:val="Referentiegegevens"/>
                            <w:rPr>
                              <w:lang w:val="de-DE"/>
                            </w:rPr>
                          </w:pPr>
                          <w:r w:rsidRPr="0039702A">
                            <w:rPr>
                              <w:lang w:val="de-DE"/>
                            </w:rPr>
                            <w:t>2511 DP  Den Haag</w:t>
                          </w:r>
                        </w:p>
                        <w:p w14:paraId="528104E9" w14:textId="77777777" w:rsidR="00985C3E" w:rsidRPr="0039702A" w:rsidRDefault="001C73AC">
                          <w:pPr>
                            <w:pStyle w:val="Referentiegegevens"/>
                            <w:rPr>
                              <w:lang w:val="de-DE"/>
                            </w:rPr>
                          </w:pPr>
                          <w:r w:rsidRPr="0039702A">
                            <w:rPr>
                              <w:lang w:val="de-DE"/>
                            </w:rPr>
                            <w:t>Postbus 20301</w:t>
                          </w:r>
                        </w:p>
                        <w:p w14:paraId="3AA642F9" w14:textId="77777777" w:rsidR="00985C3E" w:rsidRPr="0039702A" w:rsidRDefault="001C73AC">
                          <w:pPr>
                            <w:pStyle w:val="Referentiegegevens"/>
                            <w:rPr>
                              <w:lang w:val="de-DE"/>
                            </w:rPr>
                          </w:pPr>
                          <w:r w:rsidRPr="0039702A">
                            <w:rPr>
                              <w:lang w:val="de-DE"/>
                            </w:rPr>
                            <w:t>2500 EH  Den Haag</w:t>
                          </w:r>
                        </w:p>
                        <w:p w14:paraId="17642C9E" w14:textId="77777777" w:rsidR="00985C3E" w:rsidRPr="0039702A" w:rsidRDefault="001C73AC">
                          <w:pPr>
                            <w:pStyle w:val="Referentiegegevens"/>
                            <w:rPr>
                              <w:lang w:val="de-DE"/>
                            </w:rPr>
                          </w:pPr>
                          <w:r w:rsidRPr="0039702A">
                            <w:rPr>
                              <w:lang w:val="de-DE"/>
                            </w:rPr>
                            <w:t>www.rijksoverheid.nl/jenv</w:t>
                          </w:r>
                        </w:p>
                        <w:p w14:paraId="79105AEC" w14:textId="77777777" w:rsidR="00985C3E" w:rsidRPr="0039702A" w:rsidRDefault="00985C3E">
                          <w:pPr>
                            <w:pStyle w:val="WitregelW2"/>
                            <w:rPr>
                              <w:lang w:val="de-DE"/>
                            </w:rPr>
                          </w:pPr>
                        </w:p>
                        <w:p w14:paraId="037D126A" w14:textId="77777777" w:rsidR="00985C3E" w:rsidRDefault="001C73AC">
                          <w:pPr>
                            <w:pStyle w:val="Referentiegegevensbold"/>
                          </w:pPr>
                          <w:r>
                            <w:t>Onze referentie</w:t>
                          </w:r>
                        </w:p>
                        <w:p w14:paraId="70381797" w14:textId="77777777" w:rsidR="00985C3E" w:rsidRDefault="001C73AC">
                          <w:pPr>
                            <w:pStyle w:val="Referentiegegevens"/>
                          </w:pPr>
                          <w:r>
                            <w:t>7502437</w:t>
                          </w:r>
                        </w:p>
                        <w:p w14:paraId="32EDE6B4" w14:textId="77777777" w:rsidR="00985C3E" w:rsidRDefault="00985C3E">
                          <w:pPr>
                            <w:pStyle w:val="WitregelW1"/>
                          </w:pPr>
                        </w:p>
                        <w:p w14:paraId="6BB86220" w14:textId="77777777" w:rsidR="00985C3E" w:rsidRDefault="001C73AC">
                          <w:pPr>
                            <w:pStyle w:val="Referentiegegevensbold"/>
                          </w:pPr>
                          <w:r>
                            <w:t>Uw referentie</w:t>
                          </w:r>
                        </w:p>
                        <w:p w14:paraId="1B99648E" w14:textId="77777777" w:rsidR="00985C3E" w:rsidRDefault="00912AC7">
                          <w:pPr>
                            <w:pStyle w:val="Referentiegegevens"/>
                          </w:pPr>
                          <w:sdt>
                            <w:sdtPr>
                              <w:id w:val="-333375032"/>
                              <w:dataBinding w:prefixMappings="xmlns:ns0='docgen-assistant'" w:xpath="/ns0:CustomXml[1]/ns0:Variables[1]/ns0:Variable[1]/ns0:Value[1]" w:storeItemID="{69D6EEC8-C9E1-4904-8281-341938F2DEB0}"/>
                              <w:text/>
                            </w:sdtPr>
                            <w:sdtEndPr/>
                            <w:sdtContent>
                              <w:r w:rsidR="00481898">
                                <w:t>2026Z02876/2026D07012</w:t>
                              </w:r>
                            </w:sdtContent>
                          </w:sdt>
                        </w:p>
                      </w:txbxContent>
                    </wps:txbx>
                    <wps:bodyPr vert="horz" wrap="square" lIns="0" tIns="0" rIns="0" bIns="0" anchor="t" anchorCtr="0"/>
                  </wps:wsp>
                </a:graphicData>
              </a:graphic>
            </wp:anchor>
          </w:drawing>
        </mc:Choice>
        <mc:Fallback>
          <w:pict>
            <v:shape w14:anchorId="04DEAAF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7D8ECAD" w14:textId="77777777" w:rsidR="00985C3E" w:rsidRPr="00740765" w:rsidRDefault="001C73AC">
                    <w:pPr>
                      <w:pStyle w:val="Referentiegegevens"/>
                      <w:rPr>
                        <w:b/>
                        <w:bCs/>
                      </w:rPr>
                    </w:pPr>
                    <w:r w:rsidRPr="00740765">
                      <w:rPr>
                        <w:b/>
                        <w:bCs/>
                      </w:rPr>
                      <w:t>Directie Wetgeving en Juridische Zaken</w:t>
                    </w:r>
                  </w:p>
                  <w:p w14:paraId="57FC915F" w14:textId="77777777" w:rsidR="00985C3E" w:rsidRDefault="001C73AC">
                    <w:pPr>
                      <w:pStyle w:val="Referentiegegevens"/>
                    </w:pPr>
                    <w:r>
                      <w:t>Sector Staats- en bestuursrecht</w:t>
                    </w:r>
                  </w:p>
                  <w:p w14:paraId="0F61D257" w14:textId="77777777" w:rsidR="00985C3E" w:rsidRDefault="00985C3E">
                    <w:pPr>
                      <w:pStyle w:val="WitregelW1"/>
                    </w:pPr>
                  </w:p>
                  <w:p w14:paraId="36CF0B81" w14:textId="77777777" w:rsidR="00985C3E" w:rsidRPr="0039702A" w:rsidRDefault="001C73AC">
                    <w:pPr>
                      <w:pStyle w:val="Referentiegegevens"/>
                      <w:rPr>
                        <w:lang w:val="de-DE"/>
                      </w:rPr>
                    </w:pPr>
                    <w:r w:rsidRPr="0039702A">
                      <w:rPr>
                        <w:lang w:val="de-DE"/>
                      </w:rPr>
                      <w:t>Turfmarkt 147</w:t>
                    </w:r>
                  </w:p>
                  <w:p w14:paraId="3FF91AAC" w14:textId="77777777" w:rsidR="00985C3E" w:rsidRPr="0039702A" w:rsidRDefault="001C73AC">
                    <w:pPr>
                      <w:pStyle w:val="Referentiegegevens"/>
                      <w:rPr>
                        <w:lang w:val="de-DE"/>
                      </w:rPr>
                    </w:pPr>
                    <w:r w:rsidRPr="0039702A">
                      <w:rPr>
                        <w:lang w:val="de-DE"/>
                      </w:rPr>
                      <w:t>2511 DP  Den Haag</w:t>
                    </w:r>
                  </w:p>
                  <w:p w14:paraId="528104E9" w14:textId="77777777" w:rsidR="00985C3E" w:rsidRPr="0039702A" w:rsidRDefault="001C73AC">
                    <w:pPr>
                      <w:pStyle w:val="Referentiegegevens"/>
                      <w:rPr>
                        <w:lang w:val="de-DE"/>
                      </w:rPr>
                    </w:pPr>
                    <w:r w:rsidRPr="0039702A">
                      <w:rPr>
                        <w:lang w:val="de-DE"/>
                      </w:rPr>
                      <w:t>Postbus 20301</w:t>
                    </w:r>
                  </w:p>
                  <w:p w14:paraId="3AA642F9" w14:textId="77777777" w:rsidR="00985C3E" w:rsidRPr="0039702A" w:rsidRDefault="001C73AC">
                    <w:pPr>
                      <w:pStyle w:val="Referentiegegevens"/>
                      <w:rPr>
                        <w:lang w:val="de-DE"/>
                      </w:rPr>
                    </w:pPr>
                    <w:r w:rsidRPr="0039702A">
                      <w:rPr>
                        <w:lang w:val="de-DE"/>
                      </w:rPr>
                      <w:t>2500 EH  Den Haag</w:t>
                    </w:r>
                  </w:p>
                  <w:p w14:paraId="17642C9E" w14:textId="77777777" w:rsidR="00985C3E" w:rsidRPr="0039702A" w:rsidRDefault="001C73AC">
                    <w:pPr>
                      <w:pStyle w:val="Referentiegegevens"/>
                      <w:rPr>
                        <w:lang w:val="de-DE"/>
                      </w:rPr>
                    </w:pPr>
                    <w:r w:rsidRPr="0039702A">
                      <w:rPr>
                        <w:lang w:val="de-DE"/>
                      </w:rPr>
                      <w:t>www.rijksoverheid.nl/jenv</w:t>
                    </w:r>
                  </w:p>
                  <w:p w14:paraId="79105AEC" w14:textId="77777777" w:rsidR="00985C3E" w:rsidRPr="0039702A" w:rsidRDefault="00985C3E">
                    <w:pPr>
                      <w:pStyle w:val="WitregelW2"/>
                      <w:rPr>
                        <w:lang w:val="de-DE"/>
                      </w:rPr>
                    </w:pPr>
                  </w:p>
                  <w:p w14:paraId="037D126A" w14:textId="77777777" w:rsidR="00985C3E" w:rsidRDefault="001C73AC">
                    <w:pPr>
                      <w:pStyle w:val="Referentiegegevensbold"/>
                    </w:pPr>
                    <w:r>
                      <w:t>Onze referentie</w:t>
                    </w:r>
                  </w:p>
                  <w:p w14:paraId="70381797" w14:textId="77777777" w:rsidR="00985C3E" w:rsidRDefault="001C73AC">
                    <w:pPr>
                      <w:pStyle w:val="Referentiegegevens"/>
                    </w:pPr>
                    <w:r>
                      <w:t>7502437</w:t>
                    </w:r>
                  </w:p>
                  <w:p w14:paraId="32EDE6B4" w14:textId="77777777" w:rsidR="00985C3E" w:rsidRDefault="00985C3E">
                    <w:pPr>
                      <w:pStyle w:val="WitregelW1"/>
                    </w:pPr>
                  </w:p>
                  <w:p w14:paraId="6BB86220" w14:textId="77777777" w:rsidR="00985C3E" w:rsidRDefault="001C73AC">
                    <w:pPr>
                      <w:pStyle w:val="Referentiegegevensbold"/>
                    </w:pPr>
                    <w:r>
                      <w:t>Uw referentie</w:t>
                    </w:r>
                  </w:p>
                  <w:p w14:paraId="1B99648E" w14:textId="77777777" w:rsidR="00985C3E" w:rsidRDefault="00912AC7">
                    <w:pPr>
                      <w:pStyle w:val="Referentiegegevens"/>
                    </w:pPr>
                    <w:sdt>
                      <w:sdtPr>
                        <w:id w:val="-333375032"/>
                        <w:dataBinding w:prefixMappings="xmlns:ns0='docgen-assistant'" w:xpath="/ns0:CustomXml[1]/ns0:Variables[1]/ns0:Variable[1]/ns0:Value[1]" w:storeItemID="{69D6EEC8-C9E1-4904-8281-341938F2DEB0}"/>
                        <w:text/>
                      </w:sdtPr>
                      <w:sdtEndPr/>
                      <w:sdtContent>
                        <w:r w:rsidR="00481898">
                          <w:t>2026Z02876/2026D07012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D9A6A45" wp14:editId="57EBDBF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F7BBEE" w14:textId="77777777" w:rsidR="0060676A" w:rsidRDefault="0060676A"/>
                      </w:txbxContent>
                    </wps:txbx>
                    <wps:bodyPr vert="horz" wrap="square" lIns="0" tIns="0" rIns="0" bIns="0" anchor="t" anchorCtr="0"/>
                  </wps:wsp>
                </a:graphicData>
              </a:graphic>
            </wp:anchor>
          </w:drawing>
        </mc:Choice>
        <mc:Fallback>
          <w:pict>
            <v:shape w14:anchorId="6D9A6A4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BF7BBEE" w14:textId="77777777" w:rsidR="0060676A" w:rsidRDefault="0060676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E627929" wp14:editId="72CED8F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F30FE8" w14:textId="77777777" w:rsidR="00985C3E" w:rsidRDefault="001C73AC">
                          <w:pPr>
                            <w:pStyle w:val="Referentiegegevens"/>
                          </w:pPr>
                          <w:r>
                            <w:t xml:space="preserve">Pagina </w:t>
                          </w:r>
                          <w:r>
                            <w:fldChar w:fldCharType="begin"/>
                          </w:r>
                          <w:r>
                            <w:instrText>PAGE</w:instrText>
                          </w:r>
                          <w:r>
                            <w:fldChar w:fldCharType="separate"/>
                          </w:r>
                          <w:r w:rsidR="00672CEF">
                            <w:rPr>
                              <w:noProof/>
                            </w:rPr>
                            <w:t>1</w:t>
                          </w:r>
                          <w:r>
                            <w:fldChar w:fldCharType="end"/>
                          </w:r>
                          <w:r>
                            <w:t xml:space="preserve"> van </w:t>
                          </w:r>
                          <w:r>
                            <w:fldChar w:fldCharType="begin"/>
                          </w:r>
                          <w:r>
                            <w:instrText>NUMPAGES</w:instrText>
                          </w:r>
                          <w:r>
                            <w:fldChar w:fldCharType="separate"/>
                          </w:r>
                          <w:r w:rsidR="00672CEF">
                            <w:rPr>
                              <w:noProof/>
                            </w:rPr>
                            <w:t>1</w:t>
                          </w:r>
                          <w:r>
                            <w:fldChar w:fldCharType="end"/>
                          </w:r>
                        </w:p>
                      </w:txbxContent>
                    </wps:txbx>
                    <wps:bodyPr vert="horz" wrap="square" lIns="0" tIns="0" rIns="0" bIns="0" anchor="t" anchorCtr="0"/>
                  </wps:wsp>
                </a:graphicData>
              </a:graphic>
            </wp:anchor>
          </w:drawing>
        </mc:Choice>
        <mc:Fallback>
          <w:pict>
            <v:shape w14:anchorId="0E62792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AF30FE8" w14:textId="77777777" w:rsidR="00985C3E" w:rsidRDefault="001C73AC">
                    <w:pPr>
                      <w:pStyle w:val="Referentiegegevens"/>
                    </w:pPr>
                    <w:r>
                      <w:t xml:space="preserve">Pagina </w:t>
                    </w:r>
                    <w:r>
                      <w:fldChar w:fldCharType="begin"/>
                    </w:r>
                    <w:r>
                      <w:instrText>PAGE</w:instrText>
                    </w:r>
                    <w:r>
                      <w:fldChar w:fldCharType="separate"/>
                    </w:r>
                    <w:r w:rsidR="00672CEF">
                      <w:rPr>
                        <w:noProof/>
                      </w:rPr>
                      <w:t>1</w:t>
                    </w:r>
                    <w:r>
                      <w:fldChar w:fldCharType="end"/>
                    </w:r>
                    <w:r>
                      <w:t xml:space="preserve"> van </w:t>
                    </w:r>
                    <w:r>
                      <w:fldChar w:fldCharType="begin"/>
                    </w:r>
                    <w:r>
                      <w:instrText>NUMPAGES</w:instrText>
                    </w:r>
                    <w:r>
                      <w:fldChar w:fldCharType="separate"/>
                    </w:r>
                    <w:r w:rsidR="00672CE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4671324" wp14:editId="01560C9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19FD36" w14:textId="77777777" w:rsidR="00985C3E" w:rsidRDefault="001C73AC">
                          <w:pPr>
                            <w:spacing w:line="240" w:lineRule="auto"/>
                          </w:pPr>
                          <w:r>
                            <w:rPr>
                              <w:noProof/>
                            </w:rPr>
                            <w:drawing>
                              <wp:inline distT="0" distB="0" distL="0" distR="0" wp14:anchorId="0823EA58" wp14:editId="64E1F8D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467132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C19FD36" w14:textId="77777777" w:rsidR="00985C3E" w:rsidRDefault="001C73AC">
                    <w:pPr>
                      <w:spacing w:line="240" w:lineRule="auto"/>
                    </w:pPr>
                    <w:r>
                      <w:rPr>
                        <w:noProof/>
                      </w:rPr>
                      <w:drawing>
                        <wp:inline distT="0" distB="0" distL="0" distR="0" wp14:anchorId="0823EA58" wp14:editId="64E1F8D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D2DE5C1" wp14:editId="44D4025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5D2FED" w14:textId="77777777" w:rsidR="00985C3E" w:rsidRDefault="001C73AC">
                          <w:pPr>
                            <w:spacing w:line="240" w:lineRule="auto"/>
                          </w:pPr>
                          <w:r>
                            <w:rPr>
                              <w:noProof/>
                            </w:rPr>
                            <w:drawing>
                              <wp:inline distT="0" distB="0" distL="0" distR="0" wp14:anchorId="4C149697" wp14:editId="4CE1FF1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2DE5C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05D2FED" w14:textId="77777777" w:rsidR="00985C3E" w:rsidRDefault="001C73AC">
                    <w:pPr>
                      <w:spacing w:line="240" w:lineRule="auto"/>
                    </w:pPr>
                    <w:r>
                      <w:rPr>
                        <w:noProof/>
                      </w:rPr>
                      <w:drawing>
                        <wp:inline distT="0" distB="0" distL="0" distR="0" wp14:anchorId="4C149697" wp14:editId="4CE1FF1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46AB81F" wp14:editId="5D26420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05D202" w14:textId="77777777" w:rsidR="00985C3E" w:rsidRDefault="001C73A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46AB81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005D202" w14:textId="77777777" w:rsidR="00985C3E" w:rsidRDefault="001C73A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3F36F"/>
    <w:multiLevelType w:val="multilevel"/>
    <w:tmpl w:val="7E09041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687ED6D"/>
    <w:multiLevelType w:val="multilevel"/>
    <w:tmpl w:val="3D7A2BB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E6CD357"/>
    <w:multiLevelType w:val="multilevel"/>
    <w:tmpl w:val="5A3C40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0ADAB1C"/>
    <w:multiLevelType w:val="multilevel"/>
    <w:tmpl w:val="4D0AA3B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74361D1"/>
    <w:multiLevelType w:val="multilevel"/>
    <w:tmpl w:val="3A0303D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3161629"/>
    <w:multiLevelType w:val="multilevel"/>
    <w:tmpl w:val="87E537B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42065447">
    <w:abstractNumId w:val="4"/>
  </w:num>
  <w:num w:numId="2" w16cid:durableId="824977611">
    <w:abstractNumId w:val="5"/>
  </w:num>
  <w:num w:numId="3" w16cid:durableId="1534151732">
    <w:abstractNumId w:val="2"/>
  </w:num>
  <w:num w:numId="4" w16cid:durableId="88744927">
    <w:abstractNumId w:val="1"/>
  </w:num>
  <w:num w:numId="5" w16cid:durableId="922881744">
    <w:abstractNumId w:val="3"/>
  </w:num>
  <w:num w:numId="6" w16cid:durableId="170170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EF"/>
    <w:rsid w:val="00087947"/>
    <w:rsid w:val="000E68C3"/>
    <w:rsid w:val="001642B2"/>
    <w:rsid w:val="001747CF"/>
    <w:rsid w:val="001C73AC"/>
    <w:rsid w:val="00263A41"/>
    <w:rsid w:val="00264D83"/>
    <w:rsid w:val="002B3196"/>
    <w:rsid w:val="002E04F6"/>
    <w:rsid w:val="002F16BA"/>
    <w:rsid w:val="00301534"/>
    <w:rsid w:val="00351971"/>
    <w:rsid w:val="00366188"/>
    <w:rsid w:val="0037223E"/>
    <w:rsid w:val="00390D31"/>
    <w:rsid w:val="0039702A"/>
    <w:rsid w:val="00417BD4"/>
    <w:rsid w:val="00481898"/>
    <w:rsid w:val="004A3AFA"/>
    <w:rsid w:val="004C5991"/>
    <w:rsid w:val="00541188"/>
    <w:rsid w:val="00573522"/>
    <w:rsid w:val="00595830"/>
    <w:rsid w:val="0060676A"/>
    <w:rsid w:val="00606ADE"/>
    <w:rsid w:val="0062237E"/>
    <w:rsid w:val="006261BB"/>
    <w:rsid w:val="00672CEF"/>
    <w:rsid w:val="006A7775"/>
    <w:rsid w:val="007276AE"/>
    <w:rsid w:val="00735890"/>
    <w:rsid w:val="00740765"/>
    <w:rsid w:val="00747019"/>
    <w:rsid w:val="007567BC"/>
    <w:rsid w:val="007E4D38"/>
    <w:rsid w:val="007F226B"/>
    <w:rsid w:val="00816F71"/>
    <w:rsid w:val="008847D5"/>
    <w:rsid w:val="008B659A"/>
    <w:rsid w:val="008C2CBD"/>
    <w:rsid w:val="008E047A"/>
    <w:rsid w:val="00912AC7"/>
    <w:rsid w:val="00965D75"/>
    <w:rsid w:val="00985C3E"/>
    <w:rsid w:val="009C5760"/>
    <w:rsid w:val="009E609C"/>
    <w:rsid w:val="00A60940"/>
    <w:rsid w:val="00A8384A"/>
    <w:rsid w:val="00B04C74"/>
    <w:rsid w:val="00B464F4"/>
    <w:rsid w:val="00BB1EE3"/>
    <w:rsid w:val="00BE51DB"/>
    <w:rsid w:val="00BE718F"/>
    <w:rsid w:val="00C248A7"/>
    <w:rsid w:val="00C36C81"/>
    <w:rsid w:val="00D30B1E"/>
    <w:rsid w:val="00D916EF"/>
    <w:rsid w:val="00E3369A"/>
    <w:rsid w:val="00E374BD"/>
    <w:rsid w:val="00E96BB7"/>
    <w:rsid w:val="00EB745D"/>
    <w:rsid w:val="00F438A5"/>
    <w:rsid w:val="00FA1B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E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72C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2CEF"/>
    <w:rPr>
      <w:rFonts w:ascii="Verdana" w:hAnsi="Verdana"/>
      <w:color w:val="000000"/>
      <w:sz w:val="18"/>
      <w:szCs w:val="18"/>
    </w:rPr>
  </w:style>
  <w:style w:type="paragraph" w:styleId="Voetnoottekst">
    <w:name w:val="footnote text"/>
    <w:basedOn w:val="Standaard"/>
    <w:link w:val="VoetnoottekstChar"/>
    <w:uiPriority w:val="99"/>
    <w:semiHidden/>
    <w:unhideWhenUsed/>
    <w:rsid w:val="0062237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2237E"/>
    <w:rPr>
      <w:rFonts w:ascii="Verdana" w:hAnsi="Verdana"/>
      <w:color w:val="000000"/>
    </w:rPr>
  </w:style>
  <w:style w:type="character" w:styleId="Voetnootmarkering">
    <w:name w:val="footnote reference"/>
    <w:basedOn w:val="Standaardalinea-lettertype"/>
    <w:uiPriority w:val="99"/>
    <w:semiHidden/>
    <w:unhideWhenUsed/>
    <w:rsid w:val="0062237E"/>
    <w:rPr>
      <w:vertAlign w:val="superscript"/>
    </w:rPr>
  </w:style>
  <w:style w:type="paragraph" w:styleId="Revisie">
    <w:name w:val="Revision"/>
    <w:hidden/>
    <w:uiPriority w:val="99"/>
    <w:semiHidden/>
    <w:rsid w:val="00EB745D"/>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C24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836</ap:Words>
  <ap:Characters>4598</ap:Characters>
  <ap:DocSecurity>0</ap:DocSecurity>
  <ap:Lines>38</ap:Lines>
  <ap:Paragraphs>10</ap:Paragraphs>
  <ap:ScaleCrop>false</ap:ScaleCrop>
  <ap:LinksUpToDate>false</ap:LinksUpToDate>
  <ap:CharactersWithSpaces>5424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2026-04-20T13:16:00.0000000Z</dcterms:created>
  <dcterms:modified xsi:type="dcterms:W3CDTF">2026-04-20T13:16:00.0000000Z</dcterms:modified>
  <dc:description>------------------------</dc:description>
  <version/>
  <category/>
</coreProperties>
</file>