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235" w:rsidP="00111235" w:rsidRDefault="00111235" w14:paraId="1CC3090F" w14:textId="458BBEB6">
      <w:pPr>
        <w:spacing w:after="0" w:line="240" w:lineRule="exact"/>
        <w:rPr>
          <w:szCs w:val="18"/>
        </w:rPr>
      </w:pPr>
      <w:r>
        <w:rPr>
          <w:szCs w:val="18"/>
        </w:rPr>
        <w:t>AH 1681</w:t>
      </w:r>
    </w:p>
    <w:p w:rsidR="00111235" w:rsidP="00111235" w:rsidRDefault="00111235" w14:paraId="7423A7C5" w14:textId="77777777">
      <w:pPr>
        <w:spacing w:after="0" w:line="240" w:lineRule="exact"/>
        <w:rPr>
          <w:szCs w:val="18"/>
        </w:rPr>
      </w:pPr>
    </w:p>
    <w:p w:rsidR="00111235" w:rsidP="00111235" w:rsidRDefault="00111235" w14:paraId="62E63B48" w14:textId="41B0E163">
      <w:pPr>
        <w:spacing w:after="0" w:line="240" w:lineRule="exact"/>
        <w:rPr>
          <w:szCs w:val="18"/>
        </w:rPr>
      </w:pPr>
      <w:r>
        <w:rPr>
          <w:szCs w:val="18"/>
        </w:rPr>
        <w:t>2026Z05118</w:t>
      </w:r>
    </w:p>
    <w:p w:rsidR="00111235" w:rsidP="00111235" w:rsidRDefault="00111235" w14:paraId="75AFD4CB" w14:textId="77777777">
      <w:pPr>
        <w:spacing w:after="0" w:line="240" w:lineRule="exact"/>
        <w:rPr>
          <w:szCs w:val="18"/>
        </w:rPr>
      </w:pPr>
    </w:p>
    <w:p w:rsidR="00111235" w:rsidP="00111235" w:rsidRDefault="00111235" w14:paraId="1643AE44" w14:textId="5469C817">
      <w:pPr>
        <w:spacing w:after="0" w:line="240" w:lineRule="exact"/>
        <w:rPr>
          <w:szCs w:val="18"/>
        </w:rPr>
      </w:pPr>
      <w:r w:rsidRPr="00111235">
        <w:rPr>
          <w:sz w:val="24"/>
          <w:szCs w:val="24"/>
        </w:rPr>
        <w:t xml:space="preserve">Antwoord van minister Vijlbrief (Sociale Zaken en Werkgelegenheid) (ontvangen </w:t>
      </w:r>
      <w:r>
        <w:rPr>
          <w:sz w:val="24"/>
          <w:szCs w:val="24"/>
        </w:rPr>
        <w:t xml:space="preserve"> 20 april 2026)</w:t>
      </w:r>
    </w:p>
    <w:p w:rsidR="00111235" w:rsidP="00111235" w:rsidRDefault="00111235" w14:paraId="028F0E4C" w14:textId="77777777">
      <w:pPr>
        <w:spacing w:after="0" w:line="240" w:lineRule="exact"/>
        <w:rPr>
          <w:szCs w:val="18"/>
        </w:rPr>
      </w:pPr>
    </w:p>
    <w:p w:rsidR="00111235" w:rsidP="00111235" w:rsidRDefault="00111235" w14:paraId="193B6726" w14:textId="77777777">
      <w:pPr>
        <w:spacing w:after="0" w:line="240" w:lineRule="exact"/>
        <w:rPr>
          <w:szCs w:val="18"/>
        </w:rPr>
      </w:pPr>
    </w:p>
    <w:p w:rsidR="00111235" w:rsidP="00111235" w:rsidRDefault="00111235" w14:paraId="33755DA9" w14:textId="0AE0AC7C">
      <w:pPr>
        <w:spacing w:after="0" w:line="240" w:lineRule="exact"/>
        <w:rPr>
          <w:szCs w:val="18"/>
        </w:rPr>
      </w:pPr>
      <w:r w:rsidRPr="00111235">
        <w:rPr>
          <w:color w:val="000000"/>
          <w:sz w:val="24"/>
          <w:szCs w:val="24"/>
        </w:rPr>
        <w:t xml:space="preserve">Zie ook Aanhangsel Handelingen, vergaderjaar 2025-2026, nr. </w:t>
      </w:r>
      <w:r>
        <w:rPr>
          <w:szCs w:val="18"/>
        </w:rPr>
        <w:t>1535</w:t>
      </w:r>
    </w:p>
    <w:p w:rsidRPr="009F1731" w:rsidR="00111235" w:rsidP="00111235" w:rsidRDefault="00111235" w14:paraId="105D6566" w14:textId="77777777">
      <w:pPr>
        <w:spacing w:after="0" w:line="240" w:lineRule="exact"/>
        <w:rPr>
          <w:szCs w:val="18"/>
        </w:rPr>
      </w:pPr>
    </w:p>
    <w:p w:rsidRPr="00F67B03" w:rsidR="00111235" w:rsidP="00111235" w:rsidRDefault="00111235" w14:paraId="013F3BFA" w14:textId="77777777">
      <w:pPr>
        <w:spacing w:after="0" w:line="240" w:lineRule="exact"/>
        <w:rPr>
          <w:szCs w:val="18"/>
          <w:u w:val="single"/>
        </w:rPr>
      </w:pPr>
      <w:r w:rsidRPr="00F67B03">
        <w:rPr>
          <w:szCs w:val="18"/>
          <w:u w:val="single"/>
        </w:rPr>
        <w:t xml:space="preserve">Vraag 1 </w:t>
      </w:r>
    </w:p>
    <w:p w:rsidRPr="009F1731" w:rsidR="00111235" w:rsidP="00111235" w:rsidRDefault="00111235" w14:paraId="71EC89C8" w14:textId="77777777">
      <w:pPr>
        <w:spacing w:after="0" w:line="240" w:lineRule="exact"/>
        <w:rPr>
          <w:szCs w:val="18"/>
        </w:rPr>
      </w:pPr>
      <w:r w:rsidRPr="009F1731">
        <w:rPr>
          <w:szCs w:val="18"/>
        </w:rPr>
        <w:t xml:space="preserve">Bent u bekend met het bericht 'Essent vraagt snelle oplossing Noodfonds energie: ’Er is geen vangnet voor kwetsbare huishoudens'? </w:t>
      </w:r>
      <w:r w:rsidRPr="00F41072">
        <w:rPr>
          <w:szCs w:val="18"/>
          <w:vertAlign w:val="superscript"/>
        </w:rPr>
        <w:t>1)</w:t>
      </w:r>
    </w:p>
    <w:p w:rsidRPr="009F1731" w:rsidR="00111235" w:rsidP="00111235" w:rsidRDefault="00111235" w14:paraId="1A6EC50E" w14:textId="77777777">
      <w:pPr>
        <w:spacing w:after="0" w:line="240" w:lineRule="exact"/>
        <w:rPr>
          <w:szCs w:val="18"/>
        </w:rPr>
      </w:pPr>
    </w:p>
    <w:p w:rsidRPr="00F67B03" w:rsidR="00111235" w:rsidP="00111235" w:rsidRDefault="00111235" w14:paraId="268A71CB" w14:textId="77777777">
      <w:pPr>
        <w:spacing w:after="0" w:line="240" w:lineRule="exact"/>
        <w:rPr>
          <w:szCs w:val="18"/>
          <w:u w:val="single"/>
        </w:rPr>
      </w:pPr>
      <w:r w:rsidRPr="00F67B03">
        <w:rPr>
          <w:szCs w:val="18"/>
          <w:u w:val="single"/>
        </w:rPr>
        <w:t>Antwoord 1</w:t>
      </w:r>
    </w:p>
    <w:p w:rsidRPr="009F1731" w:rsidR="00111235" w:rsidP="00111235" w:rsidRDefault="00111235" w14:paraId="283C4C11" w14:textId="77777777">
      <w:pPr>
        <w:spacing w:after="0" w:line="240" w:lineRule="exact"/>
        <w:rPr>
          <w:szCs w:val="18"/>
        </w:rPr>
      </w:pPr>
      <w:r w:rsidRPr="009F1731">
        <w:rPr>
          <w:szCs w:val="18"/>
        </w:rPr>
        <w:t>Ja, ik heb kennisgenomen van het bericht.</w:t>
      </w:r>
    </w:p>
    <w:p w:rsidRPr="009F1731" w:rsidR="00111235" w:rsidP="00111235" w:rsidRDefault="00111235" w14:paraId="2C3F016B" w14:textId="77777777">
      <w:pPr>
        <w:spacing w:after="0" w:line="240" w:lineRule="exact"/>
        <w:rPr>
          <w:szCs w:val="18"/>
        </w:rPr>
      </w:pPr>
    </w:p>
    <w:p w:rsidRPr="00F67B03" w:rsidR="00111235" w:rsidP="00111235" w:rsidRDefault="00111235" w14:paraId="0826262A" w14:textId="77777777">
      <w:pPr>
        <w:spacing w:after="0" w:line="240" w:lineRule="exact"/>
        <w:rPr>
          <w:szCs w:val="18"/>
          <w:u w:val="single"/>
        </w:rPr>
      </w:pPr>
      <w:r w:rsidRPr="00F67B03">
        <w:rPr>
          <w:szCs w:val="18"/>
          <w:u w:val="single"/>
        </w:rPr>
        <w:t xml:space="preserve">Vraag 2 </w:t>
      </w:r>
    </w:p>
    <w:p w:rsidRPr="009F1731" w:rsidR="00111235" w:rsidP="00111235" w:rsidRDefault="00111235" w14:paraId="3A92C6E4" w14:textId="77777777">
      <w:pPr>
        <w:spacing w:after="0" w:line="240" w:lineRule="exact"/>
        <w:rPr>
          <w:szCs w:val="18"/>
        </w:rPr>
      </w:pPr>
      <w:r w:rsidRPr="009F1731">
        <w:rPr>
          <w:szCs w:val="18"/>
        </w:rPr>
        <w:t>Klopt het dat er op dit moment geen publieke uitvoerder is die het Publieke Energiefonds op zich wil nemen?</w:t>
      </w:r>
    </w:p>
    <w:p w:rsidRPr="009F1731" w:rsidR="00111235" w:rsidP="00111235" w:rsidRDefault="00111235" w14:paraId="2BE4E40F" w14:textId="77777777">
      <w:pPr>
        <w:spacing w:after="0" w:line="240" w:lineRule="exact"/>
        <w:rPr>
          <w:szCs w:val="18"/>
        </w:rPr>
      </w:pPr>
    </w:p>
    <w:p w:rsidRPr="00F67B03" w:rsidR="00111235" w:rsidP="00111235" w:rsidRDefault="00111235" w14:paraId="070DD504" w14:textId="77777777">
      <w:pPr>
        <w:spacing w:after="0" w:line="240" w:lineRule="exact"/>
        <w:rPr>
          <w:szCs w:val="18"/>
          <w:u w:val="single"/>
        </w:rPr>
      </w:pPr>
      <w:r w:rsidRPr="00F67B03">
        <w:rPr>
          <w:szCs w:val="18"/>
          <w:u w:val="single"/>
        </w:rPr>
        <w:t>Antwoord 2</w:t>
      </w:r>
    </w:p>
    <w:p w:rsidRPr="005022AD" w:rsidR="00111235" w:rsidP="00111235" w:rsidRDefault="00111235" w14:paraId="38B1AB75" w14:textId="77777777">
      <w:pPr>
        <w:spacing w:after="0" w:line="240" w:lineRule="exact"/>
        <w:rPr>
          <w:szCs w:val="18"/>
        </w:rPr>
      </w:pPr>
      <w:r w:rsidRPr="009F1731">
        <w:rPr>
          <w:szCs w:val="18"/>
        </w:rPr>
        <w:t xml:space="preserve">Ja, dat klopt. Na een intensief jaar van </w:t>
      </w:r>
      <w:r>
        <w:rPr>
          <w:szCs w:val="18"/>
        </w:rPr>
        <w:t>verkenning</w:t>
      </w:r>
      <w:r w:rsidRPr="009F1731">
        <w:rPr>
          <w:szCs w:val="18"/>
        </w:rPr>
        <w:t xml:space="preserve"> met diverse publieke uitvoeringsorganisaties is de eenduidige conclusie dat een publiek energiefonds binnen de randvoorwaarden gesteld door het Europese Sociaal Klimaatfonds (SKF) voor zowel huishoudens als uitvoerder zeer complex </w:t>
      </w:r>
      <w:r>
        <w:rPr>
          <w:szCs w:val="18"/>
        </w:rPr>
        <w:t xml:space="preserve">zou zijn </w:t>
      </w:r>
      <w:r w:rsidRPr="009F1731">
        <w:rPr>
          <w:szCs w:val="18"/>
        </w:rPr>
        <w:t xml:space="preserve">en voor de continuïteit van de </w:t>
      </w:r>
      <w:r>
        <w:rPr>
          <w:szCs w:val="18"/>
        </w:rPr>
        <w:t>bestaande taken en dienstverlening door deze</w:t>
      </w:r>
      <w:r w:rsidRPr="009F1731">
        <w:rPr>
          <w:szCs w:val="18"/>
        </w:rPr>
        <w:t xml:space="preserve"> uitvoeringsorganisaties zeer risicovol </w:t>
      </w:r>
      <w:r>
        <w:rPr>
          <w:szCs w:val="18"/>
        </w:rPr>
        <w:t>zou zijn</w:t>
      </w:r>
      <w:r w:rsidRPr="009F1731">
        <w:rPr>
          <w:szCs w:val="18"/>
        </w:rPr>
        <w:t xml:space="preserve">. </w:t>
      </w:r>
      <w:r>
        <w:rPr>
          <w:szCs w:val="18"/>
        </w:rPr>
        <w:t xml:space="preserve">Dit betreft onder meer het verwachte aantal aanvragen dat handmatig moet worden beoordeeld en de verantwoording over rechtmatige toekenning aan de Europese Commissie. </w:t>
      </w:r>
      <w:r>
        <w:rPr>
          <w:rFonts w:eastAsia="Verdana" w:cs="Verdana"/>
          <w:szCs w:val="18"/>
        </w:rPr>
        <w:t>Daarom</w:t>
      </w:r>
      <w:r w:rsidRPr="009F1731">
        <w:rPr>
          <w:rFonts w:eastAsia="Verdana" w:cs="Verdana"/>
          <w:szCs w:val="18"/>
        </w:rPr>
        <w:t xml:space="preserve"> kwalificeren de uitvoerders </w:t>
      </w:r>
      <w:r>
        <w:rPr>
          <w:rFonts w:eastAsia="Verdana" w:cs="Verdana"/>
          <w:szCs w:val="18"/>
        </w:rPr>
        <w:t>dit energiefonds</w:t>
      </w:r>
      <w:r w:rsidRPr="009F1731">
        <w:rPr>
          <w:rFonts w:eastAsia="Verdana" w:cs="Verdana"/>
          <w:szCs w:val="18"/>
        </w:rPr>
        <w:t xml:space="preserve"> als niet uitvoerbaar en niet verantwoord</w:t>
      </w:r>
      <w:r>
        <w:rPr>
          <w:rFonts w:eastAsia="Verdana" w:cs="Verdana"/>
          <w:szCs w:val="18"/>
        </w:rPr>
        <w:t>,</w:t>
      </w:r>
      <w:r w:rsidRPr="009F1731">
        <w:rPr>
          <w:rFonts w:eastAsia="Verdana" w:cs="Verdana"/>
          <w:szCs w:val="18"/>
        </w:rPr>
        <w:t xml:space="preserve"> zowel op korte (operationeel </w:t>
      </w:r>
      <w:r>
        <w:rPr>
          <w:rFonts w:eastAsia="Verdana" w:cs="Verdana"/>
          <w:szCs w:val="18"/>
        </w:rPr>
        <w:t xml:space="preserve">in de </w:t>
      </w:r>
      <w:r w:rsidRPr="009F1731">
        <w:rPr>
          <w:rFonts w:eastAsia="Verdana" w:cs="Verdana"/>
          <w:szCs w:val="18"/>
        </w:rPr>
        <w:t xml:space="preserve">winter </w:t>
      </w:r>
      <w:r>
        <w:rPr>
          <w:rFonts w:eastAsia="Verdana" w:cs="Verdana"/>
          <w:szCs w:val="18"/>
        </w:rPr>
        <w:t xml:space="preserve">van </w:t>
      </w:r>
      <w:r w:rsidRPr="009F1731">
        <w:rPr>
          <w:rFonts w:eastAsia="Verdana" w:cs="Verdana"/>
          <w:szCs w:val="18"/>
        </w:rPr>
        <w:t>2026/2027) als op lange termijn</w:t>
      </w:r>
      <w:r>
        <w:rPr>
          <w:rFonts w:eastAsia="Verdana" w:cs="Verdana"/>
          <w:szCs w:val="18"/>
        </w:rPr>
        <w:t>.</w:t>
      </w:r>
      <w:r w:rsidRPr="009F1731">
        <w:rPr>
          <w:rFonts w:eastAsia="Verdana" w:cs="Verdana"/>
          <w:szCs w:val="18"/>
        </w:rPr>
        <w:t xml:space="preserve"> </w:t>
      </w:r>
      <w:r>
        <w:rPr>
          <w:rFonts w:eastAsia="Verdana" w:cs="Verdana"/>
          <w:szCs w:val="18"/>
        </w:rPr>
        <w:t>Dit geldt zowel voor alle</w:t>
      </w:r>
      <w:r w:rsidRPr="009F1731">
        <w:rPr>
          <w:rFonts w:eastAsia="Verdana" w:cs="Verdana"/>
          <w:szCs w:val="18"/>
        </w:rPr>
        <w:t xml:space="preserve"> </w:t>
      </w:r>
      <w:r>
        <w:rPr>
          <w:rFonts w:eastAsia="Verdana" w:cs="Verdana"/>
          <w:szCs w:val="18"/>
        </w:rPr>
        <w:t>betrokken</w:t>
      </w:r>
      <w:r w:rsidRPr="009F1731">
        <w:rPr>
          <w:rFonts w:eastAsia="Verdana" w:cs="Verdana"/>
          <w:szCs w:val="18"/>
        </w:rPr>
        <w:t xml:space="preserve"> uitvoerder</w:t>
      </w:r>
      <w:r>
        <w:rPr>
          <w:rFonts w:eastAsia="Verdana" w:cs="Verdana"/>
          <w:szCs w:val="18"/>
        </w:rPr>
        <w:t>s individueel als</w:t>
      </w:r>
      <w:r w:rsidRPr="009F1731">
        <w:rPr>
          <w:rFonts w:eastAsia="Verdana" w:cs="Verdana"/>
          <w:szCs w:val="18"/>
        </w:rPr>
        <w:t xml:space="preserve"> </w:t>
      </w:r>
      <w:r>
        <w:rPr>
          <w:rFonts w:eastAsia="Verdana" w:cs="Verdana"/>
          <w:szCs w:val="18"/>
        </w:rPr>
        <w:t>v</w:t>
      </w:r>
      <w:r w:rsidRPr="009F1731">
        <w:rPr>
          <w:rFonts w:eastAsia="Verdana" w:cs="Verdana"/>
          <w:szCs w:val="18"/>
        </w:rPr>
        <w:t>oor</w:t>
      </w:r>
      <w:r>
        <w:rPr>
          <w:rFonts w:eastAsia="Verdana" w:cs="Verdana"/>
          <w:szCs w:val="18"/>
        </w:rPr>
        <w:t xml:space="preserve"> uitvoering door</w:t>
      </w:r>
      <w:r w:rsidRPr="009F1731">
        <w:rPr>
          <w:rFonts w:eastAsia="Verdana" w:cs="Verdana"/>
          <w:szCs w:val="18"/>
        </w:rPr>
        <w:t xml:space="preserve"> een consortium van</w:t>
      </w:r>
      <w:r>
        <w:rPr>
          <w:rFonts w:eastAsia="Verdana" w:cs="Verdana"/>
          <w:szCs w:val="18"/>
        </w:rPr>
        <w:t xml:space="preserve"> </w:t>
      </w:r>
      <w:r w:rsidRPr="009F1731">
        <w:rPr>
          <w:rFonts w:eastAsia="Verdana" w:cs="Verdana"/>
          <w:szCs w:val="18"/>
        </w:rPr>
        <w:t>uitvoerders.</w:t>
      </w:r>
    </w:p>
    <w:p w:rsidR="00111235" w:rsidP="00111235" w:rsidRDefault="00111235" w14:paraId="130B7967" w14:textId="77777777">
      <w:pPr>
        <w:spacing w:after="0" w:line="240" w:lineRule="exact"/>
        <w:rPr>
          <w:rFonts w:eastAsia="Verdana" w:cs="Verdana"/>
          <w:szCs w:val="18"/>
        </w:rPr>
      </w:pPr>
    </w:p>
    <w:p w:rsidRPr="008279D5" w:rsidR="00111235" w:rsidP="00111235" w:rsidRDefault="00111235" w14:paraId="3A3D2C5A" w14:textId="77777777">
      <w:pPr>
        <w:spacing w:after="0" w:line="240" w:lineRule="exact"/>
        <w:rPr>
          <w:szCs w:val="18"/>
        </w:rPr>
      </w:pPr>
      <w:r w:rsidRPr="009F1731">
        <w:rPr>
          <w:szCs w:val="18"/>
        </w:rPr>
        <w:t>Dit neemt niet weg dat het kabinet inzet op gerichte inkomensondersteuning</w:t>
      </w:r>
      <w:r>
        <w:rPr>
          <w:szCs w:val="18"/>
        </w:rPr>
        <w:t xml:space="preserve"> </w:t>
      </w:r>
      <w:r w:rsidRPr="009F1731">
        <w:rPr>
          <w:szCs w:val="18"/>
        </w:rPr>
        <w:t>dit jaar. Het kabinet bereidt daarom een noodfonds energie voor</w:t>
      </w:r>
      <w:r w:rsidRPr="00BD30F5">
        <w:rPr>
          <w:szCs w:val="18"/>
        </w:rPr>
        <w:t xml:space="preserve"> </w:t>
      </w:r>
      <w:r>
        <w:rPr>
          <w:szCs w:val="18"/>
        </w:rPr>
        <w:t>buiten de randvoorwaarden gesteld door het SKF,</w:t>
      </w:r>
      <w:r w:rsidRPr="009F1731">
        <w:rPr>
          <w:szCs w:val="18"/>
        </w:rPr>
        <w:t xml:space="preserve"> zoals </w:t>
      </w:r>
      <w:r>
        <w:rPr>
          <w:szCs w:val="18"/>
        </w:rPr>
        <w:t xml:space="preserve">ook </w:t>
      </w:r>
      <w:r w:rsidRPr="009F1731">
        <w:rPr>
          <w:szCs w:val="18"/>
        </w:rPr>
        <w:t>aangekondigd in het coalitieakkoord. Hier</w:t>
      </w:r>
      <w:r>
        <w:rPr>
          <w:szCs w:val="18"/>
        </w:rPr>
        <w:t>toe</w:t>
      </w:r>
      <w:r w:rsidRPr="009F1731">
        <w:rPr>
          <w:szCs w:val="18"/>
        </w:rPr>
        <w:t xml:space="preserve"> worden ook varianten uitgewerkt waarin de infrastructuur van het Tijdelijke Noodfonds Energie wordt benut</w:t>
      </w:r>
      <w:r>
        <w:rPr>
          <w:szCs w:val="18"/>
        </w:rPr>
        <w:t>, zodat de bestaande uitvoerders niet worden belast</w:t>
      </w:r>
      <w:r w:rsidRPr="009F1731">
        <w:rPr>
          <w:szCs w:val="18"/>
        </w:rPr>
        <w:t xml:space="preserve">. </w:t>
      </w:r>
      <w:r>
        <w:rPr>
          <w:szCs w:val="18"/>
        </w:rPr>
        <w:t xml:space="preserve">Ik zal uw Kamer de komende periode regelmatig informeren over de voortgang. </w:t>
      </w:r>
    </w:p>
    <w:p w:rsidRPr="009F1731" w:rsidR="00111235" w:rsidP="00111235" w:rsidRDefault="00111235" w14:paraId="57DB3A8E" w14:textId="77777777">
      <w:pPr>
        <w:spacing w:after="0" w:line="240" w:lineRule="exact"/>
        <w:rPr>
          <w:rFonts w:eastAsia="Verdana" w:cs="Verdana"/>
          <w:szCs w:val="18"/>
        </w:rPr>
      </w:pPr>
    </w:p>
    <w:p w:rsidRPr="00F67B03" w:rsidR="00111235" w:rsidP="00111235" w:rsidRDefault="00111235" w14:paraId="10624CD4" w14:textId="77777777">
      <w:pPr>
        <w:spacing w:after="0" w:line="240" w:lineRule="exact"/>
        <w:rPr>
          <w:szCs w:val="18"/>
          <w:u w:val="single"/>
        </w:rPr>
      </w:pPr>
      <w:r w:rsidRPr="00F67B03">
        <w:rPr>
          <w:szCs w:val="18"/>
          <w:u w:val="single"/>
        </w:rPr>
        <w:t>Vraag 3</w:t>
      </w:r>
    </w:p>
    <w:p w:rsidRPr="009F1731" w:rsidR="00111235" w:rsidP="00111235" w:rsidRDefault="00111235" w14:paraId="262A226E" w14:textId="77777777">
      <w:pPr>
        <w:spacing w:after="0" w:line="240" w:lineRule="exact"/>
        <w:rPr>
          <w:szCs w:val="18"/>
        </w:rPr>
      </w:pPr>
      <w:r w:rsidRPr="009F1731">
        <w:rPr>
          <w:szCs w:val="18"/>
        </w:rPr>
        <w:t>Klopt het dat het kabinet wel naar uitvoering door vier instanties zoals de Belastingdienst en de</w:t>
      </w:r>
    </w:p>
    <w:p w:rsidRPr="009F1731" w:rsidR="00111235" w:rsidP="00111235" w:rsidRDefault="00111235" w14:paraId="39779F64" w14:textId="77777777">
      <w:pPr>
        <w:spacing w:after="0" w:line="240" w:lineRule="exact"/>
        <w:rPr>
          <w:szCs w:val="18"/>
        </w:rPr>
      </w:pPr>
      <w:r w:rsidRPr="009F1731">
        <w:rPr>
          <w:szCs w:val="18"/>
        </w:rPr>
        <w:t>Sociale Verzekeringsbank heeft gekeken, maar die alle vier niet geschikt bleken? Zo ja, waarom</w:t>
      </w:r>
    </w:p>
    <w:p w:rsidRPr="009F1731" w:rsidR="00111235" w:rsidP="00111235" w:rsidRDefault="00111235" w14:paraId="3D2A9978" w14:textId="77777777">
      <w:pPr>
        <w:spacing w:after="0" w:line="240" w:lineRule="exact"/>
        <w:rPr>
          <w:szCs w:val="18"/>
        </w:rPr>
      </w:pPr>
      <w:r w:rsidRPr="009F1731">
        <w:rPr>
          <w:szCs w:val="18"/>
        </w:rPr>
        <w:t>bleken deze niet geschikt?</w:t>
      </w:r>
    </w:p>
    <w:p w:rsidRPr="009F1731" w:rsidR="00111235" w:rsidP="00111235" w:rsidRDefault="00111235" w14:paraId="264E57C7" w14:textId="77777777">
      <w:pPr>
        <w:spacing w:after="0" w:line="240" w:lineRule="exact"/>
        <w:rPr>
          <w:szCs w:val="18"/>
        </w:rPr>
      </w:pPr>
    </w:p>
    <w:p w:rsidRPr="00F67B03" w:rsidR="00111235" w:rsidP="00111235" w:rsidRDefault="00111235" w14:paraId="268A3633" w14:textId="77777777">
      <w:pPr>
        <w:spacing w:after="0" w:line="240" w:lineRule="exact"/>
        <w:rPr>
          <w:szCs w:val="18"/>
          <w:u w:val="single"/>
        </w:rPr>
      </w:pPr>
      <w:r w:rsidRPr="00F67B03">
        <w:rPr>
          <w:szCs w:val="18"/>
          <w:u w:val="single"/>
        </w:rPr>
        <w:t>Antwoord 3</w:t>
      </w:r>
    </w:p>
    <w:p w:rsidRPr="009F1731" w:rsidR="00111235" w:rsidP="00111235" w:rsidRDefault="00111235" w14:paraId="1F4E1241" w14:textId="77777777">
      <w:pPr>
        <w:spacing w:after="0" w:line="240" w:lineRule="exact"/>
        <w:rPr>
          <w:szCs w:val="18"/>
        </w:rPr>
      </w:pPr>
      <w:r w:rsidRPr="009F1731">
        <w:rPr>
          <w:szCs w:val="18"/>
        </w:rPr>
        <w:t xml:space="preserve">Ja dat klopt. Zie het antwoord op vraag 2.  </w:t>
      </w:r>
    </w:p>
    <w:p w:rsidRPr="009F1731" w:rsidR="00111235" w:rsidP="00111235" w:rsidRDefault="00111235" w14:paraId="111F0548" w14:textId="77777777">
      <w:pPr>
        <w:spacing w:after="0" w:line="240" w:lineRule="exact"/>
        <w:rPr>
          <w:szCs w:val="18"/>
        </w:rPr>
      </w:pPr>
    </w:p>
    <w:p w:rsidRPr="00F67B03" w:rsidR="00111235" w:rsidP="00111235" w:rsidRDefault="00111235" w14:paraId="6E1A6170" w14:textId="77777777">
      <w:pPr>
        <w:spacing w:after="0" w:line="240" w:lineRule="exact"/>
        <w:rPr>
          <w:szCs w:val="18"/>
          <w:u w:val="single"/>
        </w:rPr>
      </w:pPr>
      <w:r w:rsidRPr="00F67B03">
        <w:rPr>
          <w:szCs w:val="18"/>
          <w:u w:val="single"/>
        </w:rPr>
        <w:t>Vraag 4</w:t>
      </w:r>
    </w:p>
    <w:p w:rsidRPr="009F1731" w:rsidR="00111235" w:rsidP="00111235" w:rsidRDefault="00111235" w14:paraId="0518EE11" w14:textId="77777777">
      <w:pPr>
        <w:spacing w:after="0" w:line="240" w:lineRule="exact"/>
        <w:rPr>
          <w:szCs w:val="18"/>
        </w:rPr>
      </w:pPr>
      <w:r w:rsidRPr="009F1731">
        <w:rPr>
          <w:szCs w:val="18"/>
        </w:rPr>
        <w:t>Kunt u aangeven met welke andere organisaties nog meer gesproken is en waarom deze allen niet geschikt bleken als uitvoerder?</w:t>
      </w:r>
    </w:p>
    <w:p w:rsidRPr="009F1731" w:rsidR="00111235" w:rsidP="00111235" w:rsidRDefault="00111235" w14:paraId="2871B6B4" w14:textId="77777777">
      <w:pPr>
        <w:spacing w:after="0" w:line="240" w:lineRule="exact"/>
        <w:rPr>
          <w:szCs w:val="18"/>
        </w:rPr>
      </w:pPr>
    </w:p>
    <w:p w:rsidRPr="00F67B03" w:rsidR="00111235" w:rsidP="00111235" w:rsidRDefault="00111235" w14:paraId="2D7AD788" w14:textId="77777777">
      <w:pPr>
        <w:spacing w:after="0" w:line="240" w:lineRule="exact"/>
        <w:rPr>
          <w:szCs w:val="18"/>
          <w:u w:val="single"/>
        </w:rPr>
      </w:pPr>
      <w:r w:rsidRPr="00F67B03">
        <w:rPr>
          <w:szCs w:val="18"/>
          <w:u w:val="single"/>
        </w:rPr>
        <w:t>Antwoord 4</w:t>
      </w:r>
    </w:p>
    <w:p w:rsidR="00111235" w:rsidP="00111235" w:rsidRDefault="00111235" w14:paraId="5CAB4276" w14:textId="77777777">
      <w:pPr>
        <w:spacing w:after="0" w:line="240" w:lineRule="exact"/>
        <w:rPr>
          <w:szCs w:val="18"/>
        </w:rPr>
      </w:pPr>
      <w:r w:rsidRPr="009F1731">
        <w:rPr>
          <w:szCs w:val="18"/>
        </w:rPr>
        <w:t xml:space="preserve">Er is gesproken met Uitvoering van Beleid (UVB, onderdeel van SZW), Dienst Toeslagen, de Sociale Verzekeringsbank (SVB) en met de Vereniging van Nederlandse Gemeenten (VNG). Daarnaast is gesproken met een aantal organisaties, voornamelijk over een ondersteunende rol. Dit betrof de Belastingdienst, het </w:t>
      </w:r>
      <w:r w:rsidRPr="009F1731">
        <w:rPr>
          <w:rFonts w:eastAsia="Verdana" w:cs="Verdana"/>
          <w:szCs w:val="18"/>
        </w:rPr>
        <w:t xml:space="preserve">Uitvoeringsinstituut Werknemersverzekeringen </w:t>
      </w:r>
      <w:r w:rsidRPr="009F1731">
        <w:rPr>
          <w:rFonts w:eastAsia="Arial" w:cs="Arial"/>
          <w:color w:val="474747"/>
          <w:szCs w:val="18"/>
        </w:rPr>
        <w:t>(</w:t>
      </w:r>
      <w:r w:rsidRPr="009F1731">
        <w:rPr>
          <w:szCs w:val="18"/>
        </w:rPr>
        <w:t>UWV; inclusief Bureau Keteninformatisering Werk en Inkomen (BKWI)), het Bureau Informatie Diensten Nederland</w:t>
      </w:r>
      <w:r w:rsidRPr="009F1731" w:rsidDel="001B49A6">
        <w:rPr>
          <w:szCs w:val="18"/>
        </w:rPr>
        <w:t xml:space="preserve"> </w:t>
      </w:r>
      <w:r w:rsidRPr="009F1731">
        <w:rPr>
          <w:szCs w:val="18"/>
        </w:rPr>
        <w:t xml:space="preserve">(BIDN, voorheen Stichting Inlichtingenbureau) en de Rijksdienst voor Ondernemend Nederland (RVO). </w:t>
      </w:r>
      <w:r>
        <w:rPr>
          <w:szCs w:val="18"/>
        </w:rPr>
        <w:t>Alle</w:t>
      </w:r>
      <w:r w:rsidRPr="009F1731">
        <w:rPr>
          <w:szCs w:val="18"/>
        </w:rPr>
        <w:t xml:space="preserve"> organisaties zien dezelfde uitvoeringsproblemen. Zie hiervoor het antwoord op vraag 2. </w:t>
      </w:r>
    </w:p>
    <w:p w:rsidRPr="009F1731" w:rsidR="00111235" w:rsidP="00111235" w:rsidRDefault="00111235" w14:paraId="3121A2B4" w14:textId="77777777">
      <w:pPr>
        <w:spacing w:after="0" w:line="240" w:lineRule="exact"/>
        <w:rPr>
          <w:szCs w:val="18"/>
        </w:rPr>
      </w:pPr>
    </w:p>
    <w:p w:rsidRPr="009F1731" w:rsidR="00111235" w:rsidP="00111235" w:rsidRDefault="00111235" w14:paraId="726B9433" w14:textId="77777777">
      <w:pPr>
        <w:spacing w:after="0" w:line="240" w:lineRule="exact"/>
        <w:rPr>
          <w:szCs w:val="18"/>
        </w:rPr>
      </w:pPr>
    </w:p>
    <w:p w:rsidRPr="00F67B03" w:rsidR="00111235" w:rsidP="00111235" w:rsidRDefault="00111235" w14:paraId="24216D4D" w14:textId="77777777">
      <w:pPr>
        <w:spacing w:after="0" w:line="240" w:lineRule="exact"/>
        <w:rPr>
          <w:szCs w:val="18"/>
          <w:u w:val="single"/>
        </w:rPr>
      </w:pPr>
      <w:r w:rsidRPr="00F67B03">
        <w:rPr>
          <w:szCs w:val="18"/>
          <w:u w:val="single"/>
        </w:rPr>
        <w:t xml:space="preserve">Vraag 5 </w:t>
      </w:r>
    </w:p>
    <w:p w:rsidRPr="009F1731" w:rsidR="00111235" w:rsidP="00111235" w:rsidRDefault="00111235" w14:paraId="316AF7B8" w14:textId="77777777">
      <w:pPr>
        <w:spacing w:after="0" w:line="240" w:lineRule="exact"/>
        <w:rPr>
          <w:szCs w:val="18"/>
        </w:rPr>
      </w:pPr>
      <w:r w:rsidRPr="009F1731">
        <w:rPr>
          <w:szCs w:val="18"/>
        </w:rPr>
        <w:t>Per wanneer verwacht u dat de publieke uitvoerder operationeel kan zijn en steun kan uitkeren aan huishoudens?</w:t>
      </w:r>
    </w:p>
    <w:p w:rsidRPr="009F1731" w:rsidR="00111235" w:rsidP="00111235" w:rsidRDefault="00111235" w14:paraId="6FAE1207" w14:textId="77777777">
      <w:pPr>
        <w:spacing w:after="0" w:line="240" w:lineRule="exact"/>
        <w:rPr>
          <w:szCs w:val="18"/>
        </w:rPr>
      </w:pPr>
    </w:p>
    <w:p w:rsidRPr="00F67B03" w:rsidR="00111235" w:rsidP="00111235" w:rsidRDefault="00111235" w14:paraId="03F67BA0" w14:textId="77777777">
      <w:pPr>
        <w:spacing w:after="0" w:line="240" w:lineRule="exact"/>
        <w:rPr>
          <w:szCs w:val="18"/>
          <w:u w:val="single"/>
        </w:rPr>
      </w:pPr>
      <w:r w:rsidRPr="00F67B03">
        <w:rPr>
          <w:szCs w:val="18"/>
          <w:u w:val="single"/>
        </w:rPr>
        <w:t>Antwoord 5</w:t>
      </w:r>
    </w:p>
    <w:p w:rsidRPr="009F1731" w:rsidR="00111235" w:rsidP="00111235" w:rsidRDefault="00111235" w14:paraId="21F15DF4" w14:textId="77777777">
      <w:pPr>
        <w:spacing w:after="0" w:line="240" w:lineRule="exact"/>
        <w:rPr>
          <w:szCs w:val="18"/>
        </w:rPr>
      </w:pPr>
      <w:r>
        <w:rPr>
          <w:szCs w:val="18"/>
        </w:rPr>
        <w:t xml:space="preserve">Het kabinet bereidt een </w:t>
      </w:r>
      <w:r w:rsidRPr="009F1731">
        <w:rPr>
          <w:szCs w:val="18"/>
        </w:rPr>
        <w:t>noodfonds energie voor</w:t>
      </w:r>
      <w:r>
        <w:rPr>
          <w:szCs w:val="18"/>
        </w:rPr>
        <w:t xml:space="preserve"> dat voor de komende winter operationeel moet kunnen zijn. Het is van belang dat de meest kwetsbare huishoudens met een hoge energierekening de komende winter ondersteund kunnen worden. Zoals aangegeven </w:t>
      </w:r>
      <w:r w:rsidRPr="009F1731">
        <w:rPr>
          <w:szCs w:val="18"/>
        </w:rPr>
        <w:t xml:space="preserve">in antwoord 2 </w:t>
      </w:r>
      <w:r>
        <w:rPr>
          <w:szCs w:val="18"/>
        </w:rPr>
        <w:t>zal dit niet het</w:t>
      </w:r>
      <w:r w:rsidRPr="009F1731">
        <w:rPr>
          <w:rFonts w:eastAsia="Verdana" w:cs="Verdana"/>
          <w:szCs w:val="18"/>
        </w:rPr>
        <w:t xml:space="preserve"> publiek</w:t>
      </w:r>
      <w:r>
        <w:rPr>
          <w:rFonts w:eastAsia="Verdana" w:cs="Verdana"/>
          <w:szCs w:val="18"/>
        </w:rPr>
        <w:t>e</w:t>
      </w:r>
      <w:r w:rsidRPr="009F1731">
        <w:rPr>
          <w:rFonts w:eastAsia="Verdana" w:cs="Verdana"/>
          <w:szCs w:val="18"/>
        </w:rPr>
        <w:t xml:space="preserve"> energiefonds binnen de randvoorwaarden gesteld door het SKF</w:t>
      </w:r>
      <w:r>
        <w:rPr>
          <w:rFonts w:eastAsia="Verdana" w:cs="Verdana"/>
          <w:szCs w:val="18"/>
        </w:rPr>
        <w:t xml:space="preserve"> zijn</w:t>
      </w:r>
      <w:r w:rsidRPr="009F1731">
        <w:rPr>
          <w:rFonts w:eastAsia="Verdana" w:cs="Verdana"/>
          <w:szCs w:val="18"/>
        </w:rPr>
        <w:t>.</w:t>
      </w:r>
    </w:p>
    <w:p w:rsidRPr="009F1731" w:rsidR="00111235" w:rsidP="00111235" w:rsidRDefault="00111235" w14:paraId="43AE0F4A" w14:textId="77777777">
      <w:pPr>
        <w:spacing w:after="0" w:line="240" w:lineRule="exact"/>
        <w:rPr>
          <w:szCs w:val="18"/>
        </w:rPr>
      </w:pPr>
    </w:p>
    <w:p w:rsidRPr="00F67B03" w:rsidR="00111235" w:rsidP="00111235" w:rsidRDefault="00111235" w14:paraId="078D65D3" w14:textId="77777777">
      <w:pPr>
        <w:spacing w:after="0" w:line="240" w:lineRule="exact"/>
        <w:rPr>
          <w:szCs w:val="18"/>
          <w:u w:val="single"/>
        </w:rPr>
      </w:pPr>
      <w:r w:rsidRPr="00F67B03">
        <w:rPr>
          <w:szCs w:val="18"/>
          <w:u w:val="single"/>
        </w:rPr>
        <w:t>Vraag 6</w:t>
      </w:r>
    </w:p>
    <w:p w:rsidRPr="009F1731" w:rsidR="00111235" w:rsidP="00111235" w:rsidRDefault="00111235" w14:paraId="5687FE42" w14:textId="77777777">
      <w:pPr>
        <w:spacing w:after="0" w:line="240" w:lineRule="exact"/>
        <w:rPr>
          <w:szCs w:val="18"/>
        </w:rPr>
      </w:pPr>
      <w:r w:rsidRPr="009F1731">
        <w:rPr>
          <w:szCs w:val="18"/>
        </w:rPr>
        <w:t>Wat zijn de verwachte uitvoeringskosten van het Publieke Energiefonds op jaarbasis?</w:t>
      </w:r>
    </w:p>
    <w:p w:rsidRPr="009F1731" w:rsidR="00111235" w:rsidP="00111235" w:rsidRDefault="00111235" w14:paraId="3A320311" w14:textId="77777777">
      <w:pPr>
        <w:spacing w:after="0" w:line="240" w:lineRule="exact"/>
        <w:rPr>
          <w:szCs w:val="18"/>
        </w:rPr>
      </w:pPr>
    </w:p>
    <w:p w:rsidRPr="00F67B03" w:rsidR="00111235" w:rsidP="00111235" w:rsidRDefault="00111235" w14:paraId="2BAC7BE4" w14:textId="77777777">
      <w:pPr>
        <w:spacing w:after="0" w:line="240" w:lineRule="exact"/>
        <w:rPr>
          <w:szCs w:val="18"/>
          <w:u w:val="single"/>
        </w:rPr>
      </w:pPr>
      <w:r w:rsidRPr="00F67B03">
        <w:rPr>
          <w:szCs w:val="18"/>
          <w:u w:val="single"/>
        </w:rPr>
        <w:t>Antwoord 6</w:t>
      </w:r>
    </w:p>
    <w:p w:rsidR="00111235" w:rsidP="00111235" w:rsidRDefault="00111235" w14:paraId="1319B611" w14:textId="77777777">
      <w:pPr>
        <w:spacing w:after="0" w:line="240" w:lineRule="exact"/>
        <w:rPr>
          <w:szCs w:val="18"/>
        </w:rPr>
      </w:pPr>
      <w:r w:rsidRPr="009F1731">
        <w:rPr>
          <w:szCs w:val="18"/>
        </w:rPr>
        <w:t>Dit is niet bekend. De uitvoeringskosten zouden volgen uit de nadere uitwerking met een uitvoerder. Maar de uitvoerders hebben de uitvoering</w:t>
      </w:r>
      <w:r w:rsidRPr="009F1731">
        <w:rPr>
          <w:rFonts w:eastAsia="Verdana" w:cs="Verdana"/>
          <w:szCs w:val="18"/>
        </w:rPr>
        <w:t xml:space="preserve"> van een publiek energiefonds binnen de randvoorwaarden gesteld door het SKF als niet uitvoerbaar en niet verantwoord gekwalificeerd</w:t>
      </w:r>
      <w:r w:rsidRPr="009F1731">
        <w:rPr>
          <w:szCs w:val="18"/>
        </w:rPr>
        <w:t xml:space="preserve">. Daarom is het stadium van </w:t>
      </w:r>
      <w:r>
        <w:rPr>
          <w:szCs w:val="18"/>
        </w:rPr>
        <w:t>kostenraming</w:t>
      </w:r>
      <w:r w:rsidRPr="009F1731">
        <w:rPr>
          <w:szCs w:val="18"/>
        </w:rPr>
        <w:t xml:space="preserve"> niet bereikt. </w:t>
      </w:r>
    </w:p>
    <w:p w:rsidR="00111235" w:rsidP="00111235" w:rsidRDefault="00111235" w14:paraId="5C6A74A7" w14:textId="77777777">
      <w:pPr>
        <w:spacing w:after="0" w:line="240" w:lineRule="exact"/>
        <w:rPr>
          <w:szCs w:val="18"/>
        </w:rPr>
      </w:pPr>
    </w:p>
    <w:p w:rsidRPr="009F1731" w:rsidR="00111235" w:rsidP="00111235" w:rsidRDefault="00111235" w14:paraId="7B0A19A2" w14:textId="77777777">
      <w:pPr>
        <w:spacing w:after="0" w:line="240" w:lineRule="exact"/>
        <w:rPr>
          <w:szCs w:val="18"/>
        </w:rPr>
      </w:pPr>
      <w:r w:rsidRPr="009F1731">
        <w:rPr>
          <w:szCs w:val="18"/>
        </w:rPr>
        <w:t xml:space="preserve">Het kabinet bereidt </w:t>
      </w:r>
      <w:r>
        <w:rPr>
          <w:szCs w:val="18"/>
        </w:rPr>
        <w:t xml:space="preserve">nu </w:t>
      </w:r>
      <w:r w:rsidRPr="009F1731">
        <w:rPr>
          <w:szCs w:val="18"/>
        </w:rPr>
        <w:t>een noodfonds energie voor</w:t>
      </w:r>
      <w:r>
        <w:rPr>
          <w:szCs w:val="18"/>
        </w:rPr>
        <w:t xml:space="preserve"> buiten de randvoorwaarden gesteld door het SKF.</w:t>
      </w:r>
      <w:r w:rsidRPr="009F1731">
        <w:rPr>
          <w:szCs w:val="18"/>
        </w:rPr>
        <w:t xml:space="preserve"> </w:t>
      </w:r>
      <w:r>
        <w:rPr>
          <w:szCs w:val="18"/>
        </w:rPr>
        <w:t xml:space="preserve">Daarbij werken we </w:t>
      </w:r>
      <w:r w:rsidRPr="009F1731">
        <w:rPr>
          <w:szCs w:val="18"/>
        </w:rPr>
        <w:t xml:space="preserve">ook varianten </w:t>
      </w:r>
      <w:r>
        <w:rPr>
          <w:szCs w:val="18"/>
        </w:rPr>
        <w:t xml:space="preserve">uit waarin </w:t>
      </w:r>
      <w:r w:rsidRPr="009F1731">
        <w:rPr>
          <w:szCs w:val="18"/>
        </w:rPr>
        <w:t>de infrastructuur van het Tijdelijke Noodfonds Energie wordt benut.</w:t>
      </w:r>
      <w:r>
        <w:rPr>
          <w:szCs w:val="18"/>
        </w:rPr>
        <w:t xml:space="preserve"> Ik zal uw Kamer de komende periode regelmatig informeren over de voortgang en uw Kamer informeren over de verwachte uitvoeringskosten wanneer hier voldoende duidelijkheid over is.</w:t>
      </w:r>
    </w:p>
    <w:p w:rsidRPr="009F1731" w:rsidR="00111235" w:rsidP="00111235" w:rsidRDefault="00111235" w14:paraId="4D865C6E" w14:textId="77777777">
      <w:pPr>
        <w:spacing w:after="0" w:line="240" w:lineRule="exact"/>
        <w:rPr>
          <w:szCs w:val="18"/>
        </w:rPr>
      </w:pPr>
    </w:p>
    <w:p w:rsidRPr="00F67B03" w:rsidR="00111235" w:rsidP="00111235" w:rsidRDefault="00111235" w14:paraId="3694B61D" w14:textId="77777777">
      <w:pPr>
        <w:spacing w:after="0" w:line="240" w:lineRule="exact"/>
        <w:rPr>
          <w:szCs w:val="18"/>
          <w:u w:val="single"/>
        </w:rPr>
      </w:pPr>
      <w:r w:rsidRPr="00F67B03">
        <w:rPr>
          <w:szCs w:val="18"/>
          <w:u w:val="single"/>
        </w:rPr>
        <w:t>Vraag 7</w:t>
      </w:r>
    </w:p>
    <w:p w:rsidRPr="009F1731" w:rsidR="00111235" w:rsidP="00111235" w:rsidRDefault="00111235" w14:paraId="021B3B53" w14:textId="77777777">
      <w:pPr>
        <w:spacing w:after="0" w:line="240" w:lineRule="exact"/>
        <w:rPr>
          <w:szCs w:val="18"/>
        </w:rPr>
      </w:pPr>
      <w:r w:rsidRPr="009F1731">
        <w:rPr>
          <w:szCs w:val="18"/>
        </w:rPr>
        <w:t>Wat zijn de uitvoeringskosten van het Tijdelijke Noodfonds Energie op jaarbasis?</w:t>
      </w:r>
    </w:p>
    <w:p w:rsidRPr="009F1731" w:rsidR="00111235" w:rsidP="00111235" w:rsidRDefault="00111235" w14:paraId="69BF88E3" w14:textId="77777777">
      <w:pPr>
        <w:spacing w:after="0" w:line="240" w:lineRule="exact"/>
        <w:rPr>
          <w:szCs w:val="18"/>
        </w:rPr>
      </w:pPr>
    </w:p>
    <w:p w:rsidRPr="00F67B03" w:rsidR="00111235" w:rsidP="00111235" w:rsidRDefault="00111235" w14:paraId="73F34CF9" w14:textId="77777777">
      <w:pPr>
        <w:spacing w:after="0" w:line="240" w:lineRule="exact"/>
        <w:rPr>
          <w:szCs w:val="18"/>
          <w:u w:val="single"/>
        </w:rPr>
      </w:pPr>
      <w:r w:rsidRPr="00F67B03">
        <w:rPr>
          <w:szCs w:val="18"/>
          <w:u w:val="single"/>
        </w:rPr>
        <w:t>Antwoord 7</w:t>
      </w:r>
    </w:p>
    <w:p w:rsidRPr="009F1731" w:rsidR="00111235" w:rsidP="00111235" w:rsidRDefault="00111235" w14:paraId="57DCDB80" w14:textId="77777777">
      <w:pPr>
        <w:spacing w:after="0" w:line="240" w:lineRule="exact"/>
        <w:rPr>
          <w:szCs w:val="18"/>
        </w:rPr>
      </w:pPr>
      <w:r w:rsidRPr="009F1731">
        <w:rPr>
          <w:rFonts w:eastAsia="Verdana" w:cs="Verdana"/>
          <w:szCs w:val="18"/>
          <w:lang w:val="nl"/>
        </w:rPr>
        <w:t xml:space="preserve">In 2025 </w:t>
      </w:r>
      <w:r>
        <w:rPr>
          <w:rFonts w:eastAsia="Verdana" w:cs="Verdana"/>
          <w:szCs w:val="18"/>
          <w:lang w:val="nl"/>
        </w:rPr>
        <w:t xml:space="preserve">bedroegen de uitvoeringskosten </w:t>
      </w:r>
      <w:r w:rsidRPr="009F1731">
        <w:rPr>
          <w:rFonts w:eastAsia="Verdana" w:cs="Verdana"/>
          <w:szCs w:val="18"/>
          <w:lang w:val="nl"/>
        </w:rPr>
        <w:t xml:space="preserve">€ 13,15 miljoen. Voor deze uitvoeringskosten heeft TNE ongeveer 210.000 aanvragen verwerkt en aan ongeveer 120.000 huishoudens uitgekeerd. Dit is een </w:t>
      </w:r>
      <w:r>
        <w:rPr>
          <w:rFonts w:eastAsia="Verdana" w:cs="Verdana"/>
          <w:szCs w:val="18"/>
          <w:lang w:val="nl"/>
        </w:rPr>
        <w:t>beperkt</w:t>
      </w:r>
      <w:r w:rsidRPr="009F1731">
        <w:rPr>
          <w:rFonts w:eastAsia="Verdana" w:cs="Verdana"/>
          <w:szCs w:val="18"/>
          <w:lang w:val="nl"/>
        </w:rPr>
        <w:t xml:space="preserve"> deel van het aantal huishoudens dat op basis van de gehanteerde criteria in aanmerking kwam voor een tegemoetkoming vanuit TNE. De uitvoeringskosten</w:t>
      </w:r>
      <w:r>
        <w:rPr>
          <w:rFonts w:eastAsia="Verdana" w:cs="Verdana"/>
          <w:szCs w:val="18"/>
          <w:lang w:val="nl"/>
        </w:rPr>
        <w:t xml:space="preserve"> van TNE</w:t>
      </w:r>
      <w:r w:rsidRPr="009F1731">
        <w:rPr>
          <w:rFonts w:eastAsia="Verdana" w:cs="Verdana"/>
          <w:szCs w:val="18"/>
          <w:lang w:val="nl"/>
        </w:rPr>
        <w:t xml:space="preserve"> zouden bij volledig bereik van de doelgroep hoger zijn geweest.</w:t>
      </w:r>
    </w:p>
    <w:p w:rsidRPr="009F1731" w:rsidR="00111235" w:rsidP="00111235" w:rsidRDefault="00111235" w14:paraId="4EDD9ED5" w14:textId="77777777">
      <w:pPr>
        <w:spacing w:after="0" w:line="240" w:lineRule="exact"/>
        <w:rPr>
          <w:szCs w:val="18"/>
        </w:rPr>
      </w:pPr>
    </w:p>
    <w:p w:rsidRPr="00F67B03" w:rsidR="00111235" w:rsidP="00111235" w:rsidRDefault="00111235" w14:paraId="27232959" w14:textId="77777777">
      <w:pPr>
        <w:spacing w:after="0" w:line="240" w:lineRule="exact"/>
        <w:rPr>
          <w:szCs w:val="18"/>
          <w:u w:val="single"/>
        </w:rPr>
      </w:pPr>
      <w:r w:rsidRPr="00F67B03">
        <w:rPr>
          <w:szCs w:val="18"/>
          <w:u w:val="single"/>
        </w:rPr>
        <w:t xml:space="preserve">Vraag 8 </w:t>
      </w:r>
    </w:p>
    <w:p w:rsidRPr="009F1731" w:rsidR="00111235" w:rsidP="00111235" w:rsidRDefault="00111235" w14:paraId="0AF5F841" w14:textId="77777777">
      <w:pPr>
        <w:spacing w:after="0" w:line="240" w:lineRule="exact"/>
        <w:rPr>
          <w:szCs w:val="18"/>
        </w:rPr>
      </w:pPr>
      <w:r w:rsidRPr="009F1731">
        <w:rPr>
          <w:szCs w:val="18"/>
        </w:rPr>
        <w:t>Kunt u de budgettaire gevolgen van verschillende varianten van energiesteun voor huishoudens in kaart brengen, waaronder:</w:t>
      </w:r>
    </w:p>
    <w:p w:rsidRPr="009F1731" w:rsidR="00111235" w:rsidP="00111235" w:rsidRDefault="00111235" w14:paraId="19417C94" w14:textId="77777777">
      <w:pPr>
        <w:spacing w:after="0" w:line="240" w:lineRule="exact"/>
        <w:rPr>
          <w:szCs w:val="18"/>
        </w:rPr>
      </w:pPr>
    </w:p>
    <w:p w:rsidRPr="009F1731" w:rsidR="00111235" w:rsidP="00111235" w:rsidRDefault="00111235" w14:paraId="0054FEA1" w14:textId="77777777">
      <w:pPr>
        <w:pStyle w:val="Lijstalinea"/>
        <w:numPr>
          <w:ilvl w:val="0"/>
          <w:numId w:val="1"/>
        </w:numPr>
        <w:spacing w:after="0" w:line="240" w:lineRule="exact"/>
        <w:rPr>
          <w:szCs w:val="18"/>
        </w:rPr>
      </w:pPr>
      <w:r w:rsidRPr="009F1731">
        <w:rPr>
          <w:szCs w:val="18"/>
        </w:rPr>
        <w:t>Huishoudens met een inkomen tot 130% van het sociaal minimum met een energiequote van 6% of hoger;</w:t>
      </w:r>
    </w:p>
    <w:p w:rsidRPr="009F1731" w:rsidR="00111235" w:rsidP="00111235" w:rsidRDefault="00111235" w14:paraId="57B91731" w14:textId="77777777">
      <w:pPr>
        <w:pStyle w:val="Lijstalinea"/>
        <w:numPr>
          <w:ilvl w:val="0"/>
          <w:numId w:val="1"/>
        </w:numPr>
        <w:spacing w:after="0" w:line="240" w:lineRule="exact"/>
        <w:rPr>
          <w:szCs w:val="18"/>
        </w:rPr>
      </w:pPr>
      <w:r w:rsidRPr="009F1731">
        <w:rPr>
          <w:szCs w:val="18"/>
        </w:rPr>
        <w:t>Huishoudens met een inkomen tot 130% van het sociaal minimum met een energiequote van 8% of hoger;</w:t>
      </w:r>
    </w:p>
    <w:p w:rsidRPr="009F1731" w:rsidR="00111235" w:rsidP="00111235" w:rsidRDefault="00111235" w14:paraId="72BB8F30" w14:textId="77777777">
      <w:pPr>
        <w:pStyle w:val="Lijstalinea"/>
        <w:numPr>
          <w:ilvl w:val="0"/>
          <w:numId w:val="1"/>
        </w:numPr>
        <w:spacing w:after="0" w:line="240" w:lineRule="exact"/>
        <w:rPr>
          <w:szCs w:val="18"/>
        </w:rPr>
      </w:pPr>
      <w:r w:rsidRPr="009F1731">
        <w:rPr>
          <w:szCs w:val="18"/>
        </w:rPr>
        <w:t>Huishoudens met een inkomen tot 200% van het sociaal minimum met een energiequote van 8% of hoger;</w:t>
      </w:r>
    </w:p>
    <w:p w:rsidRPr="009F1731" w:rsidR="00111235" w:rsidP="00111235" w:rsidRDefault="00111235" w14:paraId="20710B3E" w14:textId="77777777">
      <w:pPr>
        <w:pStyle w:val="Lijstalinea"/>
        <w:numPr>
          <w:ilvl w:val="0"/>
          <w:numId w:val="1"/>
        </w:numPr>
        <w:spacing w:after="0" w:line="240" w:lineRule="exact"/>
        <w:rPr>
          <w:szCs w:val="18"/>
        </w:rPr>
      </w:pPr>
      <w:r w:rsidRPr="009F1731">
        <w:rPr>
          <w:szCs w:val="18"/>
        </w:rPr>
        <w:t>Huishoudens met een inkomen tot 300% van het sociaal minimum met een energiequote van 8% of hoger;</w:t>
      </w:r>
    </w:p>
    <w:p w:rsidRPr="009F1731" w:rsidR="00111235" w:rsidP="00111235" w:rsidRDefault="00111235" w14:paraId="2BC90518" w14:textId="77777777">
      <w:pPr>
        <w:pStyle w:val="Lijstalinea"/>
        <w:numPr>
          <w:ilvl w:val="0"/>
          <w:numId w:val="1"/>
        </w:numPr>
        <w:spacing w:after="0" w:line="240" w:lineRule="exact"/>
        <w:rPr>
          <w:szCs w:val="18"/>
        </w:rPr>
      </w:pPr>
      <w:r w:rsidRPr="009F1731">
        <w:rPr>
          <w:szCs w:val="18"/>
        </w:rPr>
        <w:t>Huishoudens met een inkomen tot 350% van het sociaal minimum met een energiequote van 8% of hoger;</w:t>
      </w:r>
    </w:p>
    <w:p w:rsidRPr="009F1731" w:rsidR="00111235" w:rsidP="00111235" w:rsidRDefault="00111235" w14:paraId="59D52CB4" w14:textId="77777777">
      <w:pPr>
        <w:pStyle w:val="Lijstalinea"/>
        <w:numPr>
          <w:ilvl w:val="0"/>
          <w:numId w:val="1"/>
        </w:numPr>
        <w:spacing w:after="0" w:line="240" w:lineRule="exact"/>
        <w:rPr>
          <w:szCs w:val="18"/>
        </w:rPr>
      </w:pPr>
      <w:r w:rsidRPr="009F1731">
        <w:rPr>
          <w:szCs w:val="18"/>
        </w:rPr>
        <w:t>Huishoudens met een inkomen tot 130% van het sociaal minimum met een energiequote van 6% of hoger en huishoudens met een inkomen tussen 130% en 200% van het sociaal minimum met een energiequote van 8% of hoger;</w:t>
      </w:r>
    </w:p>
    <w:p w:rsidRPr="009F1731" w:rsidR="00111235" w:rsidP="00111235" w:rsidRDefault="00111235" w14:paraId="6220DE10" w14:textId="77777777">
      <w:pPr>
        <w:pStyle w:val="Lijstalinea"/>
        <w:numPr>
          <w:ilvl w:val="0"/>
          <w:numId w:val="1"/>
        </w:numPr>
        <w:spacing w:after="0" w:line="240" w:lineRule="exact"/>
        <w:rPr>
          <w:szCs w:val="18"/>
        </w:rPr>
      </w:pPr>
      <w:r w:rsidRPr="009F1731">
        <w:rPr>
          <w:szCs w:val="18"/>
        </w:rPr>
        <w:t>Huishoudens met een inkomen tot 130% van het sociaal minimum met een energiequote van 8% of hoger en huishoudens met een inkomen tussen 130% en 200% van het sociaal minimum met een energiequote van 10% of hoger;</w:t>
      </w:r>
    </w:p>
    <w:p w:rsidRPr="009F1731" w:rsidR="00111235" w:rsidP="00111235" w:rsidRDefault="00111235" w14:paraId="21F40280" w14:textId="77777777">
      <w:pPr>
        <w:pStyle w:val="Lijstalinea"/>
        <w:numPr>
          <w:ilvl w:val="0"/>
          <w:numId w:val="1"/>
        </w:numPr>
        <w:spacing w:after="0" w:line="240" w:lineRule="exact"/>
        <w:rPr>
          <w:szCs w:val="18"/>
        </w:rPr>
      </w:pPr>
      <w:r w:rsidRPr="009F1731">
        <w:rPr>
          <w:szCs w:val="18"/>
        </w:rPr>
        <w:lastRenderedPageBreak/>
        <w:t>Huishoudens met een inkomen tot 130% van het sociaal minimum met een energiequote van 8% of hoger en huishoudens met een inkomen tussen 130% en 300% van het sociaal minimum met een energiequote van 10% of hoger;</w:t>
      </w:r>
    </w:p>
    <w:p w:rsidRPr="009F1731" w:rsidR="00111235" w:rsidP="00111235" w:rsidRDefault="00111235" w14:paraId="2910B78D" w14:textId="77777777">
      <w:pPr>
        <w:pStyle w:val="Lijstalinea"/>
        <w:numPr>
          <w:ilvl w:val="0"/>
          <w:numId w:val="1"/>
        </w:numPr>
        <w:spacing w:after="0" w:line="240" w:lineRule="exact"/>
        <w:rPr>
          <w:szCs w:val="18"/>
        </w:rPr>
      </w:pPr>
      <w:r w:rsidRPr="009F1731">
        <w:rPr>
          <w:szCs w:val="18"/>
        </w:rPr>
        <w:t>Huishoudens met een inkomen tot 130% van het sociaal minimum met een energiequote van 8% of hoger en huishoudens met een inkomen tussen 130% en 350% van het sociaal minimum met een energiequote van 10% of hoger;</w:t>
      </w:r>
    </w:p>
    <w:p w:rsidRPr="009F1731" w:rsidR="00111235" w:rsidP="00111235" w:rsidRDefault="00111235" w14:paraId="015E67E8" w14:textId="77777777">
      <w:pPr>
        <w:spacing w:after="0" w:line="240" w:lineRule="exact"/>
        <w:rPr>
          <w:szCs w:val="18"/>
        </w:rPr>
      </w:pPr>
    </w:p>
    <w:p w:rsidRPr="009F1731" w:rsidR="00111235" w:rsidP="00111235" w:rsidRDefault="00111235" w14:paraId="1DC4CDEE" w14:textId="77777777">
      <w:pPr>
        <w:spacing w:after="0" w:line="240" w:lineRule="exact"/>
        <w:rPr>
          <w:szCs w:val="18"/>
        </w:rPr>
      </w:pPr>
      <w:r w:rsidRPr="009F1731">
        <w:rPr>
          <w:szCs w:val="18"/>
        </w:rPr>
        <w:t>waarbij bij alle varianten wordt berekend wat de budgettaire gevolgen zijn bij 1) een maandelijkse bijdrage van € 80,- per huishouden voor de periode van 6 maanden, 2) een maandelijkse bijdrage van € 90,- per huishouden voor de periode van 6 maanden en 3) een maandelijkse bijdrage van € 100,- per huishouden voor de periode van 6 maanden?</w:t>
      </w:r>
    </w:p>
    <w:p w:rsidRPr="009F1731" w:rsidR="00111235" w:rsidP="00111235" w:rsidRDefault="00111235" w14:paraId="221CE21B" w14:textId="77777777">
      <w:pPr>
        <w:spacing w:after="0" w:line="240" w:lineRule="exact"/>
        <w:rPr>
          <w:szCs w:val="18"/>
        </w:rPr>
      </w:pPr>
    </w:p>
    <w:p w:rsidRPr="00F67B03" w:rsidR="00111235" w:rsidP="00111235" w:rsidRDefault="00111235" w14:paraId="491ADF17" w14:textId="77777777">
      <w:pPr>
        <w:spacing w:after="0" w:line="240" w:lineRule="exact"/>
        <w:rPr>
          <w:szCs w:val="18"/>
          <w:u w:val="single"/>
        </w:rPr>
      </w:pPr>
      <w:r w:rsidRPr="00F67B03">
        <w:rPr>
          <w:szCs w:val="18"/>
          <w:u w:val="single"/>
        </w:rPr>
        <w:t>Antwoord 8</w:t>
      </w:r>
    </w:p>
    <w:p w:rsidR="00111235" w:rsidP="00111235" w:rsidRDefault="00111235" w14:paraId="26ED5D2C" w14:textId="77777777">
      <w:pPr>
        <w:spacing w:after="0" w:line="240" w:lineRule="exact"/>
        <w:rPr>
          <w:szCs w:val="18"/>
        </w:rPr>
      </w:pPr>
      <w:r w:rsidRPr="009F1731">
        <w:rPr>
          <w:szCs w:val="18"/>
        </w:rPr>
        <w:t xml:space="preserve">Onderstaande tabel geeft een schatting van de budgettaire gevolgen (doelgroep x steunbedrag) per variant. De schattingen zijn voor 2026. Deze zijn berekend op basis van CBS Microdata over inkomens en energiekosten uit 2024. De inkomens </w:t>
      </w:r>
      <w:r>
        <w:rPr>
          <w:szCs w:val="18"/>
        </w:rPr>
        <w:t xml:space="preserve">zijn </w:t>
      </w:r>
      <w:r w:rsidRPr="009F1731">
        <w:rPr>
          <w:szCs w:val="18"/>
        </w:rPr>
        <w:t>geïndexeerd naar 2026</w:t>
      </w:r>
      <w:r>
        <w:rPr>
          <w:szCs w:val="18"/>
        </w:rPr>
        <w:t xml:space="preserve"> o.b.v. de CEP2026. De energiekosten zijn geïndexeerd naar de gemiddelde energietarieven voor consumenten in februari 2026 o.b.v. CBS Statline. Verbeterede isolatie vanaf 2024 en gedragseffecten zijn niet meegenomen. Vanaf 2027 zijn er ook (beleidsmatige) ontwikkelingen zoals stijgende nettarieven, ETS2, en de bijmengverplichting groen gas. Deze zitten nog niet in de schattingen van 2026.</w:t>
      </w:r>
    </w:p>
    <w:p w:rsidR="00111235" w:rsidP="00111235" w:rsidRDefault="00111235" w14:paraId="7B1C1AAD" w14:textId="77777777">
      <w:pPr>
        <w:spacing w:after="0" w:line="240" w:lineRule="exact"/>
        <w:rPr>
          <w:szCs w:val="18"/>
        </w:rPr>
      </w:pPr>
    </w:p>
    <w:p w:rsidR="00111235" w:rsidP="00111235" w:rsidRDefault="00111235" w14:paraId="003859CF" w14:textId="77777777">
      <w:pPr>
        <w:spacing w:after="0" w:line="240" w:lineRule="exact"/>
        <w:rPr>
          <w:szCs w:val="18"/>
        </w:rPr>
      </w:pPr>
      <w:r>
        <w:rPr>
          <w:szCs w:val="18"/>
        </w:rPr>
        <w:t>V</w:t>
      </w:r>
      <w:r w:rsidRPr="009F1731">
        <w:rPr>
          <w:szCs w:val="18"/>
        </w:rPr>
        <w:t xml:space="preserve">oor de energiekosten is in onderstaande tabel uitgegaan van het scenario </w:t>
      </w:r>
      <w:r>
        <w:rPr>
          <w:szCs w:val="18"/>
        </w:rPr>
        <w:t xml:space="preserve">dat energieprijzen </w:t>
      </w:r>
      <w:r w:rsidRPr="009F1731">
        <w:rPr>
          <w:szCs w:val="18"/>
        </w:rPr>
        <w:t>28% stijg</w:t>
      </w:r>
      <w:r>
        <w:rPr>
          <w:szCs w:val="18"/>
        </w:rPr>
        <w:t xml:space="preserve">en. Dit is ten opzichte van de gemiddelde prijzen in februari 2026 en in lijn met de prijsstijging die we de afgelopen periode hebben gezien. Daarnaast wordt er rekening gehouden met het feit dat veel huishoudens nog vaste contracten hebben. Daarom wordt in de raming uitgegaan dat slechts </w:t>
      </w:r>
      <w:r w:rsidRPr="009F1731">
        <w:rPr>
          <w:szCs w:val="18"/>
        </w:rPr>
        <w:t>55%</w:t>
      </w:r>
      <w:r>
        <w:rPr>
          <w:szCs w:val="18"/>
        </w:rPr>
        <w:t xml:space="preserve"> van de prijsstijging doorwerkt. Als de hoge prijzen aanhouden zijn de structurele kosten dus een stuk hoger</w:t>
      </w:r>
      <w:r w:rsidRPr="009F1731">
        <w:rPr>
          <w:szCs w:val="18"/>
        </w:rPr>
        <w:t xml:space="preserve">. </w:t>
      </w:r>
    </w:p>
    <w:p w:rsidR="00111235" w:rsidP="00111235" w:rsidRDefault="00111235" w14:paraId="0CDA1087" w14:textId="77777777">
      <w:pPr>
        <w:spacing w:after="0" w:line="240" w:lineRule="exact"/>
        <w:rPr>
          <w:szCs w:val="18"/>
        </w:rPr>
      </w:pPr>
    </w:p>
    <w:p w:rsidRPr="009F1731" w:rsidR="00111235" w:rsidP="00111235" w:rsidRDefault="00111235" w14:paraId="24B8B29C" w14:textId="77777777">
      <w:pPr>
        <w:spacing w:after="0" w:line="240" w:lineRule="exact"/>
        <w:rPr>
          <w:szCs w:val="18"/>
        </w:rPr>
      </w:pPr>
      <w:r w:rsidRPr="009F1731">
        <w:rPr>
          <w:szCs w:val="18"/>
        </w:rPr>
        <w:t>De grootte van de doelgroep</w:t>
      </w:r>
      <w:r>
        <w:rPr>
          <w:szCs w:val="18"/>
        </w:rPr>
        <w:t>, de hoogte van de tegemoetkoming</w:t>
      </w:r>
      <w:r w:rsidRPr="009F1731">
        <w:rPr>
          <w:szCs w:val="18"/>
        </w:rPr>
        <w:t xml:space="preserve"> en daarmee budgettaire gevolgen </w:t>
      </w:r>
      <w:r>
        <w:rPr>
          <w:szCs w:val="18"/>
        </w:rPr>
        <w:t xml:space="preserve">hangen verder af van </w:t>
      </w:r>
      <w:r w:rsidRPr="009F1731">
        <w:rPr>
          <w:szCs w:val="18"/>
        </w:rPr>
        <w:t>de daadwerkelijke energieprijs.</w:t>
      </w:r>
      <w:r>
        <w:rPr>
          <w:szCs w:val="18"/>
        </w:rPr>
        <w:t xml:space="preserve"> Om dit te illustreren: Als er in het eerste jaar </w:t>
      </w:r>
      <w:r w:rsidRPr="009F1731">
        <w:rPr>
          <w:szCs w:val="18"/>
        </w:rPr>
        <w:t>van 50%</w:t>
      </w:r>
      <w:r>
        <w:rPr>
          <w:szCs w:val="18"/>
        </w:rPr>
        <w:t xml:space="preserve"> </w:t>
      </w:r>
      <w:r w:rsidRPr="009F1731">
        <w:rPr>
          <w:szCs w:val="18"/>
        </w:rPr>
        <w:t>of 76%</w:t>
      </w:r>
      <w:r>
        <w:rPr>
          <w:szCs w:val="18"/>
        </w:rPr>
        <w:t xml:space="preserve"> prijsstijging uitgegaan wordt (i.p.v. 28%),</w:t>
      </w:r>
      <w:r w:rsidRPr="009F1731">
        <w:rPr>
          <w:szCs w:val="18"/>
        </w:rPr>
        <w:t xml:space="preserve"> bestaat de doelgroep </w:t>
      </w:r>
      <w:r>
        <w:rPr>
          <w:szCs w:val="18"/>
        </w:rPr>
        <w:t xml:space="preserve">onder de criteria oorspronkelijke voorwaarden van TNE (variant 7) </w:t>
      </w:r>
      <w:r w:rsidRPr="009F1731">
        <w:rPr>
          <w:szCs w:val="18"/>
        </w:rPr>
        <w:t xml:space="preserve">uit 1.132.000, </w:t>
      </w:r>
      <w:r>
        <w:rPr>
          <w:szCs w:val="18"/>
        </w:rPr>
        <w:t>en</w:t>
      </w:r>
      <w:r w:rsidRPr="009F1731">
        <w:rPr>
          <w:szCs w:val="18"/>
        </w:rPr>
        <w:t xml:space="preserve"> respectievelijk 1.240.000 huishoudens in het eerste jaar.</w:t>
      </w:r>
    </w:p>
    <w:p w:rsidRPr="009F1731" w:rsidR="00111235" w:rsidP="00111235" w:rsidRDefault="00111235" w14:paraId="5CA8C8ED" w14:textId="77777777">
      <w:pPr>
        <w:spacing w:after="0" w:line="240" w:lineRule="exact"/>
        <w:rPr>
          <w:szCs w:val="18"/>
        </w:rPr>
      </w:pPr>
    </w:p>
    <w:p w:rsidRPr="009F1731" w:rsidR="00111235" w:rsidP="00111235" w:rsidRDefault="00111235" w14:paraId="52311AE1" w14:textId="77777777">
      <w:pPr>
        <w:spacing w:after="0" w:line="240" w:lineRule="exact"/>
        <w:rPr>
          <w:szCs w:val="18"/>
        </w:rPr>
      </w:pPr>
      <w:r w:rsidRPr="009F1731">
        <w:rPr>
          <w:szCs w:val="18"/>
        </w:rPr>
        <w:t xml:space="preserve">Voor de grenzen van het sociaal minimum </w:t>
      </w:r>
      <w:r>
        <w:rPr>
          <w:szCs w:val="18"/>
        </w:rPr>
        <w:t>is</w:t>
      </w:r>
      <w:r w:rsidRPr="009F1731">
        <w:rPr>
          <w:szCs w:val="18"/>
        </w:rPr>
        <w:t xml:space="preserve"> uitgegaan van het gewogen</w:t>
      </w:r>
      <w:r>
        <w:rPr>
          <w:szCs w:val="18"/>
        </w:rPr>
        <w:t xml:space="preserve"> </w:t>
      </w:r>
      <w:r w:rsidRPr="009F1731">
        <w:rPr>
          <w:szCs w:val="18"/>
        </w:rPr>
        <w:t>bruto sociaal minimum over heel 2026, inclusief vakantietoeslag. Voor alleenstaanden is dat € 1</w:t>
      </w:r>
      <w:r>
        <w:rPr>
          <w:szCs w:val="18"/>
        </w:rPr>
        <w:t>.</w:t>
      </w:r>
      <w:r w:rsidRPr="009F1731">
        <w:rPr>
          <w:szCs w:val="18"/>
        </w:rPr>
        <w:t>790 per maand, voor samenwonenden is dat € 2</w:t>
      </w:r>
      <w:r>
        <w:rPr>
          <w:szCs w:val="18"/>
        </w:rPr>
        <w:t>.</w:t>
      </w:r>
      <w:r w:rsidRPr="009F1731">
        <w:rPr>
          <w:szCs w:val="18"/>
        </w:rPr>
        <w:t xml:space="preserve">500 per maand.  </w:t>
      </w:r>
    </w:p>
    <w:p w:rsidRPr="009F1731" w:rsidR="00111235" w:rsidP="00111235" w:rsidRDefault="00111235" w14:paraId="40E105C0" w14:textId="77777777">
      <w:pPr>
        <w:spacing w:after="0" w:line="240" w:lineRule="exact"/>
        <w:rPr>
          <w:szCs w:val="18"/>
        </w:rPr>
      </w:pPr>
    </w:p>
    <w:tbl>
      <w:tblPr>
        <w:tblStyle w:val="Tabelraster"/>
        <w:tblW w:w="0" w:type="auto"/>
        <w:tblLook w:val="04A0" w:firstRow="1" w:lastRow="0" w:firstColumn="1" w:lastColumn="0" w:noHBand="0" w:noVBand="1"/>
      </w:tblPr>
      <w:tblGrid>
        <w:gridCol w:w="867"/>
        <w:gridCol w:w="2105"/>
        <w:gridCol w:w="1985"/>
        <w:gridCol w:w="1984"/>
        <w:gridCol w:w="2076"/>
      </w:tblGrid>
      <w:tr w:rsidRPr="008F7C62" w:rsidR="00111235" w:rsidTr="000B632B" w14:paraId="7D312C4C" w14:textId="77777777">
        <w:tc>
          <w:tcPr>
            <w:tcW w:w="867" w:type="dxa"/>
          </w:tcPr>
          <w:p w:rsidRPr="009F1731" w:rsidR="00111235" w:rsidP="000B632B" w:rsidRDefault="00111235" w14:paraId="13A672B1" w14:textId="77777777">
            <w:pPr>
              <w:spacing w:line="240" w:lineRule="exact"/>
              <w:rPr>
                <w:szCs w:val="18"/>
                <w:lang w:val="nl-NL"/>
              </w:rPr>
            </w:pPr>
            <w:r w:rsidRPr="009F1731">
              <w:rPr>
                <w:szCs w:val="18"/>
                <w:lang w:val="nl-NL"/>
              </w:rPr>
              <w:t>Variant</w:t>
            </w:r>
          </w:p>
        </w:tc>
        <w:tc>
          <w:tcPr>
            <w:tcW w:w="2105" w:type="dxa"/>
          </w:tcPr>
          <w:p w:rsidRPr="009F1731" w:rsidR="00111235" w:rsidP="000B632B" w:rsidRDefault="00111235" w14:paraId="738A9EE7" w14:textId="77777777">
            <w:pPr>
              <w:spacing w:line="240" w:lineRule="exact"/>
              <w:rPr>
                <w:szCs w:val="18"/>
                <w:lang w:val="nl-NL"/>
              </w:rPr>
            </w:pPr>
            <w:r w:rsidRPr="009F1731">
              <w:rPr>
                <w:szCs w:val="18"/>
                <w:lang w:val="nl-NL"/>
              </w:rPr>
              <w:t>Aantal huishoudens in variant</w:t>
            </w:r>
          </w:p>
        </w:tc>
        <w:tc>
          <w:tcPr>
            <w:tcW w:w="6045" w:type="dxa"/>
            <w:gridSpan w:val="3"/>
          </w:tcPr>
          <w:p w:rsidRPr="009F1731" w:rsidR="00111235" w:rsidP="000B632B" w:rsidRDefault="00111235" w14:paraId="27FF035F" w14:textId="77777777">
            <w:pPr>
              <w:spacing w:line="240" w:lineRule="exact"/>
              <w:rPr>
                <w:szCs w:val="18"/>
                <w:lang w:val="nl-NL"/>
              </w:rPr>
            </w:pPr>
            <w:r w:rsidRPr="009F1731">
              <w:rPr>
                <w:szCs w:val="18"/>
                <w:lang w:val="nl-NL"/>
              </w:rPr>
              <w:t>Budgettaire gevolgen (x € mln.), exclusief uitvoeringskosten bij:</w:t>
            </w:r>
          </w:p>
        </w:tc>
      </w:tr>
      <w:tr w:rsidRPr="009F1731" w:rsidR="00111235" w:rsidTr="000B632B" w14:paraId="6940FB0A" w14:textId="77777777">
        <w:tc>
          <w:tcPr>
            <w:tcW w:w="867" w:type="dxa"/>
          </w:tcPr>
          <w:p w:rsidRPr="009F1731" w:rsidR="00111235" w:rsidP="000B632B" w:rsidRDefault="00111235" w14:paraId="627D692D" w14:textId="77777777">
            <w:pPr>
              <w:spacing w:line="240" w:lineRule="exact"/>
              <w:rPr>
                <w:szCs w:val="18"/>
                <w:lang w:val="nl-NL"/>
              </w:rPr>
            </w:pPr>
          </w:p>
        </w:tc>
        <w:tc>
          <w:tcPr>
            <w:tcW w:w="2105" w:type="dxa"/>
          </w:tcPr>
          <w:p w:rsidRPr="009F1731" w:rsidR="00111235" w:rsidP="000B632B" w:rsidRDefault="00111235" w14:paraId="0038D013" w14:textId="77777777">
            <w:pPr>
              <w:spacing w:line="240" w:lineRule="exact"/>
              <w:rPr>
                <w:szCs w:val="18"/>
                <w:lang w:val="nl-NL"/>
              </w:rPr>
            </w:pPr>
          </w:p>
        </w:tc>
        <w:tc>
          <w:tcPr>
            <w:tcW w:w="1985" w:type="dxa"/>
          </w:tcPr>
          <w:p w:rsidRPr="009F1731" w:rsidR="00111235" w:rsidP="000B632B" w:rsidRDefault="00111235" w14:paraId="1E930B86" w14:textId="77777777">
            <w:pPr>
              <w:spacing w:line="240" w:lineRule="exact"/>
              <w:jc w:val="right"/>
              <w:rPr>
                <w:szCs w:val="18"/>
                <w:lang w:val="nl-NL"/>
              </w:rPr>
            </w:pPr>
            <w:r w:rsidRPr="009F1731">
              <w:rPr>
                <w:szCs w:val="18"/>
                <w:lang w:val="nl-NL"/>
              </w:rPr>
              <w:t>Zes maanden € 80</w:t>
            </w:r>
          </w:p>
        </w:tc>
        <w:tc>
          <w:tcPr>
            <w:tcW w:w="1984" w:type="dxa"/>
          </w:tcPr>
          <w:p w:rsidRPr="009F1731" w:rsidR="00111235" w:rsidP="000B632B" w:rsidRDefault="00111235" w14:paraId="0A2DC403" w14:textId="77777777">
            <w:pPr>
              <w:spacing w:line="240" w:lineRule="exact"/>
              <w:jc w:val="right"/>
              <w:rPr>
                <w:szCs w:val="18"/>
                <w:lang w:val="nl-NL"/>
              </w:rPr>
            </w:pPr>
            <w:r w:rsidRPr="009F1731">
              <w:rPr>
                <w:szCs w:val="18"/>
                <w:lang w:val="nl-NL"/>
              </w:rPr>
              <w:t>Zes maanden € 90</w:t>
            </w:r>
          </w:p>
        </w:tc>
        <w:tc>
          <w:tcPr>
            <w:tcW w:w="2076" w:type="dxa"/>
          </w:tcPr>
          <w:p w:rsidRPr="009F1731" w:rsidR="00111235" w:rsidP="000B632B" w:rsidRDefault="00111235" w14:paraId="18C56F06" w14:textId="77777777">
            <w:pPr>
              <w:spacing w:line="240" w:lineRule="exact"/>
              <w:jc w:val="right"/>
              <w:rPr>
                <w:szCs w:val="18"/>
                <w:lang w:val="nl-NL"/>
              </w:rPr>
            </w:pPr>
            <w:r w:rsidRPr="009F1731">
              <w:rPr>
                <w:szCs w:val="18"/>
                <w:lang w:val="nl-NL"/>
              </w:rPr>
              <w:t>Zes maanden € 100</w:t>
            </w:r>
          </w:p>
        </w:tc>
      </w:tr>
      <w:tr w:rsidRPr="009F1731" w:rsidR="00111235" w:rsidTr="000B632B" w14:paraId="47DD7C67" w14:textId="77777777">
        <w:tc>
          <w:tcPr>
            <w:tcW w:w="867" w:type="dxa"/>
          </w:tcPr>
          <w:p w:rsidRPr="009F1731" w:rsidR="00111235" w:rsidP="000B632B" w:rsidRDefault="00111235" w14:paraId="7CEBA1DE" w14:textId="77777777">
            <w:pPr>
              <w:spacing w:line="240" w:lineRule="exact"/>
              <w:rPr>
                <w:szCs w:val="18"/>
                <w:lang w:val="nl-NL"/>
              </w:rPr>
            </w:pPr>
            <w:r w:rsidRPr="009F1731">
              <w:rPr>
                <w:szCs w:val="18"/>
                <w:lang w:val="nl-NL"/>
              </w:rPr>
              <w:t>1</w:t>
            </w:r>
          </w:p>
        </w:tc>
        <w:tc>
          <w:tcPr>
            <w:tcW w:w="2105" w:type="dxa"/>
            <w:vAlign w:val="bottom"/>
          </w:tcPr>
          <w:p w:rsidRPr="009F1731" w:rsidR="00111235" w:rsidP="000B632B" w:rsidRDefault="00111235" w14:paraId="76ADCFC9" w14:textId="77777777">
            <w:pPr>
              <w:spacing w:line="240" w:lineRule="exact"/>
              <w:jc w:val="right"/>
              <w:rPr>
                <w:szCs w:val="18"/>
              </w:rPr>
            </w:pPr>
            <w:r w:rsidRPr="009F1731">
              <w:rPr>
                <w:rFonts w:cs="Arial"/>
                <w:szCs w:val="18"/>
              </w:rPr>
              <w:t xml:space="preserve">             1.200.000 </w:t>
            </w:r>
          </w:p>
        </w:tc>
        <w:tc>
          <w:tcPr>
            <w:tcW w:w="1985" w:type="dxa"/>
            <w:vAlign w:val="bottom"/>
          </w:tcPr>
          <w:p w:rsidRPr="009F1731" w:rsidR="00111235" w:rsidP="000B632B" w:rsidRDefault="00111235" w14:paraId="050941E4" w14:textId="77777777">
            <w:pPr>
              <w:spacing w:line="240" w:lineRule="exact"/>
              <w:jc w:val="right"/>
              <w:rPr>
                <w:rFonts w:cs="Calibri"/>
                <w:color w:val="000000" w:themeColor="text1"/>
                <w:szCs w:val="18"/>
              </w:rPr>
            </w:pPr>
            <w:r w:rsidRPr="009F1731">
              <w:rPr>
                <w:rFonts w:cs="Calibri"/>
                <w:color w:val="000000"/>
                <w:szCs w:val="18"/>
              </w:rPr>
              <w:t>580</w:t>
            </w:r>
          </w:p>
        </w:tc>
        <w:tc>
          <w:tcPr>
            <w:tcW w:w="1984" w:type="dxa"/>
            <w:vAlign w:val="bottom"/>
          </w:tcPr>
          <w:p w:rsidRPr="009F1731" w:rsidR="00111235" w:rsidP="000B632B" w:rsidRDefault="00111235" w14:paraId="4F3182A5" w14:textId="77777777">
            <w:pPr>
              <w:spacing w:line="240" w:lineRule="exact"/>
              <w:jc w:val="right"/>
              <w:rPr>
                <w:rFonts w:cs="Calibri"/>
                <w:color w:val="000000" w:themeColor="text1"/>
                <w:szCs w:val="18"/>
              </w:rPr>
            </w:pPr>
            <w:r w:rsidRPr="009F1731">
              <w:rPr>
                <w:rFonts w:cs="Calibri"/>
                <w:color w:val="000000"/>
                <w:szCs w:val="18"/>
              </w:rPr>
              <w:t>650</w:t>
            </w:r>
          </w:p>
        </w:tc>
        <w:tc>
          <w:tcPr>
            <w:tcW w:w="2076" w:type="dxa"/>
            <w:vAlign w:val="bottom"/>
          </w:tcPr>
          <w:p w:rsidRPr="009F1731" w:rsidR="00111235" w:rsidP="000B632B" w:rsidRDefault="00111235" w14:paraId="396DE456" w14:textId="77777777">
            <w:pPr>
              <w:spacing w:line="240" w:lineRule="exact"/>
              <w:jc w:val="right"/>
              <w:rPr>
                <w:rFonts w:cs="Calibri"/>
                <w:color w:val="000000" w:themeColor="text1"/>
                <w:szCs w:val="18"/>
              </w:rPr>
            </w:pPr>
            <w:r w:rsidRPr="009F1731">
              <w:rPr>
                <w:rFonts w:cs="Calibri"/>
                <w:color w:val="000000"/>
                <w:szCs w:val="18"/>
              </w:rPr>
              <w:t>720</w:t>
            </w:r>
          </w:p>
        </w:tc>
      </w:tr>
      <w:tr w:rsidRPr="009F1731" w:rsidR="00111235" w:rsidTr="000B632B" w14:paraId="1FE118D1" w14:textId="77777777">
        <w:tc>
          <w:tcPr>
            <w:tcW w:w="867" w:type="dxa"/>
          </w:tcPr>
          <w:p w:rsidRPr="009F1731" w:rsidR="00111235" w:rsidP="000B632B" w:rsidRDefault="00111235" w14:paraId="16FA47FF" w14:textId="77777777">
            <w:pPr>
              <w:spacing w:line="240" w:lineRule="exact"/>
              <w:rPr>
                <w:szCs w:val="18"/>
                <w:lang w:val="nl-NL"/>
              </w:rPr>
            </w:pPr>
            <w:r w:rsidRPr="009F1731">
              <w:rPr>
                <w:szCs w:val="18"/>
                <w:lang w:val="nl-NL"/>
              </w:rPr>
              <w:t>2</w:t>
            </w:r>
          </w:p>
        </w:tc>
        <w:tc>
          <w:tcPr>
            <w:tcW w:w="2105" w:type="dxa"/>
            <w:vAlign w:val="bottom"/>
          </w:tcPr>
          <w:p w:rsidRPr="009F1731" w:rsidR="00111235" w:rsidP="000B632B" w:rsidRDefault="00111235" w14:paraId="1AA8CD8B" w14:textId="77777777">
            <w:pPr>
              <w:spacing w:line="240" w:lineRule="exact"/>
              <w:jc w:val="right"/>
              <w:rPr>
                <w:szCs w:val="18"/>
              </w:rPr>
            </w:pPr>
            <w:r w:rsidRPr="009F1731">
              <w:rPr>
                <w:rFonts w:cs="Arial"/>
                <w:szCs w:val="18"/>
              </w:rPr>
              <w:t xml:space="preserve">                890.000 </w:t>
            </w:r>
          </w:p>
        </w:tc>
        <w:tc>
          <w:tcPr>
            <w:tcW w:w="1985" w:type="dxa"/>
            <w:vAlign w:val="bottom"/>
          </w:tcPr>
          <w:p w:rsidRPr="009F1731" w:rsidR="00111235" w:rsidP="000B632B" w:rsidRDefault="00111235" w14:paraId="58E2010C" w14:textId="77777777">
            <w:pPr>
              <w:spacing w:line="240" w:lineRule="exact"/>
              <w:jc w:val="right"/>
              <w:rPr>
                <w:rFonts w:cs="Calibri"/>
                <w:color w:val="000000" w:themeColor="text1"/>
                <w:szCs w:val="18"/>
              </w:rPr>
            </w:pPr>
            <w:r w:rsidRPr="009F1731">
              <w:rPr>
                <w:rFonts w:cs="Calibri"/>
                <w:color w:val="000000"/>
                <w:szCs w:val="18"/>
              </w:rPr>
              <w:t>430</w:t>
            </w:r>
          </w:p>
        </w:tc>
        <w:tc>
          <w:tcPr>
            <w:tcW w:w="1984" w:type="dxa"/>
            <w:vAlign w:val="bottom"/>
          </w:tcPr>
          <w:p w:rsidRPr="009F1731" w:rsidR="00111235" w:rsidP="000B632B" w:rsidRDefault="00111235" w14:paraId="714F01FF" w14:textId="77777777">
            <w:pPr>
              <w:spacing w:line="240" w:lineRule="exact"/>
              <w:jc w:val="right"/>
              <w:rPr>
                <w:rFonts w:cs="Calibri"/>
                <w:color w:val="000000" w:themeColor="text1"/>
                <w:szCs w:val="18"/>
              </w:rPr>
            </w:pPr>
            <w:r w:rsidRPr="009F1731">
              <w:rPr>
                <w:rFonts w:cs="Calibri"/>
                <w:color w:val="000000"/>
                <w:szCs w:val="18"/>
              </w:rPr>
              <w:t>480</w:t>
            </w:r>
          </w:p>
        </w:tc>
        <w:tc>
          <w:tcPr>
            <w:tcW w:w="2076" w:type="dxa"/>
            <w:vAlign w:val="bottom"/>
          </w:tcPr>
          <w:p w:rsidRPr="009F1731" w:rsidR="00111235" w:rsidP="000B632B" w:rsidRDefault="00111235" w14:paraId="7F0C8F44" w14:textId="77777777">
            <w:pPr>
              <w:spacing w:line="240" w:lineRule="exact"/>
              <w:jc w:val="right"/>
              <w:rPr>
                <w:rFonts w:cs="Calibri"/>
                <w:color w:val="000000" w:themeColor="text1"/>
                <w:szCs w:val="18"/>
              </w:rPr>
            </w:pPr>
            <w:r w:rsidRPr="009F1731">
              <w:rPr>
                <w:rFonts w:cs="Calibri"/>
                <w:color w:val="000000"/>
                <w:szCs w:val="18"/>
              </w:rPr>
              <w:t>530</w:t>
            </w:r>
          </w:p>
        </w:tc>
      </w:tr>
      <w:tr w:rsidRPr="009F1731" w:rsidR="00111235" w:rsidTr="000B632B" w14:paraId="5DEB35F2" w14:textId="77777777">
        <w:tc>
          <w:tcPr>
            <w:tcW w:w="867" w:type="dxa"/>
          </w:tcPr>
          <w:p w:rsidRPr="009F1731" w:rsidR="00111235" w:rsidP="000B632B" w:rsidRDefault="00111235" w14:paraId="1981E02C" w14:textId="77777777">
            <w:pPr>
              <w:spacing w:line="240" w:lineRule="exact"/>
              <w:rPr>
                <w:szCs w:val="18"/>
                <w:lang w:val="nl-NL"/>
              </w:rPr>
            </w:pPr>
            <w:r w:rsidRPr="009F1731">
              <w:rPr>
                <w:szCs w:val="18"/>
                <w:lang w:val="nl-NL"/>
              </w:rPr>
              <w:t>3</w:t>
            </w:r>
          </w:p>
        </w:tc>
        <w:tc>
          <w:tcPr>
            <w:tcW w:w="2105" w:type="dxa"/>
            <w:vAlign w:val="bottom"/>
          </w:tcPr>
          <w:p w:rsidRPr="009F1731" w:rsidR="00111235" w:rsidP="000B632B" w:rsidRDefault="00111235" w14:paraId="2681AE16" w14:textId="77777777">
            <w:pPr>
              <w:spacing w:line="240" w:lineRule="exact"/>
              <w:jc w:val="right"/>
              <w:rPr>
                <w:szCs w:val="18"/>
              </w:rPr>
            </w:pPr>
            <w:r w:rsidRPr="009F1731">
              <w:rPr>
                <w:rFonts w:cs="Arial"/>
                <w:szCs w:val="18"/>
              </w:rPr>
              <w:t xml:space="preserve">             1.131.000 </w:t>
            </w:r>
          </w:p>
        </w:tc>
        <w:tc>
          <w:tcPr>
            <w:tcW w:w="1985" w:type="dxa"/>
            <w:vAlign w:val="bottom"/>
          </w:tcPr>
          <w:p w:rsidRPr="009F1731" w:rsidR="00111235" w:rsidP="000B632B" w:rsidRDefault="00111235" w14:paraId="58003B03" w14:textId="77777777">
            <w:pPr>
              <w:spacing w:line="240" w:lineRule="exact"/>
              <w:jc w:val="right"/>
              <w:rPr>
                <w:rFonts w:cs="Calibri"/>
                <w:color w:val="000000" w:themeColor="text1"/>
                <w:szCs w:val="18"/>
              </w:rPr>
            </w:pPr>
            <w:r w:rsidRPr="009F1731">
              <w:rPr>
                <w:rFonts w:cs="Calibri"/>
                <w:color w:val="000000"/>
                <w:szCs w:val="18"/>
              </w:rPr>
              <w:t>540</w:t>
            </w:r>
          </w:p>
        </w:tc>
        <w:tc>
          <w:tcPr>
            <w:tcW w:w="1984" w:type="dxa"/>
            <w:vAlign w:val="bottom"/>
          </w:tcPr>
          <w:p w:rsidRPr="009F1731" w:rsidR="00111235" w:rsidP="000B632B" w:rsidRDefault="00111235" w14:paraId="1BE4C4B3" w14:textId="77777777">
            <w:pPr>
              <w:spacing w:line="240" w:lineRule="exact"/>
              <w:jc w:val="right"/>
              <w:rPr>
                <w:rFonts w:cs="Calibri"/>
                <w:color w:val="000000" w:themeColor="text1"/>
                <w:szCs w:val="18"/>
              </w:rPr>
            </w:pPr>
            <w:r w:rsidRPr="009F1731">
              <w:rPr>
                <w:rFonts w:cs="Calibri"/>
                <w:color w:val="000000"/>
                <w:szCs w:val="18"/>
              </w:rPr>
              <w:t>610</w:t>
            </w:r>
          </w:p>
        </w:tc>
        <w:tc>
          <w:tcPr>
            <w:tcW w:w="2076" w:type="dxa"/>
            <w:vAlign w:val="bottom"/>
          </w:tcPr>
          <w:p w:rsidRPr="009F1731" w:rsidR="00111235" w:rsidP="000B632B" w:rsidRDefault="00111235" w14:paraId="325ABC01" w14:textId="77777777">
            <w:pPr>
              <w:spacing w:line="240" w:lineRule="exact"/>
              <w:jc w:val="right"/>
              <w:rPr>
                <w:rFonts w:cs="Calibri"/>
                <w:color w:val="000000" w:themeColor="text1"/>
                <w:szCs w:val="18"/>
              </w:rPr>
            </w:pPr>
            <w:r w:rsidRPr="009F1731">
              <w:rPr>
                <w:rFonts w:cs="Calibri"/>
                <w:color w:val="000000"/>
                <w:szCs w:val="18"/>
              </w:rPr>
              <w:t>680</w:t>
            </w:r>
          </w:p>
        </w:tc>
      </w:tr>
      <w:tr w:rsidRPr="009F1731" w:rsidR="00111235" w:rsidTr="000B632B" w14:paraId="41A8CB73" w14:textId="77777777">
        <w:tc>
          <w:tcPr>
            <w:tcW w:w="867" w:type="dxa"/>
          </w:tcPr>
          <w:p w:rsidRPr="009F1731" w:rsidR="00111235" w:rsidP="000B632B" w:rsidRDefault="00111235" w14:paraId="23817EF9" w14:textId="77777777">
            <w:pPr>
              <w:spacing w:line="240" w:lineRule="exact"/>
              <w:rPr>
                <w:szCs w:val="18"/>
                <w:lang w:val="nl-NL"/>
              </w:rPr>
            </w:pPr>
            <w:r w:rsidRPr="009F1731">
              <w:rPr>
                <w:szCs w:val="18"/>
                <w:lang w:val="nl-NL"/>
              </w:rPr>
              <w:t>4</w:t>
            </w:r>
          </w:p>
        </w:tc>
        <w:tc>
          <w:tcPr>
            <w:tcW w:w="2105" w:type="dxa"/>
            <w:vAlign w:val="bottom"/>
          </w:tcPr>
          <w:p w:rsidRPr="009F1731" w:rsidR="00111235" w:rsidP="000B632B" w:rsidRDefault="00111235" w14:paraId="39F0EC2D" w14:textId="77777777">
            <w:pPr>
              <w:spacing w:line="240" w:lineRule="exact"/>
              <w:jc w:val="right"/>
              <w:rPr>
                <w:szCs w:val="18"/>
              </w:rPr>
            </w:pPr>
            <w:r w:rsidRPr="009F1731">
              <w:rPr>
                <w:rFonts w:cs="Arial"/>
                <w:szCs w:val="18"/>
              </w:rPr>
              <w:t xml:space="preserve">             1.163.000 </w:t>
            </w:r>
          </w:p>
        </w:tc>
        <w:tc>
          <w:tcPr>
            <w:tcW w:w="1985" w:type="dxa"/>
            <w:vAlign w:val="bottom"/>
          </w:tcPr>
          <w:p w:rsidRPr="009F1731" w:rsidR="00111235" w:rsidP="000B632B" w:rsidRDefault="00111235" w14:paraId="6AA14C64" w14:textId="77777777">
            <w:pPr>
              <w:spacing w:line="240" w:lineRule="exact"/>
              <w:jc w:val="right"/>
              <w:rPr>
                <w:rFonts w:cs="Calibri"/>
                <w:color w:val="000000" w:themeColor="text1"/>
                <w:szCs w:val="18"/>
              </w:rPr>
            </w:pPr>
            <w:r w:rsidRPr="009F1731">
              <w:rPr>
                <w:rFonts w:cs="Calibri"/>
                <w:color w:val="000000"/>
                <w:szCs w:val="18"/>
              </w:rPr>
              <w:t>560</w:t>
            </w:r>
          </w:p>
        </w:tc>
        <w:tc>
          <w:tcPr>
            <w:tcW w:w="1984" w:type="dxa"/>
            <w:vAlign w:val="bottom"/>
          </w:tcPr>
          <w:p w:rsidRPr="009F1731" w:rsidR="00111235" w:rsidP="000B632B" w:rsidRDefault="00111235" w14:paraId="48FC948F" w14:textId="77777777">
            <w:pPr>
              <w:spacing w:line="240" w:lineRule="exact"/>
              <w:jc w:val="right"/>
              <w:rPr>
                <w:rFonts w:cs="Calibri"/>
                <w:color w:val="000000" w:themeColor="text1"/>
                <w:szCs w:val="18"/>
              </w:rPr>
            </w:pPr>
            <w:r w:rsidRPr="009F1731">
              <w:rPr>
                <w:rFonts w:cs="Calibri"/>
                <w:color w:val="000000"/>
                <w:szCs w:val="18"/>
              </w:rPr>
              <w:t>630</w:t>
            </w:r>
          </w:p>
        </w:tc>
        <w:tc>
          <w:tcPr>
            <w:tcW w:w="2076" w:type="dxa"/>
            <w:vAlign w:val="bottom"/>
          </w:tcPr>
          <w:p w:rsidRPr="009F1731" w:rsidR="00111235" w:rsidP="000B632B" w:rsidRDefault="00111235" w14:paraId="1CDC11EF" w14:textId="77777777">
            <w:pPr>
              <w:spacing w:line="240" w:lineRule="exact"/>
              <w:jc w:val="right"/>
              <w:rPr>
                <w:rFonts w:cs="Calibri"/>
                <w:color w:val="000000" w:themeColor="text1"/>
                <w:szCs w:val="18"/>
              </w:rPr>
            </w:pPr>
            <w:r w:rsidRPr="009F1731">
              <w:rPr>
                <w:rFonts w:cs="Calibri"/>
                <w:color w:val="000000"/>
                <w:szCs w:val="18"/>
              </w:rPr>
              <w:t>700</w:t>
            </w:r>
          </w:p>
        </w:tc>
      </w:tr>
      <w:tr w:rsidRPr="009F1731" w:rsidR="00111235" w:rsidTr="000B632B" w14:paraId="69A5DEAB" w14:textId="77777777">
        <w:tc>
          <w:tcPr>
            <w:tcW w:w="867" w:type="dxa"/>
          </w:tcPr>
          <w:p w:rsidRPr="009F1731" w:rsidR="00111235" w:rsidP="000B632B" w:rsidRDefault="00111235" w14:paraId="0391DB84" w14:textId="77777777">
            <w:pPr>
              <w:spacing w:line="240" w:lineRule="exact"/>
              <w:rPr>
                <w:szCs w:val="18"/>
                <w:lang w:val="nl-NL"/>
              </w:rPr>
            </w:pPr>
            <w:r w:rsidRPr="009F1731">
              <w:rPr>
                <w:szCs w:val="18"/>
                <w:lang w:val="nl-NL"/>
              </w:rPr>
              <w:t>5</w:t>
            </w:r>
          </w:p>
        </w:tc>
        <w:tc>
          <w:tcPr>
            <w:tcW w:w="2105" w:type="dxa"/>
            <w:vAlign w:val="bottom"/>
          </w:tcPr>
          <w:p w:rsidRPr="009F1731" w:rsidR="00111235" w:rsidP="000B632B" w:rsidRDefault="00111235" w14:paraId="0D9EF72D" w14:textId="77777777">
            <w:pPr>
              <w:spacing w:line="240" w:lineRule="exact"/>
              <w:jc w:val="right"/>
              <w:rPr>
                <w:szCs w:val="18"/>
              </w:rPr>
            </w:pPr>
            <w:r w:rsidRPr="009F1731">
              <w:rPr>
                <w:rFonts w:cs="Arial"/>
                <w:szCs w:val="18"/>
              </w:rPr>
              <w:t xml:space="preserve">             1.165.000 </w:t>
            </w:r>
          </w:p>
        </w:tc>
        <w:tc>
          <w:tcPr>
            <w:tcW w:w="1985" w:type="dxa"/>
            <w:vAlign w:val="bottom"/>
          </w:tcPr>
          <w:p w:rsidRPr="009F1731" w:rsidR="00111235" w:rsidP="000B632B" w:rsidRDefault="00111235" w14:paraId="267D30DF" w14:textId="77777777">
            <w:pPr>
              <w:spacing w:line="240" w:lineRule="exact"/>
              <w:jc w:val="right"/>
              <w:rPr>
                <w:rFonts w:cs="Calibri"/>
                <w:color w:val="000000" w:themeColor="text1"/>
                <w:szCs w:val="18"/>
              </w:rPr>
            </w:pPr>
            <w:r w:rsidRPr="009F1731">
              <w:rPr>
                <w:rFonts w:cs="Calibri"/>
                <w:color w:val="000000"/>
                <w:szCs w:val="18"/>
              </w:rPr>
              <w:t>560</w:t>
            </w:r>
          </w:p>
        </w:tc>
        <w:tc>
          <w:tcPr>
            <w:tcW w:w="1984" w:type="dxa"/>
            <w:vAlign w:val="bottom"/>
          </w:tcPr>
          <w:p w:rsidRPr="009F1731" w:rsidR="00111235" w:rsidP="000B632B" w:rsidRDefault="00111235" w14:paraId="2BC8A558" w14:textId="77777777">
            <w:pPr>
              <w:spacing w:line="240" w:lineRule="exact"/>
              <w:jc w:val="right"/>
              <w:rPr>
                <w:rFonts w:cs="Calibri"/>
                <w:color w:val="000000" w:themeColor="text1"/>
                <w:szCs w:val="18"/>
              </w:rPr>
            </w:pPr>
            <w:r w:rsidRPr="009F1731">
              <w:rPr>
                <w:rFonts w:cs="Calibri"/>
                <w:color w:val="000000"/>
                <w:szCs w:val="18"/>
              </w:rPr>
              <w:t>630</w:t>
            </w:r>
          </w:p>
        </w:tc>
        <w:tc>
          <w:tcPr>
            <w:tcW w:w="2076" w:type="dxa"/>
            <w:vAlign w:val="bottom"/>
          </w:tcPr>
          <w:p w:rsidRPr="009F1731" w:rsidR="00111235" w:rsidP="000B632B" w:rsidRDefault="00111235" w14:paraId="4B7BDBA3" w14:textId="77777777">
            <w:pPr>
              <w:spacing w:line="240" w:lineRule="exact"/>
              <w:jc w:val="right"/>
              <w:rPr>
                <w:rFonts w:cs="Calibri"/>
                <w:color w:val="000000" w:themeColor="text1"/>
                <w:szCs w:val="18"/>
              </w:rPr>
            </w:pPr>
            <w:r w:rsidRPr="009F1731">
              <w:rPr>
                <w:rFonts w:cs="Calibri"/>
                <w:color w:val="000000"/>
                <w:szCs w:val="18"/>
              </w:rPr>
              <w:t>700</w:t>
            </w:r>
          </w:p>
        </w:tc>
      </w:tr>
      <w:tr w:rsidRPr="009F1731" w:rsidR="00111235" w:rsidTr="000B632B" w14:paraId="6288A160" w14:textId="77777777">
        <w:tc>
          <w:tcPr>
            <w:tcW w:w="867" w:type="dxa"/>
          </w:tcPr>
          <w:p w:rsidRPr="009F1731" w:rsidR="00111235" w:rsidP="000B632B" w:rsidRDefault="00111235" w14:paraId="1B5C39E3" w14:textId="77777777">
            <w:pPr>
              <w:spacing w:line="240" w:lineRule="exact"/>
              <w:rPr>
                <w:szCs w:val="18"/>
                <w:lang w:val="nl-NL"/>
              </w:rPr>
            </w:pPr>
            <w:r w:rsidRPr="009F1731">
              <w:rPr>
                <w:szCs w:val="18"/>
                <w:lang w:val="nl-NL"/>
              </w:rPr>
              <w:t>6</w:t>
            </w:r>
          </w:p>
        </w:tc>
        <w:tc>
          <w:tcPr>
            <w:tcW w:w="2105" w:type="dxa"/>
            <w:vAlign w:val="bottom"/>
          </w:tcPr>
          <w:p w:rsidRPr="009F1731" w:rsidR="00111235" w:rsidP="000B632B" w:rsidRDefault="00111235" w14:paraId="3C25854B" w14:textId="77777777">
            <w:pPr>
              <w:spacing w:line="240" w:lineRule="exact"/>
              <w:jc w:val="right"/>
              <w:rPr>
                <w:szCs w:val="18"/>
              </w:rPr>
            </w:pPr>
            <w:r w:rsidRPr="009F1731">
              <w:rPr>
                <w:rFonts w:cs="Arial"/>
                <w:szCs w:val="18"/>
              </w:rPr>
              <w:t xml:space="preserve">             1.442.000 </w:t>
            </w:r>
          </w:p>
        </w:tc>
        <w:tc>
          <w:tcPr>
            <w:tcW w:w="1985" w:type="dxa"/>
            <w:vAlign w:val="bottom"/>
          </w:tcPr>
          <w:p w:rsidRPr="009F1731" w:rsidR="00111235" w:rsidP="000B632B" w:rsidRDefault="00111235" w14:paraId="06776132" w14:textId="77777777">
            <w:pPr>
              <w:spacing w:line="240" w:lineRule="exact"/>
              <w:jc w:val="right"/>
              <w:rPr>
                <w:rFonts w:cs="Calibri"/>
                <w:color w:val="000000" w:themeColor="text1"/>
                <w:szCs w:val="18"/>
              </w:rPr>
            </w:pPr>
            <w:r w:rsidRPr="009F1731">
              <w:rPr>
                <w:rFonts w:cs="Calibri"/>
                <w:color w:val="000000"/>
                <w:szCs w:val="18"/>
              </w:rPr>
              <w:t>690</w:t>
            </w:r>
          </w:p>
        </w:tc>
        <w:tc>
          <w:tcPr>
            <w:tcW w:w="1984" w:type="dxa"/>
            <w:vAlign w:val="bottom"/>
          </w:tcPr>
          <w:p w:rsidRPr="009F1731" w:rsidR="00111235" w:rsidP="000B632B" w:rsidRDefault="00111235" w14:paraId="2CD87190" w14:textId="77777777">
            <w:pPr>
              <w:spacing w:line="240" w:lineRule="exact"/>
              <w:jc w:val="right"/>
              <w:rPr>
                <w:rFonts w:cs="Calibri"/>
                <w:color w:val="000000" w:themeColor="text1"/>
                <w:szCs w:val="18"/>
              </w:rPr>
            </w:pPr>
            <w:r w:rsidRPr="009F1731">
              <w:rPr>
                <w:rFonts w:cs="Calibri"/>
                <w:color w:val="000000"/>
                <w:szCs w:val="18"/>
              </w:rPr>
              <w:t>780</w:t>
            </w:r>
          </w:p>
        </w:tc>
        <w:tc>
          <w:tcPr>
            <w:tcW w:w="2076" w:type="dxa"/>
            <w:vAlign w:val="bottom"/>
          </w:tcPr>
          <w:p w:rsidRPr="009F1731" w:rsidR="00111235" w:rsidP="000B632B" w:rsidRDefault="00111235" w14:paraId="06897636" w14:textId="77777777">
            <w:pPr>
              <w:spacing w:line="240" w:lineRule="exact"/>
              <w:jc w:val="right"/>
              <w:rPr>
                <w:rFonts w:cs="Calibri"/>
                <w:color w:val="000000" w:themeColor="text1"/>
                <w:szCs w:val="18"/>
              </w:rPr>
            </w:pPr>
            <w:r w:rsidRPr="009F1731">
              <w:rPr>
                <w:rFonts w:cs="Calibri"/>
                <w:color w:val="000000"/>
                <w:szCs w:val="18"/>
              </w:rPr>
              <w:t>860</w:t>
            </w:r>
          </w:p>
        </w:tc>
      </w:tr>
      <w:tr w:rsidRPr="009F1731" w:rsidR="00111235" w:rsidTr="000B632B" w14:paraId="48ADBBAE" w14:textId="77777777">
        <w:tc>
          <w:tcPr>
            <w:tcW w:w="867" w:type="dxa"/>
          </w:tcPr>
          <w:p w:rsidRPr="009F1731" w:rsidR="00111235" w:rsidP="000B632B" w:rsidRDefault="00111235" w14:paraId="2EA3BCB6" w14:textId="77777777">
            <w:pPr>
              <w:spacing w:line="240" w:lineRule="exact"/>
              <w:rPr>
                <w:szCs w:val="18"/>
                <w:lang w:val="nl-NL"/>
              </w:rPr>
            </w:pPr>
            <w:r w:rsidRPr="009F1731">
              <w:rPr>
                <w:szCs w:val="18"/>
                <w:lang w:val="nl-NL"/>
              </w:rPr>
              <w:t>7</w:t>
            </w:r>
          </w:p>
        </w:tc>
        <w:tc>
          <w:tcPr>
            <w:tcW w:w="2105" w:type="dxa"/>
            <w:vAlign w:val="bottom"/>
          </w:tcPr>
          <w:p w:rsidRPr="009F1731" w:rsidR="00111235" w:rsidP="000B632B" w:rsidRDefault="00111235" w14:paraId="5A8B6DFA" w14:textId="77777777">
            <w:pPr>
              <w:spacing w:line="240" w:lineRule="exact"/>
              <w:jc w:val="right"/>
              <w:rPr>
                <w:szCs w:val="18"/>
              </w:rPr>
            </w:pPr>
            <w:r w:rsidRPr="009F1731">
              <w:rPr>
                <w:rFonts w:cs="Arial"/>
                <w:szCs w:val="18"/>
              </w:rPr>
              <w:t xml:space="preserve">                973.000 </w:t>
            </w:r>
          </w:p>
        </w:tc>
        <w:tc>
          <w:tcPr>
            <w:tcW w:w="1985" w:type="dxa"/>
            <w:vAlign w:val="bottom"/>
          </w:tcPr>
          <w:p w:rsidRPr="009F1731" w:rsidR="00111235" w:rsidP="000B632B" w:rsidRDefault="00111235" w14:paraId="3207042F" w14:textId="77777777">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111235" w:rsidP="000B632B" w:rsidRDefault="00111235" w14:paraId="52385C49" w14:textId="77777777">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111235" w:rsidP="000B632B" w:rsidRDefault="00111235" w14:paraId="573934DC" w14:textId="77777777">
            <w:pPr>
              <w:spacing w:line="240" w:lineRule="exact"/>
              <w:jc w:val="right"/>
              <w:rPr>
                <w:rFonts w:cs="Calibri"/>
                <w:color w:val="000000" w:themeColor="text1"/>
                <w:szCs w:val="18"/>
              </w:rPr>
            </w:pPr>
            <w:r w:rsidRPr="009F1731">
              <w:rPr>
                <w:rFonts w:cs="Calibri"/>
                <w:color w:val="000000"/>
                <w:szCs w:val="18"/>
              </w:rPr>
              <w:t>580</w:t>
            </w:r>
          </w:p>
        </w:tc>
      </w:tr>
      <w:tr w:rsidRPr="009F1731" w:rsidR="00111235" w:rsidTr="000B632B" w14:paraId="3634443C" w14:textId="77777777">
        <w:tc>
          <w:tcPr>
            <w:tcW w:w="867" w:type="dxa"/>
          </w:tcPr>
          <w:p w:rsidRPr="009F1731" w:rsidR="00111235" w:rsidP="000B632B" w:rsidRDefault="00111235" w14:paraId="4C05E14B" w14:textId="77777777">
            <w:pPr>
              <w:spacing w:line="240" w:lineRule="exact"/>
              <w:rPr>
                <w:szCs w:val="18"/>
                <w:lang w:val="nl-NL"/>
              </w:rPr>
            </w:pPr>
            <w:r w:rsidRPr="009F1731">
              <w:rPr>
                <w:szCs w:val="18"/>
                <w:lang w:val="nl-NL"/>
              </w:rPr>
              <w:t>8</w:t>
            </w:r>
          </w:p>
        </w:tc>
        <w:tc>
          <w:tcPr>
            <w:tcW w:w="2105" w:type="dxa"/>
            <w:vAlign w:val="bottom"/>
          </w:tcPr>
          <w:p w:rsidRPr="009F1731" w:rsidR="00111235" w:rsidP="000B632B" w:rsidRDefault="00111235" w14:paraId="18A0E758" w14:textId="77777777">
            <w:pPr>
              <w:spacing w:line="240" w:lineRule="exact"/>
              <w:jc w:val="right"/>
              <w:rPr>
                <w:szCs w:val="18"/>
              </w:rPr>
            </w:pPr>
            <w:r w:rsidRPr="009F1731">
              <w:rPr>
                <w:rFonts w:cs="Arial"/>
                <w:szCs w:val="18"/>
              </w:rPr>
              <w:t xml:space="preserve">                980.000 </w:t>
            </w:r>
          </w:p>
        </w:tc>
        <w:tc>
          <w:tcPr>
            <w:tcW w:w="1985" w:type="dxa"/>
            <w:vAlign w:val="bottom"/>
          </w:tcPr>
          <w:p w:rsidRPr="009F1731" w:rsidR="00111235" w:rsidP="000B632B" w:rsidRDefault="00111235" w14:paraId="6FD7E06D" w14:textId="77777777">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111235" w:rsidP="000B632B" w:rsidRDefault="00111235" w14:paraId="47C99E0C" w14:textId="77777777">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111235" w:rsidP="000B632B" w:rsidRDefault="00111235" w14:paraId="1CC1144B" w14:textId="77777777">
            <w:pPr>
              <w:spacing w:line="240" w:lineRule="exact"/>
              <w:jc w:val="right"/>
              <w:rPr>
                <w:rFonts w:cs="Calibri"/>
                <w:color w:val="000000" w:themeColor="text1"/>
                <w:szCs w:val="18"/>
              </w:rPr>
            </w:pPr>
            <w:r w:rsidRPr="009F1731">
              <w:rPr>
                <w:rFonts w:cs="Calibri"/>
                <w:color w:val="000000"/>
                <w:szCs w:val="18"/>
              </w:rPr>
              <w:t>590</w:t>
            </w:r>
          </w:p>
        </w:tc>
      </w:tr>
      <w:tr w:rsidRPr="009F1731" w:rsidR="00111235" w:rsidTr="000B632B" w14:paraId="37AC9E07" w14:textId="77777777">
        <w:trPr>
          <w:trHeight w:val="265"/>
        </w:trPr>
        <w:tc>
          <w:tcPr>
            <w:tcW w:w="867" w:type="dxa"/>
          </w:tcPr>
          <w:p w:rsidRPr="009F1731" w:rsidR="00111235" w:rsidP="000B632B" w:rsidRDefault="00111235" w14:paraId="0E2A741D" w14:textId="77777777">
            <w:pPr>
              <w:spacing w:line="240" w:lineRule="exact"/>
              <w:rPr>
                <w:szCs w:val="18"/>
                <w:lang w:val="nl-NL"/>
              </w:rPr>
            </w:pPr>
            <w:r w:rsidRPr="009F1731">
              <w:rPr>
                <w:szCs w:val="18"/>
                <w:lang w:val="nl-NL"/>
              </w:rPr>
              <w:t>9</w:t>
            </w:r>
          </w:p>
        </w:tc>
        <w:tc>
          <w:tcPr>
            <w:tcW w:w="2105" w:type="dxa"/>
            <w:vAlign w:val="bottom"/>
          </w:tcPr>
          <w:p w:rsidRPr="009F1731" w:rsidR="00111235" w:rsidP="000B632B" w:rsidRDefault="00111235" w14:paraId="0DB52680" w14:textId="77777777">
            <w:pPr>
              <w:spacing w:line="240" w:lineRule="exact"/>
              <w:jc w:val="right"/>
              <w:rPr>
                <w:szCs w:val="18"/>
              </w:rPr>
            </w:pPr>
            <w:r w:rsidRPr="009F1731">
              <w:rPr>
                <w:rFonts w:cs="Arial"/>
                <w:szCs w:val="18"/>
              </w:rPr>
              <w:t xml:space="preserve">                981.000 </w:t>
            </w:r>
          </w:p>
        </w:tc>
        <w:tc>
          <w:tcPr>
            <w:tcW w:w="1985" w:type="dxa"/>
            <w:vAlign w:val="bottom"/>
          </w:tcPr>
          <w:p w:rsidRPr="009F1731" w:rsidR="00111235" w:rsidP="000B632B" w:rsidRDefault="00111235" w14:paraId="7992A52F" w14:textId="77777777">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111235" w:rsidP="000B632B" w:rsidRDefault="00111235" w14:paraId="09D7EE1E" w14:textId="77777777">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111235" w:rsidP="000B632B" w:rsidRDefault="00111235" w14:paraId="3BD6BA0F" w14:textId="77777777">
            <w:pPr>
              <w:spacing w:line="240" w:lineRule="exact"/>
              <w:jc w:val="right"/>
              <w:rPr>
                <w:rFonts w:cs="Calibri"/>
                <w:color w:val="000000" w:themeColor="text1"/>
                <w:szCs w:val="18"/>
              </w:rPr>
            </w:pPr>
            <w:r w:rsidRPr="009F1731">
              <w:rPr>
                <w:rFonts w:cs="Calibri"/>
                <w:color w:val="000000"/>
                <w:szCs w:val="18"/>
              </w:rPr>
              <w:t>590</w:t>
            </w:r>
          </w:p>
        </w:tc>
      </w:tr>
    </w:tbl>
    <w:p w:rsidR="00111235" w:rsidP="00111235" w:rsidRDefault="00111235" w14:paraId="74373E71" w14:textId="77777777">
      <w:pPr>
        <w:spacing w:after="0" w:line="240" w:lineRule="exact"/>
        <w:rPr>
          <w:szCs w:val="18"/>
        </w:rPr>
      </w:pPr>
    </w:p>
    <w:p w:rsidR="00111235" w:rsidP="00111235" w:rsidRDefault="00111235" w14:paraId="06637555" w14:textId="77777777">
      <w:pPr>
        <w:spacing w:after="0" w:line="240" w:lineRule="exact"/>
        <w:rPr>
          <w:szCs w:val="18"/>
        </w:rPr>
      </w:pPr>
      <w:r>
        <w:rPr>
          <w:szCs w:val="18"/>
        </w:rPr>
        <w:t>De motie Klaver c.s.</w:t>
      </w:r>
      <w:r>
        <w:rPr>
          <w:rStyle w:val="Voetnootmarkering"/>
          <w:szCs w:val="18"/>
        </w:rPr>
        <w:footnoteReference w:id="1"/>
      </w:r>
      <w:r>
        <w:rPr>
          <w:szCs w:val="18"/>
        </w:rPr>
        <w:t xml:space="preserve"> verzoekt </w:t>
      </w:r>
      <w:r w:rsidRPr="002529AD">
        <w:rPr>
          <w:szCs w:val="18"/>
        </w:rPr>
        <w:t>om bij het uitwerken van de opties mee te nemen of en hoe middeninkomens aanspraak kunnen maken op het fonds</w:t>
      </w:r>
      <w:r>
        <w:rPr>
          <w:szCs w:val="18"/>
        </w:rPr>
        <w:t>. Bovenstaande en andere varianten betrek ik daarom bij de besluitvorming en voer daarmee deze motie uit. Over de uiteindelijke doelgroep en tegemoetkoming zal ik uw Kamer later nader informeren.</w:t>
      </w:r>
    </w:p>
    <w:p w:rsidR="00111235" w:rsidP="00111235" w:rsidRDefault="00111235" w14:paraId="3098F028" w14:textId="77777777">
      <w:pPr>
        <w:spacing w:after="0" w:line="240" w:lineRule="exact"/>
        <w:rPr>
          <w:szCs w:val="18"/>
        </w:rPr>
      </w:pPr>
    </w:p>
    <w:p w:rsidR="00111235" w:rsidP="00111235" w:rsidRDefault="00111235" w14:paraId="764203CC" w14:textId="77777777">
      <w:pPr>
        <w:spacing w:after="0" w:line="240" w:lineRule="exact"/>
        <w:rPr>
          <w:szCs w:val="18"/>
        </w:rPr>
      </w:pPr>
    </w:p>
    <w:p w:rsidRPr="009F1731" w:rsidR="00111235" w:rsidP="00111235" w:rsidRDefault="00111235" w14:paraId="5D989E12" w14:textId="77777777">
      <w:pPr>
        <w:spacing w:after="0" w:line="240" w:lineRule="exact"/>
        <w:rPr>
          <w:szCs w:val="18"/>
        </w:rPr>
      </w:pPr>
    </w:p>
    <w:p w:rsidRPr="00F67B03" w:rsidR="00111235" w:rsidP="00111235" w:rsidRDefault="00111235" w14:paraId="42F50735" w14:textId="77777777">
      <w:pPr>
        <w:spacing w:after="0" w:line="240" w:lineRule="exact"/>
        <w:rPr>
          <w:szCs w:val="18"/>
          <w:u w:val="single"/>
        </w:rPr>
      </w:pPr>
      <w:bookmarkStart w:name="_Hlk225103173" w:id="0"/>
      <w:r w:rsidRPr="00F67B03">
        <w:rPr>
          <w:szCs w:val="18"/>
          <w:u w:val="single"/>
        </w:rPr>
        <w:t xml:space="preserve">Vraag 9 </w:t>
      </w:r>
    </w:p>
    <w:p w:rsidRPr="009F1731" w:rsidR="00111235" w:rsidP="00111235" w:rsidRDefault="00111235" w14:paraId="4D2260F5" w14:textId="77777777">
      <w:pPr>
        <w:spacing w:after="0" w:line="240" w:lineRule="exact"/>
        <w:rPr>
          <w:szCs w:val="18"/>
        </w:rPr>
      </w:pPr>
      <w:r w:rsidRPr="009F1731">
        <w:rPr>
          <w:szCs w:val="18"/>
        </w:rPr>
        <w:t>Kunt u aangeven wat de actuele inkomensgrenzen zijn voor huishoudens met inkomens tot 130%, 200%, 300% en 350% van het sociaal minimum voor zowel alleenstaanden als samenwonenden? Kunt u voor elke inkomensgrens aangeven om hoeveel huishoudens het gaat?</w:t>
      </w:r>
    </w:p>
    <w:bookmarkEnd w:id="0"/>
    <w:p w:rsidRPr="009F1731" w:rsidR="00111235" w:rsidP="00111235" w:rsidRDefault="00111235" w14:paraId="3AEE75A4" w14:textId="77777777">
      <w:pPr>
        <w:spacing w:after="0" w:line="240" w:lineRule="exact"/>
        <w:rPr>
          <w:szCs w:val="18"/>
        </w:rPr>
      </w:pPr>
    </w:p>
    <w:p w:rsidRPr="00F67B03" w:rsidR="00111235" w:rsidP="00111235" w:rsidRDefault="00111235" w14:paraId="6923D7DD" w14:textId="77777777">
      <w:pPr>
        <w:spacing w:after="0" w:line="240" w:lineRule="exact"/>
        <w:rPr>
          <w:szCs w:val="18"/>
          <w:u w:val="single"/>
        </w:rPr>
      </w:pPr>
      <w:bookmarkStart w:name="_Hlk225102930" w:id="1"/>
      <w:r w:rsidRPr="00F67B03">
        <w:rPr>
          <w:szCs w:val="18"/>
          <w:u w:val="single"/>
        </w:rPr>
        <w:t>Antwoord 9</w:t>
      </w:r>
    </w:p>
    <w:p w:rsidRPr="009F1731" w:rsidR="00111235" w:rsidP="00111235" w:rsidRDefault="00111235" w14:paraId="1F1D1779" w14:textId="77777777">
      <w:pPr>
        <w:spacing w:after="0" w:line="240" w:lineRule="exact"/>
        <w:rPr>
          <w:szCs w:val="18"/>
        </w:rPr>
      </w:pPr>
      <w:r w:rsidRPr="009F1731">
        <w:rPr>
          <w:szCs w:val="18"/>
        </w:rPr>
        <w:t>De onderstaande inkomensgrenzen zijn gebaseerd op het gewogen</w:t>
      </w:r>
      <w:r>
        <w:rPr>
          <w:szCs w:val="18"/>
        </w:rPr>
        <w:t xml:space="preserve"> </w:t>
      </w:r>
      <w:r w:rsidRPr="009F1731">
        <w:rPr>
          <w:szCs w:val="18"/>
        </w:rPr>
        <w:t xml:space="preserve">bruto sociaal minimum over heel 2026. Hiervoor is aangesloten bij de bruto normbedragen voor de Toeslagenwet. Deze </w:t>
      </w:r>
      <w:r>
        <w:rPr>
          <w:szCs w:val="18"/>
        </w:rPr>
        <w:t xml:space="preserve">inkomensgrenzen van TNE waren ook op deze </w:t>
      </w:r>
      <w:r w:rsidRPr="009F1731">
        <w:rPr>
          <w:szCs w:val="18"/>
        </w:rPr>
        <w:t>normen</w:t>
      </w:r>
      <w:r>
        <w:rPr>
          <w:szCs w:val="18"/>
        </w:rPr>
        <w:t xml:space="preserve"> gebaseerd</w:t>
      </w:r>
      <w:r w:rsidRPr="009F1731">
        <w:rPr>
          <w:szCs w:val="18"/>
        </w:rPr>
        <w:t>. De inkomensgrenzen zijn op maandbasis, bruto, exclusief de inkomensondersteunende toeslagen, inclusief 8% vakantietoeslag en afgerond op tientallen</w:t>
      </w:r>
      <w:r>
        <w:rPr>
          <w:szCs w:val="18"/>
        </w:rPr>
        <w:t xml:space="preserve"> euro</w:t>
      </w:r>
      <w:r w:rsidRPr="009F1731">
        <w:rPr>
          <w:szCs w:val="18"/>
        </w:rPr>
        <w:t>.</w:t>
      </w:r>
      <w:r>
        <w:rPr>
          <w:szCs w:val="18"/>
        </w:rPr>
        <w:t xml:space="preserve"> Het aantal huishoudens is geschat </w:t>
      </w:r>
      <w:r w:rsidRPr="009F1731">
        <w:rPr>
          <w:szCs w:val="18"/>
        </w:rPr>
        <w:t xml:space="preserve">voor 2026. </w:t>
      </w:r>
      <w:r>
        <w:rPr>
          <w:szCs w:val="18"/>
        </w:rPr>
        <w:t xml:space="preserve">De schatting is gemaakt met </w:t>
      </w:r>
      <w:r w:rsidRPr="009F1731">
        <w:rPr>
          <w:szCs w:val="18"/>
        </w:rPr>
        <w:t>CBS Microdata over inkomens uit 2024</w:t>
      </w:r>
      <w:r>
        <w:rPr>
          <w:szCs w:val="18"/>
        </w:rPr>
        <w:t xml:space="preserve"> die</w:t>
      </w:r>
      <w:r w:rsidRPr="009F1731">
        <w:rPr>
          <w:szCs w:val="18"/>
        </w:rPr>
        <w:t xml:space="preserve"> </w:t>
      </w:r>
      <w:r>
        <w:rPr>
          <w:szCs w:val="18"/>
        </w:rPr>
        <w:t xml:space="preserve">zijn </w:t>
      </w:r>
      <w:r w:rsidRPr="009F1731">
        <w:rPr>
          <w:szCs w:val="18"/>
        </w:rPr>
        <w:t>geïndexeerd naar 2026</w:t>
      </w:r>
      <w:r>
        <w:rPr>
          <w:szCs w:val="18"/>
        </w:rPr>
        <w:t>. Bij deze schatting is geen rekening gehouden met het energieverbruik.</w:t>
      </w:r>
    </w:p>
    <w:p w:rsidRPr="009F1731" w:rsidR="00111235" w:rsidP="00111235" w:rsidRDefault="00111235" w14:paraId="3A1A3CCC" w14:textId="77777777">
      <w:pPr>
        <w:spacing w:after="0" w:line="240" w:lineRule="exact"/>
        <w:rPr>
          <w:szCs w:val="18"/>
        </w:rPr>
      </w:pPr>
    </w:p>
    <w:tbl>
      <w:tblPr>
        <w:tblStyle w:val="Tabelraster"/>
        <w:tblW w:w="0" w:type="auto"/>
        <w:tblLook w:val="04A0" w:firstRow="1" w:lastRow="0" w:firstColumn="1" w:lastColumn="0" w:noHBand="0" w:noVBand="1"/>
      </w:tblPr>
      <w:tblGrid>
        <w:gridCol w:w="2254"/>
        <w:gridCol w:w="2254"/>
        <w:gridCol w:w="2254"/>
        <w:gridCol w:w="2254"/>
      </w:tblGrid>
      <w:tr w:rsidRPr="009F1731" w:rsidR="00111235" w:rsidTr="000B632B" w14:paraId="0C3D5235" w14:textId="77777777">
        <w:tc>
          <w:tcPr>
            <w:tcW w:w="2254" w:type="dxa"/>
          </w:tcPr>
          <w:p w:rsidRPr="00065402" w:rsidR="00111235" w:rsidP="000B632B" w:rsidRDefault="00111235" w14:paraId="1B9B2EA9" w14:textId="77777777">
            <w:pPr>
              <w:spacing w:line="240" w:lineRule="exact"/>
              <w:rPr>
                <w:szCs w:val="18"/>
                <w:lang w:val="nl-NL"/>
              </w:rPr>
            </w:pPr>
            <w:r w:rsidRPr="00065402">
              <w:rPr>
                <w:szCs w:val="18"/>
                <w:lang w:val="nl-NL"/>
              </w:rPr>
              <w:t>Percentage sociaal minimum</w:t>
            </w:r>
          </w:p>
        </w:tc>
        <w:tc>
          <w:tcPr>
            <w:tcW w:w="4508" w:type="dxa"/>
            <w:gridSpan w:val="2"/>
          </w:tcPr>
          <w:p w:rsidRPr="00065402" w:rsidR="00111235" w:rsidP="000B632B" w:rsidRDefault="00111235" w14:paraId="2B59C6FD" w14:textId="77777777">
            <w:pPr>
              <w:spacing w:line="240" w:lineRule="exact"/>
              <w:rPr>
                <w:szCs w:val="18"/>
                <w:lang w:val="nl-NL"/>
              </w:rPr>
            </w:pPr>
            <w:r w:rsidRPr="00065402">
              <w:rPr>
                <w:szCs w:val="18"/>
                <w:lang w:val="nl-NL"/>
              </w:rPr>
              <w:t>Bruto inkomensgrens, per huishoudtype</w:t>
            </w:r>
          </w:p>
        </w:tc>
        <w:tc>
          <w:tcPr>
            <w:tcW w:w="2254" w:type="dxa"/>
          </w:tcPr>
          <w:p w:rsidRPr="00065402" w:rsidR="00111235" w:rsidP="000B632B" w:rsidRDefault="00111235" w14:paraId="2E33973A" w14:textId="77777777">
            <w:pPr>
              <w:spacing w:line="240" w:lineRule="exact"/>
              <w:rPr>
                <w:szCs w:val="18"/>
                <w:lang w:val="nl-NL"/>
              </w:rPr>
            </w:pPr>
            <w:r w:rsidRPr="00065402">
              <w:rPr>
                <w:szCs w:val="18"/>
                <w:lang w:val="nl-NL"/>
              </w:rPr>
              <w:t>Aantal huishoudens</w:t>
            </w:r>
          </w:p>
        </w:tc>
      </w:tr>
      <w:tr w:rsidRPr="009F1731" w:rsidR="00111235" w:rsidTr="000B632B" w14:paraId="5559AD51" w14:textId="77777777">
        <w:tc>
          <w:tcPr>
            <w:tcW w:w="2254" w:type="dxa"/>
          </w:tcPr>
          <w:p w:rsidRPr="00065402" w:rsidR="00111235" w:rsidP="000B632B" w:rsidRDefault="00111235" w14:paraId="27876F55" w14:textId="77777777">
            <w:pPr>
              <w:spacing w:line="240" w:lineRule="exact"/>
              <w:rPr>
                <w:szCs w:val="18"/>
                <w:lang w:val="nl-NL"/>
              </w:rPr>
            </w:pPr>
          </w:p>
        </w:tc>
        <w:tc>
          <w:tcPr>
            <w:tcW w:w="2254" w:type="dxa"/>
          </w:tcPr>
          <w:p w:rsidRPr="00065402" w:rsidR="00111235" w:rsidP="000B632B" w:rsidRDefault="00111235" w14:paraId="11C6CC93" w14:textId="77777777">
            <w:pPr>
              <w:spacing w:line="240" w:lineRule="exact"/>
              <w:jc w:val="right"/>
              <w:rPr>
                <w:szCs w:val="18"/>
                <w:lang w:val="nl-NL"/>
              </w:rPr>
            </w:pPr>
            <w:r w:rsidRPr="00065402">
              <w:rPr>
                <w:szCs w:val="18"/>
                <w:lang w:val="nl-NL"/>
              </w:rPr>
              <w:t>Alleenstaande</w:t>
            </w:r>
          </w:p>
        </w:tc>
        <w:tc>
          <w:tcPr>
            <w:tcW w:w="2254" w:type="dxa"/>
          </w:tcPr>
          <w:p w:rsidRPr="00065402" w:rsidR="00111235" w:rsidP="000B632B" w:rsidRDefault="00111235" w14:paraId="12A2DBD4" w14:textId="77777777">
            <w:pPr>
              <w:spacing w:line="240" w:lineRule="exact"/>
              <w:jc w:val="right"/>
              <w:rPr>
                <w:szCs w:val="18"/>
                <w:lang w:val="nl-NL"/>
              </w:rPr>
            </w:pPr>
            <w:r w:rsidRPr="00065402">
              <w:rPr>
                <w:szCs w:val="18"/>
                <w:lang w:val="nl-NL"/>
              </w:rPr>
              <w:t>Samenwonenden</w:t>
            </w:r>
          </w:p>
        </w:tc>
        <w:tc>
          <w:tcPr>
            <w:tcW w:w="2254" w:type="dxa"/>
          </w:tcPr>
          <w:p w:rsidRPr="00065402" w:rsidR="00111235" w:rsidP="000B632B" w:rsidRDefault="00111235" w14:paraId="0CD7FEE1" w14:textId="77777777">
            <w:pPr>
              <w:spacing w:line="240" w:lineRule="exact"/>
              <w:jc w:val="right"/>
              <w:rPr>
                <w:szCs w:val="18"/>
                <w:lang w:val="nl-NL"/>
              </w:rPr>
            </w:pPr>
          </w:p>
        </w:tc>
      </w:tr>
      <w:tr w:rsidRPr="009F1731" w:rsidR="00111235" w:rsidTr="000B632B" w14:paraId="636F1B8C" w14:textId="77777777">
        <w:tc>
          <w:tcPr>
            <w:tcW w:w="2254" w:type="dxa"/>
          </w:tcPr>
          <w:p w:rsidRPr="009F1731" w:rsidR="00111235" w:rsidP="000B632B" w:rsidRDefault="00111235" w14:paraId="6C5AE360" w14:textId="77777777">
            <w:pPr>
              <w:spacing w:line="240" w:lineRule="exact"/>
              <w:rPr>
                <w:szCs w:val="18"/>
                <w:lang w:val="nl-NL"/>
              </w:rPr>
            </w:pPr>
            <w:r w:rsidRPr="009F1731">
              <w:rPr>
                <w:szCs w:val="18"/>
                <w:lang w:val="nl-NL"/>
              </w:rPr>
              <w:t>130%</w:t>
            </w:r>
          </w:p>
        </w:tc>
        <w:tc>
          <w:tcPr>
            <w:tcW w:w="2254" w:type="dxa"/>
          </w:tcPr>
          <w:p w:rsidRPr="009F1731" w:rsidR="00111235" w:rsidP="000B632B" w:rsidRDefault="00111235" w14:paraId="75D1C9BD" w14:textId="77777777">
            <w:pPr>
              <w:spacing w:line="240" w:lineRule="exact"/>
              <w:jc w:val="right"/>
              <w:rPr>
                <w:szCs w:val="18"/>
                <w:lang w:val="nl-NL"/>
              </w:rPr>
            </w:pPr>
            <w:r w:rsidRPr="009F1731">
              <w:rPr>
                <w:szCs w:val="18"/>
                <w:lang w:val="nl-NL"/>
              </w:rPr>
              <w:t>€ 2.3</w:t>
            </w:r>
            <w:r>
              <w:rPr>
                <w:szCs w:val="18"/>
                <w:lang w:val="nl-NL"/>
              </w:rPr>
              <w:t>3</w:t>
            </w:r>
            <w:r w:rsidRPr="009F1731">
              <w:rPr>
                <w:szCs w:val="18"/>
                <w:lang w:val="nl-NL"/>
              </w:rPr>
              <w:t>0</w:t>
            </w:r>
          </w:p>
        </w:tc>
        <w:tc>
          <w:tcPr>
            <w:tcW w:w="2254" w:type="dxa"/>
          </w:tcPr>
          <w:p w:rsidRPr="009F1731" w:rsidR="00111235" w:rsidP="000B632B" w:rsidRDefault="00111235" w14:paraId="0C355F35" w14:textId="77777777">
            <w:pPr>
              <w:spacing w:line="240" w:lineRule="exact"/>
              <w:jc w:val="right"/>
              <w:rPr>
                <w:szCs w:val="18"/>
                <w:lang w:val="nl-NL"/>
              </w:rPr>
            </w:pPr>
            <w:r w:rsidRPr="009F1731">
              <w:rPr>
                <w:szCs w:val="18"/>
                <w:lang w:val="nl-NL"/>
              </w:rPr>
              <w:t>€ 3.2</w:t>
            </w:r>
            <w:r>
              <w:rPr>
                <w:szCs w:val="18"/>
                <w:lang w:val="nl-NL"/>
              </w:rPr>
              <w:t>6</w:t>
            </w:r>
            <w:r w:rsidRPr="009F1731">
              <w:rPr>
                <w:szCs w:val="18"/>
                <w:lang w:val="nl-NL"/>
              </w:rPr>
              <w:t xml:space="preserve">0 </w:t>
            </w:r>
          </w:p>
        </w:tc>
        <w:tc>
          <w:tcPr>
            <w:tcW w:w="2254" w:type="dxa"/>
          </w:tcPr>
          <w:p w:rsidRPr="009F1731" w:rsidR="00111235" w:rsidP="000B632B" w:rsidRDefault="00111235" w14:paraId="76923E5B" w14:textId="77777777">
            <w:pPr>
              <w:spacing w:line="240" w:lineRule="exact"/>
              <w:jc w:val="right"/>
              <w:rPr>
                <w:szCs w:val="18"/>
                <w:lang w:val="nl-NL"/>
              </w:rPr>
            </w:pPr>
            <w:r>
              <w:rPr>
                <w:szCs w:val="18"/>
                <w:lang w:val="nl-NL"/>
              </w:rPr>
              <w:t>1.387.000</w:t>
            </w:r>
          </w:p>
        </w:tc>
      </w:tr>
      <w:tr w:rsidRPr="009F1731" w:rsidR="00111235" w:rsidTr="000B632B" w14:paraId="5B028827" w14:textId="77777777">
        <w:tc>
          <w:tcPr>
            <w:tcW w:w="2254" w:type="dxa"/>
          </w:tcPr>
          <w:p w:rsidRPr="009F1731" w:rsidR="00111235" w:rsidP="000B632B" w:rsidRDefault="00111235" w14:paraId="3880B8AE" w14:textId="77777777">
            <w:pPr>
              <w:spacing w:line="240" w:lineRule="exact"/>
              <w:rPr>
                <w:szCs w:val="18"/>
                <w:lang w:val="nl-NL"/>
              </w:rPr>
            </w:pPr>
            <w:r w:rsidRPr="009F1731">
              <w:rPr>
                <w:szCs w:val="18"/>
                <w:lang w:val="nl-NL"/>
              </w:rPr>
              <w:t>200%</w:t>
            </w:r>
          </w:p>
        </w:tc>
        <w:tc>
          <w:tcPr>
            <w:tcW w:w="2254" w:type="dxa"/>
          </w:tcPr>
          <w:p w:rsidRPr="009F1731" w:rsidR="00111235" w:rsidP="000B632B" w:rsidRDefault="00111235" w14:paraId="3D39B77D" w14:textId="77777777">
            <w:pPr>
              <w:spacing w:line="240" w:lineRule="exact"/>
              <w:jc w:val="right"/>
              <w:rPr>
                <w:szCs w:val="18"/>
                <w:lang w:val="nl-NL"/>
              </w:rPr>
            </w:pPr>
            <w:r w:rsidRPr="009F1731">
              <w:rPr>
                <w:szCs w:val="18"/>
                <w:lang w:val="nl-NL"/>
              </w:rPr>
              <w:t>€ 3.5</w:t>
            </w:r>
            <w:r>
              <w:rPr>
                <w:szCs w:val="18"/>
                <w:lang w:val="nl-NL"/>
              </w:rPr>
              <w:t>9</w:t>
            </w:r>
            <w:r w:rsidRPr="009F1731">
              <w:rPr>
                <w:szCs w:val="18"/>
                <w:lang w:val="nl-NL"/>
              </w:rPr>
              <w:t>0</w:t>
            </w:r>
          </w:p>
        </w:tc>
        <w:tc>
          <w:tcPr>
            <w:tcW w:w="2254" w:type="dxa"/>
          </w:tcPr>
          <w:p w:rsidRPr="009F1731" w:rsidR="00111235" w:rsidP="000B632B" w:rsidRDefault="00111235" w14:paraId="6A410CCD" w14:textId="77777777">
            <w:pPr>
              <w:spacing w:line="240" w:lineRule="exact"/>
              <w:jc w:val="right"/>
              <w:rPr>
                <w:szCs w:val="18"/>
                <w:lang w:val="nl-NL"/>
              </w:rPr>
            </w:pPr>
            <w:r w:rsidRPr="009F1731">
              <w:rPr>
                <w:szCs w:val="18"/>
                <w:lang w:val="nl-NL"/>
              </w:rPr>
              <w:t xml:space="preserve">€ </w:t>
            </w:r>
            <w:r>
              <w:rPr>
                <w:szCs w:val="18"/>
                <w:lang w:val="nl-NL"/>
              </w:rPr>
              <w:t>5.01</w:t>
            </w:r>
            <w:r w:rsidRPr="009F1731">
              <w:rPr>
                <w:szCs w:val="18"/>
                <w:lang w:val="nl-NL"/>
              </w:rPr>
              <w:t>0</w:t>
            </w:r>
          </w:p>
        </w:tc>
        <w:tc>
          <w:tcPr>
            <w:tcW w:w="2254" w:type="dxa"/>
          </w:tcPr>
          <w:p w:rsidRPr="009F1731" w:rsidR="00111235" w:rsidP="000B632B" w:rsidRDefault="00111235" w14:paraId="5C94FEDF" w14:textId="77777777">
            <w:pPr>
              <w:spacing w:line="240" w:lineRule="exact"/>
              <w:jc w:val="right"/>
              <w:rPr>
                <w:szCs w:val="18"/>
                <w:lang w:val="nl-NL"/>
              </w:rPr>
            </w:pPr>
            <w:r>
              <w:rPr>
                <w:szCs w:val="18"/>
                <w:lang w:val="nl-NL"/>
              </w:rPr>
              <w:t>2.804.000</w:t>
            </w:r>
          </w:p>
        </w:tc>
      </w:tr>
      <w:tr w:rsidRPr="009F1731" w:rsidR="00111235" w:rsidTr="000B632B" w14:paraId="08793032" w14:textId="77777777">
        <w:tc>
          <w:tcPr>
            <w:tcW w:w="2254" w:type="dxa"/>
          </w:tcPr>
          <w:p w:rsidRPr="009F1731" w:rsidR="00111235" w:rsidP="000B632B" w:rsidRDefault="00111235" w14:paraId="0B2E2387" w14:textId="77777777">
            <w:pPr>
              <w:spacing w:line="240" w:lineRule="exact"/>
              <w:rPr>
                <w:szCs w:val="18"/>
                <w:lang w:val="nl-NL"/>
              </w:rPr>
            </w:pPr>
            <w:r w:rsidRPr="009F1731">
              <w:rPr>
                <w:szCs w:val="18"/>
                <w:lang w:val="nl-NL"/>
              </w:rPr>
              <w:t>300%</w:t>
            </w:r>
          </w:p>
        </w:tc>
        <w:tc>
          <w:tcPr>
            <w:tcW w:w="2254" w:type="dxa"/>
          </w:tcPr>
          <w:p w:rsidRPr="009F1731" w:rsidR="00111235" w:rsidP="000B632B" w:rsidRDefault="00111235" w14:paraId="04159FFA" w14:textId="77777777">
            <w:pPr>
              <w:spacing w:line="240" w:lineRule="exact"/>
              <w:jc w:val="right"/>
              <w:rPr>
                <w:szCs w:val="18"/>
                <w:lang w:val="nl-NL"/>
              </w:rPr>
            </w:pPr>
            <w:r w:rsidRPr="009F1731">
              <w:rPr>
                <w:szCs w:val="18"/>
                <w:lang w:val="nl-NL"/>
              </w:rPr>
              <w:t>€ 5.3</w:t>
            </w:r>
            <w:r>
              <w:rPr>
                <w:szCs w:val="18"/>
                <w:lang w:val="nl-NL"/>
              </w:rPr>
              <w:t>8</w:t>
            </w:r>
            <w:r w:rsidRPr="009F1731">
              <w:rPr>
                <w:szCs w:val="18"/>
                <w:lang w:val="nl-NL"/>
              </w:rPr>
              <w:t>0</w:t>
            </w:r>
          </w:p>
        </w:tc>
        <w:tc>
          <w:tcPr>
            <w:tcW w:w="2254" w:type="dxa"/>
          </w:tcPr>
          <w:p w:rsidRPr="009F1731" w:rsidR="00111235" w:rsidP="000B632B" w:rsidRDefault="00111235" w14:paraId="4CA6FA8F" w14:textId="77777777">
            <w:pPr>
              <w:spacing w:line="240" w:lineRule="exact"/>
              <w:jc w:val="right"/>
              <w:rPr>
                <w:szCs w:val="18"/>
                <w:lang w:val="nl-NL"/>
              </w:rPr>
            </w:pPr>
            <w:r w:rsidRPr="009F1731">
              <w:rPr>
                <w:szCs w:val="18"/>
                <w:lang w:val="nl-NL"/>
              </w:rPr>
              <w:t>€ 7.</w:t>
            </w:r>
            <w:r>
              <w:rPr>
                <w:szCs w:val="18"/>
                <w:lang w:val="nl-NL"/>
              </w:rPr>
              <w:t>76</w:t>
            </w:r>
            <w:r w:rsidRPr="009F1731">
              <w:rPr>
                <w:szCs w:val="18"/>
                <w:lang w:val="nl-NL"/>
              </w:rPr>
              <w:t>0</w:t>
            </w:r>
          </w:p>
        </w:tc>
        <w:tc>
          <w:tcPr>
            <w:tcW w:w="2254" w:type="dxa"/>
          </w:tcPr>
          <w:p w:rsidRPr="009F1731" w:rsidR="00111235" w:rsidP="000B632B" w:rsidRDefault="00111235" w14:paraId="3CE71764" w14:textId="77777777">
            <w:pPr>
              <w:spacing w:line="240" w:lineRule="exact"/>
              <w:jc w:val="right"/>
              <w:rPr>
                <w:szCs w:val="18"/>
                <w:lang w:val="nl-NL"/>
              </w:rPr>
            </w:pPr>
            <w:r>
              <w:rPr>
                <w:szCs w:val="18"/>
                <w:lang w:val="nl-NL"/>
              </w:rPr>
              <w:t>4.579.000</w:t>
            </w:r>
          </w:p>
        </w:tc>
      </w:tr>
      <w:tr w:rsidRPr="009F1731" w:rsidR="00111235" w:rsidTr="000B632B" w14:paraId="5EB2A807" w14:textId="77777777">
        <w:tc>
          <w:tcPr>
            <w:tcW w:w="2254" w:type="dxa"/>
          </w:tcPr>
          <w:p w:rsidRPr="009F1731" w:rsidR="00111235" w:rsidP="000B632B" w:rsidRDefault="00111235" w14:paraId="2C3AB1FA" w14:textId="77777777">
            <w:pPr>
              <w:spacing w:line="240" w:lineRule="exact"/>
              <w:rPr>
                <w:szCs w:val="18"/>
                <w:lang w:val="nl-NL"/>
              </w:rPr>
            </w:pPr>
            <w:r w:rsidRPr="009F1731">
              <w:rPr>
                <w:szCs w:val="18"/>
                <w:lang w:val="nl-NL"/>
              </w:rPr>
              <w:t>350%</w:t>
            </w:r>
          </w:p>
        </w:tc>
        <w:tc>
          <w:tcPr>
            <w:tcW w:w="2254" w:type="dxa"/>
          </w:tcPr>
          <w:p w:rsidRPr="009F1731" w:rsidR="00111235" w:rsidP="000B632B" w:rsidRDefault="00111235" w14:paraId="62CA860E" w14:textId="77777777">
            <w:pPr>
              <w:spacing w:line="240" w:lineRule="exact"/>
              <w:jc w:val="right"/>
              <w:rPr>
                <w:szCs w:val="18"/>
                <w:lang w:val="nl-NL"/>
              </w:rPr>
            </w:pPr>
            <w:r w:rsidRPr="009F1731">
              <w:rPr>
                <w:szCs w:val="18"/>
                <w:lang w:val="nl-NL"/>
              </w:rPr>
              <w:t>€ 6.2</w:t>
            </w:r>
            <w:r>
              <w:rPr>
                <w:szCs w:val="18"/>
                <w:lang w:val="nl-NL"/>
              </w:rPr>
              <w:t>7</w:t>
            </w:r>
            <w:r w:rsidRPr="009F1731">
              <w:rPr>
                <w:szCs w:val="18"/>
                <w:lang w:val="nl-NL"/>
              </w:rPr>
              <w:t>0</w:t>
            </w:r>
          </w:p>
        </w:tc>
        <w:tc>
          <w:tcPr>
            <w:tcW w:w="2254" w:type="dxa"/>
          </w:tcPr>
          <w:p w:rsidRPr="009F1731" w:rsidR="00111235" w:rsidP="000B632B" w:rsidRDefault="00111235" w14:paraId="0E85B6CF" w14:textId="77777777">
            <w:pPr>
              <w:spacing w:line="240" w:lineRule="exact"/>
              <w:jc w:val="right"/>
              <w:rPr>
                <w:szCs w:val="18"/>
                <w:lang w:val="nl-NL"/>
              </w:rPr>
            </w:pPr>
            <w:r w:rsidRPr="009F1731">
              <w:rPr>
                <w:szCs w:val="18"/>
                <w:lang w:val="nl-NL"/>
              </w:rPr>
              <w:t>€ 8.</w:t>
            </w:r>
            <w:r>
              <w:rPr>
                <w:szCs w:val="18"/>
                <w:lang w:val="nl-NL"/>
              </w:rPr>
              <w:t>76</w:t>
            </w:r>
            <w:r w:rsidRPr="009F1731">
              <w:rPr>
                <w:szCs w:val="18"/>
                <w:lang w:val="nl-NL"/>
              </w:rPr>
              <w:t>0</w:t>
            </w:r>
          </w:p>
        </w:tc>
        <w:tc>
          <w:tcPr>
            <w:tcW w:w="2254" w:type="dxa"/>
          </w:tcPr>
          <w:p w:rsidRPr="009F1731" w:rsidR="00111235" w:rsidP="000B632B" w:rsidRDefault="00111235" w14:paraId="3AC2D002" w14:textId="77777777">
            <w:pPr>
              <w:spacing w:line="240" w:lineRule="exact"/>
              <w:jc w:val="right"/>
              <w:rPr>
                <w:szCs w:val="18"/>
                <w:lang w:val="nl-NL"/>
              </w:rPr>
            </w:pPr>
            <w:r>
              <w:rPr>
                <w:szCs w:val="18"/>
                <w:lang w:val="nl-NL"/>
              </w:rPr>
              <w:t>5.250.000</w:t>
            </w:r>
          </w:p>
        </w:tc>
      </w:tr>
    </w:tbl>
    <w:p w:rsidR="00111235" w:rsidP="00111235" w:rsidRDefault="00111235" w14:paraId="06E50371" w14:textId="77777777">
      <w:pPr>
        <w:spacing w:after="0" w:line="240" w:lineRule="exact"/>
        <w:rPr>
          <w:szCs w:val="18"/>
        </w:rPr>
      </w:pPr>
    </w:p>
    <w:bookmarkEnd w:id="1"/>
    <w:p w:rsidRPr="00F67B03" w:rsidR="00111235" w:rsidP="00111235" w:rsidRDefault="00111235" w14:paraId="1AC1B2EF" w14:textId="77777777">
      <w:pPr>
        <w:spacing w:after="0" w:line="240" w:lineRule="exact"/>
        <w:rPr>
          <w:szCs w:val="18"/>
          <w:u w:val="single"/>
        </w:rPr>
      </w:pPr>
      <w:r w:rsidRPr="00F67B03">
        <w:rPr>
          <w:szCs w:val="18"/>
          <w:u w:val="single"/>
        </w:rPr>
        <w:t xml:space="preserve">Vraag 10 </w:t>
      </w:r>
    </w:p>
    <w:p w:rsidRPr="009F1731" w:rsidR="00111235" w:rsidP="00111235" w:rsidRDefault="00111235" w14:paraId="13FA4D19" w14:textId="77777777">
      <w:pPr>
        <w:spacing w:after="0" w:line="240" w:lineRule="exact"/>
        <w:rPr>
          <w:szCs w:val="18"/>
        </w:rPr>
      </w:pPr>
      <w:r w:rsidRPr="009F1731">
        <w:rPr>
          <w:szCs w:val="18"/>
        </w:rPr>
        <w:t>Kunt u deze vragen beantwoorden vóór de aanvang van de tweede termijn van de SZW-begroting op 19 maart of, indien eerder ingepland, voor het debat over de economische gevolgen van de oorlog in het Midden-Oosten voor Nederland?</w:t>
      </w:r>
    </w:p>
    <w:p w:rsidRPr="009F1731" w:rsidR="00111235" w:rsidP="00111235" w:rsidRDefault="00111235" w14:paraId="046C7C7F" w14:textId="77777777">
      <w:pPr>
        <w:spacing w:after="0" w:line="240" w:lineRule="exact"/>
        <w:rPr>
          <w:szCs w:val="18"/>
        </w:rPr>
      </w:pPr>
    </w:p>
    <w:p w:rsidRPr="00F67B03" w:rsidR="00111235" w:rsidP="00111235" w:rsidRDefault="00111235" w14:paraId="50F0C165" w14:textId="77777777">
      <w:pPr>
        <w:spacing w:after="0" w:line="240" w:lineRule="exact"/>
        <w:rPr>
          <w:szCs w:val="18"/>
          <w:u w:val="single"/>
        </w:rPr>
      </w:pPr>
      <w:r w:rsidRPr="00F67B03">
        <w:rPr>
          <w:szCs w:val="18"/>
          <w:u w:val="single"/>
        </w:rPr>
        <w:t>Antwoord 10</w:t>
      </w:r>
    </w:p>
    <w:p w:rsidRPr="009F1731" w:rsidR="00111235" w:rsidP="00111235" w:rsidRDefault="00111235" w14:paraId="3F380E71" w14:textId="77777777">
      <w:pPr>
        <w:spacing w:after="0" w:line="240" w:lineRule="exact"/>
        <w:rPr>
          <w:szCs w:val="18"/>
        </w:rPr>
      </w:pPr>
      <w:r>
        <w:rPr>
          <w:rFonts w:eastAsia="Verdana" w:cs="Verdana"/>
          <w:szCs w:val="18"/>
        </w:rPr>
        <w:t>Dit was helaas niet mogelijk. Ik doe u deze beantwoording toekomen voor het debat naar aanleiding van de kabinetsbrief op 22 april.</w:t>
      </w:r>
    </w:p>
    <w:p w:rsidR="00111235" w:rsidP="00111235" w:rsidRDefault="00111235" w14:paraId="648EDB37" w14:textId="77777777">
      <w:pPr>
        <w:spacing w:after="0" w:line="240" w:lineRule="exact"/>
        <w:rPr>
          <w:szCs w:val="18"/>
        </w:rPr>
      </w:pPr>
    </w:p>
    <w:p w:rsidR="00111235" w:rsidP="00111235" w:rsidRDefault="00111235" w14:paraId="577CC8D6" w14:textId="77777777">
      <w:pPr>
        <w:spacing w:after="0" w:line="240" w:lineRule="exact"/>
        <w:rPr>
          <w:szCs w:val="18"/>
        </w:rPr>
      </w:pPr>
    </w:p>
    <w:p w:rsidRPr="009F1731" w:rsidR="00111235" w:rsidP="00111235" w:rsidRDefault="00111235" w14:paraId="69319D3F" w14:textId="77777777">
      <w:pPr>
        <w:spacing w:after="0" w:line="240" w:lineRule="exact"/>
        <w:rPr>
          <w:szCs w:val="18"/>
        </w:rPr>
      </w:pPr>
    </w:p>
    <w:p w:rsidRPr="009F1731" w:rsidR="00111235" w:rsidP="00111235" w:rsidRDefault="00111235" w14:paraId="2F6A5C1E" w14:textId="77777777">
      <w:pPr>
        <w:spacing w:after="0" w:line="240" w:lineRule="exact"/>
        <w:rPr>
          <w:szCs w:val="18"/>
        </w:rPr>
      </w:pPr>
      <w:r w:rsidRPr="009F1731">
        <w:rPr>
          <w:szCs w:val="18"/>
        </w:rPr>
        <w:t>1) Telegraaf, 6 maart 2026, 'Essent vraagt snelle oplossing Noodfonds energie: ’Er is geen vangnet voor kwetsbare huishoudens’',</w:t>
      </w:r>
    </w:p>
    <w:p w:rsidR="00E77877" w:rsidRDefault="00E77877" w14:paraId="1E5CC9C3" w14:textId="77777777"/>
    <w:sectPr w:rsidR="00E77877" w:rsidSect="00111235">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04D0" w14:textId="77777777" w:rsidR="00111235" w:rsidRDefault="00111235" w:rsidP="00111235">
      <w:pPr>
        <w:spacing w:after="0" w:line="240" w:lineRule="auto"/>
      </w:pPr>
      <w:r>
        <w:separator/>
      </w:r>
    </w:p>
  </w:endnote>
  <w:endnote w:type="continuationSeparator" w:id="0">
    <w:p w14:paraId="4D02582D" w14:textId="77777777" w:rsidR="00111235" w:rsidRDefault="00111235" w:rsidP="0011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5D3E" w14:textId="77777777" w:rsidR="00111235" w:rsidRPr="00111235" w:rsidRDefault="00111235" w:rsidP="00111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14" w14:textId="77777777" w:rsidR="00111235" w:rsidRPr="00111235" w:rsidRDefault="00111235" w:rsidP="00111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651" w14:textId="77777777" w:rsidR="00111235" w:rsidRPr="00111235" w:rsidRDefault="00111235" w:rsidP="00111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EBDA" w14:textId="77777777" w:rsidR="00111235" w:rsidRDefault="00111235" w:rsidP="00111235">
      <w:pPr>
        <w:spacing w:after="0" w:line="240" w:lineRule="auto"/>
      </w:pPr>
      <w:r>
        <w:separator/>
      </w:r>
    </w:p>
  </w:footnote>
  <w:footnote w:type="continuationSeparator" w:id="0">
    <w:p w14:paraId="42FC3804" w14:textId="77777777" w:rsidR="00111235" w:rsidRDefault="00111235" w:rsidP="00111235">
      <w:pPr>
        <w:spacing w:after="0" w:line="240" w:lineRule="auto"/>
      </w:pPr>
      <w:r>
        <w:continuationSeparator/>
      </w:r>
    </w:p>
  </w:footnote>
  <w:footnote w:id="1">
    <w:p w14:paraId="2F8B6363" w14:textId="77777777" w:rsidR="00111235" w:rsidRPr="005022AD" w:rsidRDefault="00111235" w:rsidP="00111235">
      <w:pPr>
        <w:pStyle w:val="Voetnoottekst"/>
        <w:rPr>
          <w:lang w:val="nl-NL"/>
        </w:rPr>
      </w:pPr>
      <w:r w:rsidRPr="005022AD">
        <w:rPr>
          <w:rStyle w:val="Voetnootmarkering"/>
          <w:sz w:val="16"/>
          <w:szCs w:val="16"/>
        </w:rPr>
        <w:footnoteRef/>
      </w:r>
      <w:r w:rsidRPr="005022AD">
        <w:rPr>
          <w:sz w:val="16"/>
          <w:szCs w:val="16"/>
          <w:lang w:val="nl-NL"/>
        </w:rPr>
        <w:t xml:space="preserve"> </w:t>
      </w:r>
      <w:r w:rsidRPr="005022AD">
        <w:rPr>
          <w:i/>
          <w:iCs/>
          <w:sz w:val="16"/>
          <w:szCs w:val="16"/>
          <w:lang w:val="nl-NL"/>
        </w:rPr>
        <w:t>Kamerstukken II 2025/26</w:t>
      </w:r>
      <w:r w:rsidRPr="005022AD">
        <w:rPr>
          <w:sz w:val="16"/>
          <w:szCs w:val="16"/>
          <w:lang w:val="nl-NL"/>
        </w:rPr>
        <w:t>, 23 432, nr. 671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C736" w14:textId="77777777" w:rsidR="00111235" w:rsidRPr="00111235" w:rsidRDefault="00111235" w:rsidP="00111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1EEF" w14:textId="77777777" w:rsidR="00111235" w:rsidRPr="00111235" w:rsidRDefault="00111235" w:rsidP="00111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1C5" w14:textId="77777777" w:rsidR="00111235" w:rsidRPr="00111235" w:rsidRDefault="00111235" w:rsidP="001112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359C"/>
    <w:multiLevelType w:val="hybridMultilevel"/>
    <w:tmpl w:val="9E8C0702"/>
    <w:lvl w:ilvl="0" w:tplc="3B22D028">
      <w:start w:val="1"/>
      <w:numFmt w:val="decimal"/>
      <w:lvlText w:val="%1."/>
      <w:lvlJc w:val="left"/>
      <w:pPr>
        <w:ind w:left="720" w:hanging="360"/>
      </w:pPr>
    </w:lvl>
    <w:lvl w:ilvl="1" w:tplc="1C7E556A">
      <w:start w:val="1"/>
      <w:numFmt w:val="lowerLetter"/>
      <w:lvlText w:val="%2."/>
      <w:lvlJc w:val="left"/>
      <w:pPr>
        <w:ind w:left="1440" w:hanging="360"/>
      </w:pPr>
    </w:lvl>
    <w:lvl w:ilvl="2" w:tplc="1A36DE02">
      <w:start w:val="1"/>
      <w:numFmt w:val="lowerRoman"/>
      <w:lvlText w:val="%3."/>
      <w:lvlJc w:val="right"/>
      <w:pPr>
        <w:ind w:left="2160" w:hanging="180"/>
      </w:pPr>
    </w:lvl>
    <w:lvl w:ilvl="3" w:tplc="B6FA0C9C">
      <w:start w:val="1"/>
      <w:numFmt w:val="decimal"/>
      <w:lvlText w:val="%4."/>
      <w:lvlJc w:val="left"/>
      <w:pPr>
        <w:ind w:left="2880" w:hanging="360"/>
      </w:pPr>
    </w:lvl>
    <w:lvl w:ilvl="4" w:tplc="37DEA6D6">
      <w:start w:val="1"/>
      <w:numFmt w:val="lowerLetter"/>
      <w:lvlText w:val="%5."/>
      <w:lvlJc w:val="left"/>
      <w:pPr>
        <w:ind w:left="3600" w:hanging="360"/>
      </w:pPr>
    </w:lvl>
    <w:lvl w:ilvl="5" w:tplc="F070AD14">
      <w:start w:val="1"/>
      <w:numFmt w:val="lowerRoman"/>
      <w:lvlText w:val="%6."/>
      <w:lvlJc w:val="right"/>
      <w:pPr>
        <w:ind w:left="4320" w:hanging="180"/>
      </w:pPr>
    </w:lvl>
    <w:lvl w:ilvl="6" w:tplc="6EA8A486">
      <w:start w:val="1"/>
      <w:numFmt w:val="decimal"/>
      <w:lvlText w:val="%7."/>
      <w:lvlJc w:val="left"/>
      <w:pPr>
        <w:ind w:left="5040" w:hanging="360"/>
      </w:pPr>
    </w:lvl>
    <w:lvl w:ilvl="7" w:tplc="1A34B014">
      <w:start w:val="1"/>
      <w:numFmt w:val="lowerLetter"/>
      <w:lvlText w:val="%8."/>
      <w:lvlJc w:val="left"/>
      <w:pPr>
        <w:ind w:left="5760" w:hanging="360"/>
      </w:pPr>
    </w:lvl>
    <w:lvl w:ilvl="8" w:tplc="64242A1E">
      <w:start w:val="1"/>
      <w:numFmt w:val="lowerRoman"/>
      <w:lvlText w:val="%9."/>
      <w:lvlJc w:val="right"/>
      <w:pPr>
        <w:ind w:left="6480" w:hanging="180"/>
      </w:pPr>
    </w:lvl>
  </w:abstractNum>
  <w:num w:numId="1" w16cid:durableId="206779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35"/>
    <w:rsid w:val="00111235"/>
    <w:rsid w:val="00E35233"/>
    <w:rsid w:val="00E77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381F"/>
  <w15:chartTrackingRefBased/>
  <w15:docId w15:val="{6D7B3436-C16F-4B59-8C21-2AA8A7F2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1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1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12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12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12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1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1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1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1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2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12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12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12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12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1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1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1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1235"/>
    <w:rPr>
      <w:rFonts w:eastAsiaTheme="majorEastAsia" w:cstheme="majorBidi"/>
      <w:color w:val="272727" w:themeColor="text1" w:themeTint="D8"/>
    </w:rPr>
  </w:style>
  <w:style w:type="paragraph" w:styleId="Titel">
    <w:name w:val="Title"/>
    <w:basedOn w:val="Standaard"/>
    <w:next w:val="Standaard"/>
    <w:link w:val="TitelChar"/>
    <w:uiPriority w:val="10"/>
    <w:qFormat/>
    <w:rsid w:val="0011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1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1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1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1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123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111235"/>
    <w:pPr>
      <w:ind w:left="720"/>
      <w:contextualSpacing/>
    </w:pPr>
  </w:style>
  <w:style w:type="character" w:styleId="Intensievebenadrukking">
    <w:name w:val="Intense Emphasis"/>
    <w:basedOn w:val="Standaardalinea-lettertype"/>
    <w:uiPriority w:val="21"/>
    <w:qFormat/>
    <w:rsid w:val="00111235"/>
    <w:rPr>
      <w:i/>
      <w:iCs/>
      <w:color w:val="2F5496" w:themeColor="accent1" w:themeShade="BF"/>
    </w:rPr>
  </w:style>
  <w:style w:type="paragraph" w:styleId="Duidelijkcitaat">
    <w:name w:val="Intense Quote"/>
    <w:basedOn w:val="Standaard"/>
    <w:next w:val="Standaard"/>
    <w:link w:val="DuidelijkcitaatChar"/>
    <w:uiPriority w:val="30"/>
    <w:qFormat/>
    <w:rsid w:val="00111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1235"/>
    <w:rPr>
      <w:i/>
      <w:iCs/>
      <w:color w:val="2F5496" w:themeColor="accent1" w:themeShade="BF"/>
    </w:rPr>
  </w:style>
  <w:style w:type="character" w:styleId="Intensieveverwijzing">
    <w:name w:val="Intense Reference"/>
    <w:basedOn w:val="Standaardalinea-lettertype"/>
    <w:uiPriority w:val="32"/>
    <w:qFormat/>
    <w:rsid w:val="00111235"/>
    <w:rPr>
      <w:b/>
      <w:bCs/>
      <w:smallCaps/>
      <w:color w:val="2F5496" w:themeColor="accent1" w:themeShade="BF"/>
      <w:spacing w:val="5"/>
    </w:rPr>
  </w:style>
  <w:style w:type="table" w:styleId="Tabelraster">
    <w:name w:val="Table Grid"/>
    <w:basedOn w:val="Standaardtabel"/>
    <w:uiPriority w:val="39"/>
    <w:rsid w:val="00111235"/>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111235"/>
  </w:style>
  <w:style w:type="paragraph" w:styleId="Voetnoottekst">
    <w:name w:val="footnote text"/>
    <w:basedOn w:val="Standaard"/>
    <w:link w:val="VoetnoottekstChar"/>
    <w:uiPriority w:val="99"/>
    <w:semiHidden/>
    <w:unhideWhenUsed/>
    <w:rsid w:val="0011123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1123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11235"/>
    <w:rPr>
      <w:vertAlign w:val="superscript"/>
    </w:rPr>
  </w:style>
  <w:style w:type="paragraph" w:styleId="Koptekst">
    <w:name w:val="header"/>
    <w:basedOn w:val="Standaard"/>
    <w:link w:val="KoptekstChar"/>
    <w:uiPriority w:val="99"/>
    <w:unhideWhenUsed/>
    <w:rsid w:val="00111235"/>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111235"/>
    <w:rPr>
      <w:rFonts w:ascii="Verdana" w:hAnsi="Verdana"/>
      <w:kern w:val="0"/>
      <w:sz w:val="18"/>
      <w:lang w:val="en-US"/>
      <w14:ligatures w14:val="none"/>
    </w:rPr>
  </w:style>
  <w:style w:type="paragraph" w:styleId="Voettekst">
    <w:name w:val="footer"/>
    <w:basedOn w:val="Standaard"/>
    <w:link w:val="VoettekstChar"/>
    <w:uiPriority w:val="99"/>
    <w:unhideWhenUsed/>
    <w:rsid w:val="00111235"/>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111235"/>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1677</ap:Words>
  <ap:Characters>9227</ap:Characters>
  <ap:DocSecurity>0</ap:DocSecurity>
  <ap:Lines>76</ap:Lines>
  <ap:Paragraphs>21</ap:Paragraphs>
  <ap:ScaleCrop>false</ap:ScaleCrop>
  <ap:LinksUpToDate>false</ap:LinksUpToDate>
  <ap:CharactersWithSpaces>10883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2026-04-20T15:01:00.0000000Z</dcterms:created>
  <dcterms:modified xsi:type="dcterms:W3CDTF">2026-04-20T15:01:00.0000000Z</dcterms:modified>
  <version/>
  <category/>
</coreProperties>
</file>