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56D5" w:rsidR="007450A4" w:rsidP="004B25F3" w:rsidRDefault="007450A4" w14:paraId="63E29FED" w14:textId="1A7FC747">
      <w:pPr>
        <w:widowControl w:val="0"/>
        <w:spacing w:line="240" w:lineRule="exact"/>
        <w:contextualSpacing/>
        <w:rPr>
          <w:rFonts w:ascii="Verdana" w:hAnsi="Verdana" w:cs="Arial"/>
          <w:sz w:val="18"/>
          <w:szCs w:val="18"/>
        </w:rPr>
      </w:pPr>
      <w:r w:rsidRPr="007456D5">
        <w:rPr>
          <w:rFonts w:ascii="Verdana" w:hAnsi="Verdana" w:cs="Arial"/>
          <w:b/>
          <w:sz w:val="18"/>
          <w:szCs w:val="18"/>
        </w:rPr>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p w:rsidRPr="007456D5" w:rsidR="00122332" w:rsidP="004B25F3" w:rsidRDefault="00122332" w14:paraId="0432F15F" w14:textId="7641E6D6">
      <w:pPr>
        <w:widowControl w:val="0"/>
        <w:spacing w:line="240" w:lineRule="exact"/>
        <w:contextualSpacing/>
        <w:rPr>
          <w:rFonts w:ascii="Verdana" w:hAnsi="Verdana" w:cs="Arial"/>
          <w:sz w:val="18"/>
          <w:szCs w:val="18"/>
        </w:rPr>
      </w:pPr>
    </w:p>
    <w:p w:rsidRPr="007456D5" w:rsidR="00122332" w:rsidP="004B25F3" w:rsidRDefault="00122332" w14:paraId="316272CC" w14:textId="77777777">
      <w:pPr>
        <w:widowControl w:val="0"/>
        <w:spacing w:line="240" w:lineRule="exact"/>
        <w:contextualSpacing/>
        <w:rPr>
          <w:rFonts w:ascii="Verdana" w:hAnsi="Verdana" w:cs="Arial"/>
          <w:sz w:val="18"/>
          <w:szCs w:val="18"/>
        </w:rPr>
      </w:pPr>
    </w:p>
    <w:p w:rsidRPr="007456D5" w:rsidR="00122332" w:rsidP="004B25F3" w:rsidRDefault="00122332" w14:paraId="28DAD92C" w14:textId="77777777">
      <w:pPr>
        <w:widowControl w:val="0"/>
        <w:spacing w:line="240" w:lineRule="exact"/>
        <w:contextualSpacing/>
        <w:rPr>
          <w:rFonts w:ascii="Verdana" w:hAnsi="Verdana" w:cs="Arial"/>
          <w:b/>
          <w:sz w:val="18"/>
          <w:szCs w:val="18"/>
        </w:rPr>
      </w:pPr>
      <w:r w:rsidRPr="007456D5">
        <w:rPr>
          <w:rFonts w:ascii="Verdana" w:hAnsi="Verdana" w:cs="Arial"/>
          <w:b/>
          <w:sz w:val="18"/>
          <w:szCs w:val="18"/>
        </w:rPr>
        <w:t>MEMORIE VAN TOELICHTING</w:t>
      </w:r>
    </w:p>
    <w:p w:rsidRPr="007456D5" w:rsidR="00122332" w:rsidP="004B25F3" w:rsidRDefault="00122332" w14:paraId="6ECA3763" w14:textId="77777777">
      <w:pPr>
        <w:widowControl w:val="0"/>
        <w:spacing w:line="240" w:lineRule="exact"/>
        <w:contextualSpacing/>
        <w:rPr>
          <w:rFonts w:ascii="Verdana" w:hAnsi="Verdana" w:cs="Arial"/>
          <w:sz w:val="18"/>
          <w:szCs w:val="18"/>
        </w:rPr>
      </w:pPr>
    </w:p>
    <w:p w:rsidRPr="007456D5" w:rsidR="00122332" w:rsidP="004B25F3" w:rsidRDefault="00122332" w14:paraId="5EBBB8F7" w14:textId="77777777">
      <w:pPr>
        <w:widowControl w:val="0"/>
        <w:spacing w:line="240" w:lineRule="exact"/>
        <w:contextualSpacing/>
        <w:rPr>
          <w:rFonts w:ascii="Verdana" w:hAnsi="Verdana" w:cs="Arial"/>
          <w:sz w:val="18"/>
          <w:szCs w:val="18"/>
        </w:rPr>
      </w:pPr>
    </w:p>
    <w:p w:rsidRPr="007456D5" w:rsidR="00122332" w:rsidP="009C2659" w:rsidRDefault="00122332" w14:paraId="62B3BA10" w14:textId="77777777">
      <w:pPr>
        <w:widowControl w:val="0"/>
        <w:spacing w:line="240" w:lineRule="atLeast"/>
        <w:contextualSpacing/>
        <w:rPr>
          <w:rFonts w:ascii="Verdana" w:hAnsi="Verdana" w:cs="Arial"/>
          <w:b/>
          <w:sz w:val="18"/>
          <w:szCs w:val="18"/>
        </w:rPr>
      </w:pPr>
      <w:r w:rsidRPr="007456D5">
        <w:rPr>
          <w:rFonts w:ascii="Verdana" w:hAnsi="Verdana" w:cs="Arial"/>
          <w:b/>
          <w:sz w:val="18"/>
          <w:szCs w:val="18"/>
        </w:rPr>
        <w:t>ALGEMEEN</w:t>
      </w:r>
    </w:p>
    <w:p w:rsidRPr="007456D5" w:rsidR="00122332" w:rsidP="009C2659" w:rsidRDefault="00122332" w14:paraId="23F5EBF4" w14:textId="77777777">
      <w:pPr>
        <w:widowControl w:val="0"/>
        <w:spacing w:line="240" w:lineRule="atLeast"/>
        <w:contextualSpacing/>
        <w:rPr>
          <w:rFonts w:ascii="Verdana" w:hAnsi="Verdana" w:cs="Arial"/>
          <w:sz w:val="18"/>
          <w:szCs w:val="18"/>
        </w:rPr>
      </w:pPr>
    </w:p>
    <w:p w:rsidRPr="007456D5" w:rsidR="00122332" w:rsidP="009C2659" w:rsidRDefault="00122332" w14:paraId="2C69B7F3" w14:textId="77777777">
      <w:pPr>
        <w:widowControl w:val="0"/>
        <w:spacing w:line="240" w:lineRule="atLeast"/>
        <w:contextualSpacing/>
        <w:rPr>
          <w:rFonts w:ascii="Verdana" w:hAnsi="Verdana" w:cs="Arial"/>
          <w:i/>
          <w:sz w:val="18"/>
          <w:szCs w:val="18"/>
        </w:rPr>
      </w:pPr>
      <w:r w:rsidRPr="007456D5">
        <w:rPr>
          <w:rFonts w:ascii="Verdana" w:hAnsi="Verdana" w:cs="Arial"/>
          <w:i/>
          <w:sz w:val="18"/>
          <w:szCs w:val="18"/>
        </w:rPr>
        <w:t>§ 1. Inleiding</w:t>
      </w:r>
    </w:p>
    <w:p w:rsidRPr="007456D5" w:rsidR="00122332" w:rsidP="009C2659" w:rsidRDefault="00122332" w14:paraId="6EC2A39D" w14:textId="77777777">
      <w:pPr>
        <w:widowControl w:val="0"/>
        <w:spacing w:line="240" w:lineRule="atLeast"/>
        <w:contextualSpacing/>
        <w:rPr>
          <w:rFonts w:ascii="Verdana" w:hAnsi="Verdana" w:cs="Arial"/>
          <w:sz w:val="18"/>
          <w:szCs w:val="18"/>
        </w:rPr>
      </w:pPr>
    </w:p>
    <w:p w:rsidRPr="007456D5" w:rsidR="00CC481F" w:rsidP="009C2659" w:rsidRDefault="001E7F04" w14:paraId="7403CE20" w14:textId="443BBAEF">
      <w:pPr>
        <w:widowControl w:val="0"/>
        <w:spacing w:line="240" w:lineRule="atLeast"/>
        <w:contextualSpacing/>
        <w:rPr>
          <w:rFonts w:ascii="Verdana" w:hAnsi="Verdana" w:cs="Arial"/>
          <w:sz w:val="18"/>
          <w:szCs w:val="18"/>
        </w:rPr>
      </w:pPr>
      <w:r w:rsidRPr="007456D5">
        <w:rPr>
          <w:rFonts w:ascii="Verdana" w:hAnsi="Verdana" w:cs="Arial"/>
          <w:sz w:val="18"/>
          <w:szCs w:val="18"/>
        </w:rPr>
        <w:t xml:space="preserve">Dit wetsvoorstel </w:t>
      </w:r>
      <w:r w:rsidRPr="007456D5" w:rsidR="00574DB6">
        <w:rPr>
          <w:rFonts w:ascii="Verdana" w:hAnsi="Verdana" w:cs="Arial"/>
          <w:sz w:val="18"/>
          <w:szCs w:val="18"/>
        </w:rPr>
        <w:t xml:space="preserve">implementeert </w:t>
      </w:r>
      <w:r w:rsidRPr="007456D5" w:rsidR="00AD2816">
        <w:rPr>
          <w:rFonts w:ascii="Verdana" w:hAnsi="Verdana"/>
          <w:sz w:val="18"/>
          <w:szCs w:val="18"/>
        </w:rPr>
        <w:t xml:space="preserve">de wijzigingen die voortvloeien uit het Europese wetgevingspakket </w:t>
      </w:r>
      <w:r w:rsidRPr="007456D5" w:rsidR="00CD67EB">
        <w:rPr>
          <w:rFonts w:ascii="Verdana" w:hAnsi="Verdana"/>
          <w:sz w:val="18"/>
          <w:szCs w:val="18"/>
        </w:rPr>
        <w:t>met betrekking tot</w:t>
      </w:r>
      <w:r w:rsidRPr="007456D5" w:rsidR="00AD2816">
        <w:rPr>
          <w:rFonts w:ascii="Verdana" w:hAnsi="Verdana"/>
          <w:sz w:val="18"/>
          <w:szCs w:val="18"/>
        </w:rPr>
        <w:t xml:space="preserve"> de oprichting van een Europees centraal toegangspunt voor informatie over bedrijven en hun producten </w:t>
      </w:r>
      <w:r w:rsidRPr="007456D5" w:rsidR="00AD2816">
        <w:rPr>
          <w:rFonts w:ascii="Verdana" w:hAnsi="Verdana" w:cs="Arial"/>
          <w:sz w:val="18"/>
          <w:szCs w:val="18"/>
        </w:rPr>
        <w:t>(</w:t>
      </w:r>
      <w:r w:rsidRPr="007456D5" w:rsidR="00515E1F">
        <w:rPr>
          <w:rFonts w:ascii="Verdana" w:hAnsi="Verdana" w:cs="Arial"/>
          <w:i/>
          <w:iCs/>
          <w:sz w:val="18"/>
          <w:szCs w:val="18"/>
        </w:rPr>
        <w:t>European Single Access Point</w:t>
      </w:r>
      <w:r w:rsidRPr="007456D5" w:rsidR="00AD2816">
        <w:rPr>
          <w:rFonts w:ascii="Verdana" w:hAnsi="Verdana" w:cs="Arial"/>
          <w:sz w:val="18"/>
          <w:szCs w:val="18"/>
        </w:rPr>
        <w:t xml:space="preserve"> (ESAP</w:t>
      </w:r>
      <w:r w:rsidRPr="007456D5" w:rsidR="00515E1F">
        <w:rPr>
          <w:rFonts w:ascii="Verdana" w:hAnsi="Verdana" w:cs="Arial"/>
          <w:sz w:val="18"/>
          <w:szCs w:val="18"/>
        </w:rPr>
        <w:t>)</w:t>
      </w:r>
      <w:r w:rsidRPr="007456D5" w:rsidR="00D55395">
        <w:rPr>
          <w:rFonts w:ascii="Verdana" w:hAnsi="Verdana" w:cs="Arial"/>
          <w:sz w:val="18"/>
          <w:szCs w:val="18"/>
        </w:rPr>
        <w:t>)</w:t>
      </w:r>
      <w:r w:rsidRPr="007456D5" w:rsidR="00515E1F">
        <w:rPr>
          <w:rFonts w:ascii="Verdana" w:hAnsi="Verdana" w:cs="Arial"/>
          <w:sz w:val="18"/>
          <w:szCs w:val="18"/>
        </w:rPr>
        <w:t>.</w:t>
      </w:r>
      <w:r w:rsidRPr="007456D5" w:rsidR="00AD2816">
        <w:rPr>
          <w:rFonts w:ascii="Verdana" w:hAnsi="Verdana" w:cs="Arial"/>
          <w:sz w:val="18"/>
          <w:szCs w:val="18"/>
        </w:rPr>
        <w:t xml:space="preserve"> </w:t>
      </w:r>
      <w:r w:rsidRPr="007456D5" w:rsidR="00515E1F">
        <w:rPr>
          <w:rFonts w:ascii="Verdana" w:hAnsi="Verdana" w:cs="Arial"/>
          <w:sz w:val="18"/>
          <w:szCs w:val="18"/>
        </w:rPr>
        <w:t xml:space="preserve">Het betreft de implementatie van Richtlijn (EU) </w:t>
      </w:r>
      <w:bookmarkStart w:name="_Hlk213145101" w:id="0"/>
      <w:r w:rsidRPr="007456D5" w:rsidR="00515E1F">
        <w:rPr>
          <w:rFonts w:ascii="Verdana" w:hAnsi="Verdana" w:cs="Arial"/>
          <w:sz w:val="18"/>
          <w:szCs w:val="18"/>
        </w:rPr>
        <w:t xml:space="preserve">2023/2864 </w:t>
      </w:r>
      <w:bookmarkEnd w:id="0"/>
      <w:r w:rsidRPr="007456D5" w:rsidR="00515E1F">
        <w:rPr>
          <w:rFonts w:ascii="Verdana" w:hAnsi="Verdana" w:cs="Arial"/>
          <w:sz w:val="18"/>
          <w:szCs w:val="18"/>
        </w:rPr>
        <w:t xml:space="preserve">van het Europees Parlement en de Raad van 13 december 2023 tot wijziging van bepaalde richtlijnen wat betreft de oprichting en het functioneren van het Europees centraal toegangspunt (hierna: richtlijn ESAP), de </w:t>
      </w:r>
      <w:r w:rsidRPr="007456D5">
        <w:rPr>
          <w:rFonts w:ascii="Verdana" w:hAnsi="Verdana" w:cs="Arial"/>
          <w:sz w:val="18"/>
          <w:szCs w:val="18"/>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r w:rsidRPr="007456D5" w:rsidR="00872936">
        <w:rPr>
          <w:rFonts w:ascii="Verdana" w:hAnsi="Verdana" w:cs="Arial"/>
          <w:sz w:val="18"/>
          <w:szCs w:val="18"/>
        </w:rPr>
        <w:t xml:space="preserve"> (hierna: </w:t>
      </w:r>
      <w:r w:rsidR="00A65911">
        <w:rPr>
          <w:rFonts w:ascii="Verdana" w:hAnsi="Verdana" w:cs="Arial"/>
          <w:sz w:val="18"/>
          <w:szCs w:val="18"/>
        </w:rPr>
        <w:t>v</w:t>
      </w:r>
      <w:r w:rsidRPr="007456D5" w:rsidR="00872936">
        <w:rPr>
          <w:rFonts w:ascii="Verdana" w:hAnsi="Verdana" w:cs="Arial"/>
          <w:sz w:val="18"/>
          <w:szCs w:val="18"/>
        </w:rPr>
        <w:t>erordening oprichting ESAP)</w:t>
      </w:r>
      <w:r w:rsidRPr="007456D5">
        <w:rPr>
          <w:rFonts w:ascii="Verdana" w:hAnsi="Verdana" w:cs="Arial"/>
          <w:sz w:val="18"/>
          <w:szCs w:val="18"/>
        </w:rPr>
        <w:t xml:space="preserve"> en Verordening (EU) 2023/2869 van het Europees Parlement en de Raad van 13 december 2023 tot wijziging van bepaalde verordeningen wat betreft de oprichting en het functioneren van het Europees centraal toegangspunt</w:t>
      </w:r>
      <w:r w:rsidRPr="007456D5" w:rsidR="00872936">
        <w:rPr>
          <w:rFonts w:ascii="Verdana" w:hAnsi="Verdana" w:cs="Arial"/>
          <w:sz w:val="18"/>
          <w:szCs w:val="18"/>
        </w:rPr>
        <w:t xml:space="preserve"> (hierna</w:t>
      </w:r>
      <w:r w:rsidRPr="007456D5" w:rsidR="00B1082D">
        <w:rPr>
          <w:rFonts w:ascii="Verdana" w:hAnsi="Verdana" w:cs="Arial"/>
          <w:sz w:val="18"/>
          <w:szCs w:val="18"/>
        </w:rPr>
        <w:t>: verordening ESAP)</w:t>
      </w:r>
      <w:r w:rsidRPr="007456D5">
        <w:rPr>
          <w:rFonts w:ascii="Verdana" w:hAnsi="Verdana" w:cs="Arial"/>
          <w:sz w:val="18"/>
          <w:szCs w:val="18"/>
        </w:rPr>
        <w:t xml:space="preserve">. </w:t>
      </w:r>
      <w:r w:rsidR="00A65911">
        <w:rPr>
          <w:rFonts w:ascii="Verdana" w:hAnsi="Verdana" w:cs="Arial"/>
          <w:sz w:val="18"/>
          <w:szCs w:val="18"/>
        </w:rPr>
        <w:t xml:space="preserve">Het </w:t>
      </w:r>
      <w:r w:rsidRPr="007456D5" w:rsidR="00AD2816">
        <w:rPr>
          <w:rFonts w:ascii="Verdana" w:hAnsi="Verdana"/>
          <w:sz w:val="18"/>
          <w:szCs w:val="18"/>
        </w:rPr>
        <w:t xml:space="preserve">ESAP is onderdeel van het tweede actieplan voor </w:t>
      </w:r>
      <w:bookmarkStart w:name="_Hlk213230683" w:id="1"/>
      <w:r w:rsidRPr="007456D5" w:rsidR="00AD2816">
        <w:rPr>
          <w:rFonts w:ascii="Verdana" w:hAnsi="Verdana"/>
          <w:sz w:val="18"/>
          <w:szCs w:val="18"/>
        </w:rPr>
        <w:t xml:space="preserve">het versterken van de kapitaalmarktunie van de Europese Commissie </w:t>
      </w:r>
      <w:bookmarkEnd w:id="1"/>
      <w:r w:rsidRPr="007456D5" w:rsidR="00AD2816">
        <w:rPr>
          <w:rFonts w:ascii="Verdana" w:hAnsi="Verdana"/>
          <w:sz w:val="18"/>
          <w:szCs w:val="18"/>
        </w:rPr>
        <w:t>uit 2020.</w:t>
      </w:r>
      <w:r w:rsidRPr="007456D5" w:rsidR="00CD67EB">
        <w:rPr>
          <w:rStyle w:val="Voetnootmarkering"/>
          <w:rFonts w:ascii="Verdana" w:hAnsi="Verdana" w:cs="Arial"/>
          <w:sz w:val="18"/>
          <w:szCs w:val="18"/>
        </w:rPr>
        <w:footnoteReference w:id="1"/>
      </w:r>
      <w:r w:rsidRPr="007456D5" w:rsidR="00CD67EB">
        <w:rPr>
          <w:rFonts w:ascii="Verdana" w:hAnsi="Verdana" w:cs="Arial"/>
          <w:sz w:val="18"/>
          <w:szCs w:val="18"/>
        </w:rPr>
        <w:t xml:space="preserve"> </w:t>
      </w:r>
      <w:r w:rsidRPr="007456D5" w:rsidR="00AD2816">
        <w:rPr>
          <w:rFonts w:ascii="Verdana" w:hAnsi="Verdana"/>
          <w:sz w:val="18"/>
          <w:szCs w:val="18"/>
        </w:rPr>
        <w:t>Het maakt informatie over ondernemingen en financiële producten centraal toegankelijk</w:t>
      </w:r>
      <w:r w:rsidRPr="007456D5" w:rsidR="00805187">
        <w:rPr>
          <w:rFonts w:ascii="Verdana" w:hAnsi="Verdana"/>
          <w:sz w:val="18"/>
          <w:szCs w:val="18"/>
        </w:rPr>
        <w:t>. Hierdoor kunnen</w:t>
      </w:r>
      <w:r w:rsidRPr="007456D5" w:rsidR="00AD2816">
        <w:rPr>
          <w:rFonts w:ascii="Verdana" w:hAnsi="Verdana"/>
          <w:sz w:val="18"/>
          <w:szCs w:val="18"/>
        </w:rPr>
        <w:t xml:space="preserve"> investeerders meer inzicht</w:t>
      </w:r>
      <w:r w:rsidRPr="007456D5" w:rsidR="00805187">
        <w:rPr>
          <w:rFonts w:ascii="Verdana" w:hAnsi="Verdana"/>
          <w:sz w:val="18"/>
          <w:szCs w:val="18"/>
        </w:rPr>
        <w:t xml:space="preserve"> krijgen</w:t>
      </w:r>
      <w:r w:rsidRPr="007456D5" w:rsidR="00AD2816">
        <w:rPr>
          <w:rFonts w:ascii="Verdana" w:hAnsi="Verdana"/>
          <w:sz w:val="18"/>
          <w:szCs w:val="18"/>
        </w:rPr>
        <w:t xml:space="preserve"> in bedrijfsactiviteiten en producten</w:t>
      </w:r>
      <w:r w:rsidRPr="007456D5" w:rsidR="00813EEF">
        <w:rPr>
          <w:rFonts w:ascii="Verdana" w:hAnsi="Verdana"/>
          <w:sz w:val="18"/>
          <w:szCs w:val="18"/>
        </w:rPr>
        <w:t xml:space="preserve"> van ondernemingen</w:t>
      </w:r>
      <w:r w:rsidRPr="007456D5" w:rsidR="00805187">
        <w:rPr>
          <w:rFonts w:ascii="Verdana" w:hAnsi="Verdana"/>
          <w:sz w:val="18"/>
          <w:szCs w:val="18"/>
        </w:rPr>
        <w:t>. Dit</w:t>
      </w:r>
      <w:r w:rsidRPr="007456D5" w:rsidR="00AD2816">
        <w:rPr>
          <w:rFonts w:ascii="Verdana" w:hAnsi="Verdana"/>
          <w:sz w:val="18"/>
          <w:szCs w:val="18"/>
        </w:rPr>
        <w:t xml:space="preserve"> moet zorgen voor </w:t>
      </w:r>
      <w:bookmarkStart w:name="_Hlk213230744" w:id="2"/>
      <w:r w:rsidRPr="007456D5" w:rsidR="00AD2816">
        <w:rPr>
          <w:rFonts w:ascii="Verdana" w:hAnsi="Verdana"/>
          <w:sz w:val="18"/>
          <w:szCs w:val="18"/>
        </w:rPr>
        <w:t>betere toegang tot financiering voor Europese bedrijven en integratie van de kapitaalmarkten</w:t>
      </w:r>
      <w:bookmarkEnd w:id="2"/>
      <w:r w:rsidRPr="007456D5" w:rsidR="00AD2816">
        <w:rPr>
          <w:rFonts w:ascii="Verdana" w:hAnsi="Verdana"/>
          <w:sz w:val="18"/>
          <w:szCs w:val="18"/>
        </w:rPr>
        <w:t>.</w:t>
      </w:r>
    </w:p>
    <w:p w:rsidRPr="007456D5" w:rsidR="00574DB6" w:rsidP="009C2659" w:rsidRDefault="00574DB6" w14:paraId="414BC86C" w14:textId="77777777">
      <w:pPr>
        <w:widowControl w:val="0"/>
        <w:spacing w:line="240" w:lineRule="atLeast"/>
        <w:contextualSpacing/>
        <w:rPr>
          <w:rFonts w:ascii="Verdana" w:hAnsi="Verdana"/>
          <w:sz w:val="18"/>
          <w:szCs w:val="18"/>
        </w:rPr>
      </w:pPr>
    </w:p>
    <w:p w:rsidRPr="007456D5" w:rsidR="00122332" w:rsidP="009C2659" w:rsidRDefault="00D82E06" w14:paraId="3C0BC309" w14:textId="4A683377">
      <w:pPr>
        <w:widowControl w:val="0"/>
        <w:spacing w:line="240" w:lineRule="atLeast"/>
        <w:contextualSpacing/>
        <w:rPr>
          <w:rFonts w:ascii="Verdana" w:hAnsi="Verdana" w:cs="Arial"/>
          <w:sz w:val="18"/>
          <w:szCs w:val="18"/>
        </w:rPr>
      </w:pPr>
      <w:r w:rsidRPr="007456D5">
        <w:rPr>
          <w:rFonts w:ascii="Verdana" w:hAnsi="Verdana" w:cs="Arial"/>
          <w:sz w:val="18"/>
          <w:szCs w:val="18"/>
        </w:rPr>
        <w:t xml:space="preserve">Ter implementatie van de </w:t>
      </w:r>
      <w:r w:rsidR="00A65911">
        <w:rPr>
          <w:rFonts w:ascii="Verdana" w:hAnsi="Verdana" w:cs="Arial"/>
          <w:sz w:val="18"/>
          <w:szCs w:val="18"/>
        </w:rPr>
        <w:t>richtlijn ESAP</w:t>
      </w:r>
      <w:r w:rsidRPr="007456D5">
        <w:rPr>
          <w:rFonts w:ascii="Verdana" w:hAnsi="Verdana" w:cs="Arial"/>
          <w:sz w:val="18"/>
          <w:szCs w:val="18"/>
        </w:rPr>
        <w:t xml:space="preserve"> en de </w:t>
      </w:r>
      <w:r w:rsidR="00A65911">
        <w:rPr>
          <w:rFonts w:ascii="Verdana" w:hAnsi="Verdana" w:cs="Arial"/>
          <w:sz w:val="18"/>
          <w:szCs w:val="18"/>
        </w:rPr>
        <w:t>verordening ESAP</w:t>
      </w:r>
      <w:r w:rsidRPr="007456D5">
        <w:rPr>
          <w:rFonts w:ascii="Verdana" w:hAnsi="Verdana" w:cs="Arial"/>
          <w:sz w:val="18"/>
          <w:szCs w:val="18"/>
        </w:rPr>
        <w:t xml:space="preserve"> worden</w:t>
      </w:r>
      <w:r w:rsidRPr="007456D5" w:rsidR="00EF4D9E">
        <w:rPr>
          <w:rFonts w:ascii="Verdana" w:hAnsi="Verdana" w:cs="Arial"/>
          <w:sz w:val="18"/>
          <w:szCs w:val="18"/>
        </w:rPr>
        <w:t xml:space="preserve"> </w:t>
      </w:r>
      <w:r w:rsidRPr="007456D5" w:rsidR="00574DB6">
        <w:rPr>
          <w:rFonts w:ascii="Verdana" w:hAnsi="Verdana" w:cs="Arial"/>
          <w:sz w:val="18"/>
          <w:szCs w:val="18"/>
        </w:rPr>
        <w:t>de Wet op het financieel toezicht</w:t>
      </w:r>
      <w:r w:rsidRPr="007456D5" w:rsidR="00EF4D9E">
        <w:rPr>
          <w:rFonts w:ascii="Verdana" w:hAnsi="Verdana" w:cs="Arial"/>
          <w:sz w:val="18"/>
          <w:szCs w:val="18"/>
        </w:rPr>
        <w:t xml:space="preserve"> (Wft)</w:t>
      </w:r>
      <w:r w:rsidRPr="007456D5" w:rsidR="00574DB6">
        <w:rPr>
          <w:rFonts w:ascii="Verdana" w:hAnsi="Verdana" w:cs="Arial"/>
          <w:sz w:val="18"/>
          <w:szCs w:val="18"/>
        </w:rPr>
        <w:t>,</w:t>
      </w:r>
      <w:r w:rsidRPr="007456D5" w:rsidR="00574DB6">
        <w:rPr>
          <w:rFonts w:ascii="Verdana" w:hAnsi="Verdana" w:cs="Arial"/>
          <w:b/>
          <w:sz w:val="18"/>
          <w:szCs w:val="18"/>
        </w:rPr>
        <w:t xml:space="preserve"> </w:t>
      </w:r>
      <w:r w:rsidRPr="007456D5" w:rsidR="003E4114">
        <w:rPr>
          <w:rFonts w:ascii="Verdana" w:hAnsi="Verdana" w:cs="Arial"/>
          <w:bCs/>
          <w:sz w:val="18"/>
          <w:szCs w:val="18"/>
        </w:rPr>
        <w:t>de Wet toezicht accountantsorganisaties (</w:t>
      </w:r>
      <w:proofErr w:type="spellStart"/>
      <w:r w:rsidRPr="007456D5" w:rsidR="003E4114">
        <w:rPr>
          <w:rFonts w:ascii="Verdana" w:hAnsi="Verdana" w:cs="Arial"/>
          <w:bCs/>
          <w:sz w:val="18"/>
          <w:szCs w:val="18"/>
        </w:rPr>
        <w:t>Wta</w:t>
      </w:r>
      <w:proofErr w:type="spellEnd"/>
      <w:r w:rsidRPr="007456D5" w:rsidR="003E4114">
        <w:rPr>
          <w:rFonts w:ascii="Verdana" w:hAnsi="Verdana" w:cs="Arial"/>
          <w:bCs/>
          <w:sz w:val="18"/>
          <w:szCs w:val="18"/>
        </w:rPr>
        <w:t xml:space="preserve">), </w:t>
      </w:r>
      <w:r w:rsidRPr="007456D5" w:rsidR="00574DB6">
        <w:rPr>
          <w:rFonts w:ascii="Verdana" w:hAnsi="Verdana" w:cs="Arial"/>
          <w:bCs/>
          <w:sz w:val="18"/>
          <w:szCs w:val="18"/>
        </w:rPr>
        <w:t>het Burgerlijk Wetboek</w:t>
      </w:r>
      <w:r w:rsidRPr="007456D5" w:rsidR="002B7C09">
        <w:rPr>
          <w:rFonts w:ascii="Verdana" w:hAnsi="Verdana" w:cs="Arial"/>
          <w:bCs/>
          <w:sz w:val="18"/>
          <w:szCs w:val="18"/>
        </w:rPr>
        <w:t xml:space="preserve"> (BW)</w:t>
      </w:r>
      <w:r w:rsidRPr="007456D5" w:rsidR="00574DB6">
        <w:rPr>
          <w:rFonts w:ascii="Verdana" w:hAnsi="Verdana" w:cs="Arial"/>
          <w:bCs/>
          <w:sz w:val="18"/>
          <w:szCs w:val="18"/>
        </w:rPr>
        <w:t>, de Handelsregisterwet, de Pensioenwet</w:t>
      </w:r>
      <w:r w:rsidRPr="007456D5" w:rsidR="003E4114">
        <w:rPr>
          <w:rFonts w:ascii="Verdana" w:hAnsi="Verdana" w:cs="Arial"/>
          <w:bCs/>
          <w:sz w:val="18"/>
          <w:szCs w:val="18"/>
        </w:rPr>
        <w:t xml:space="preserve"> e</w:t>
      </w:r>
      <w:r w:rsidRPr="007456D5">
        <w:rPr>
          <w:rFonts w:ascii="Verdana" w:hAnsi="Verdana" w:cs="Arial"/>
          <w:bCs/>
          <w:sz w:val="18"/>
          <w:szCs w:val="18"/>
        </w:rPr>
        <w:t xml:space="preserve">n </w:t>
      </w:r>
      <w:r w:rsidRPr="007456D5" w:rsidR="00574DB6">
        <w:rPr>
          <w:rFonts w:ascii="Verdana" w:hAnsi="Verdana" w:cs="Arial"/>
          <w:bCs/>
          <w:sz w:val="18"/>
          <w:szCs w:val="18"/>
        </w:rPr>
        <w:t>de Wet verplichte beroepspensioenregeling</w:t>
      </w:r>
      <w:r w:rsidRPr="007456D5">
        <w:rPr>
          <w:rFonts w:ascii="Verdana" w:hAnsi="Verdana" w:cs="Arial"/>
          <w:bCs/>
          <w:sz w:val="18"/>
          <w:szCs w:val="18"/>
        </w:rPr>
        <w:t xml:space="preserve"> aangepast. </w:t>
      </w:r>
      <w:r w:rsidRPr="007456D5" w:rsidR="00AE1F92">
        <w:rPr>
          <w:rFonts w:ascii="Verdana" w:hAnsi="Verdana" w:cs="Arial"/>
          <w:bCs/>
          <w:sz w:val="18"/>
          <w:szCs w:val="18"/>
        </w:rPr>
        <w:t xml:space="preserve">Daarnaast zullen </w:t>
      </w:r>
      <w:r w:rsidRPr="007456D5">
        <w:rPr>
          <w:rFonts w:ascii="Verdana" w:hAnsi="Verdana" w:cs="Arial"/>
          <w:bCs/>
          <w:sz w:val="18"/>
          <w:szCs w:val="18"/>
        </w:rPr>
        <w:t>een aantal</w:t>
      </w:r>
      <w:r w:rsidRPr="007456D5" w:rsidR="00EF4D9E">
        <w:rPr>
          <w:rFonts w:ascii="Verdana" w:hAnsi="Verdana"/>
          <w:sz w:val="18"/>
          <w:szCs w:val="18"/>
        </w:rPr>
        <w:t xml:space="preserve"> daarbij behorende besluiten</w:t>
      </w:r>
      <w:r w:rsidRPr="007456D5">
        <w:rPr>
          <w:rFonts w:ascii="Verdana" w:hAnsi="Verdana"/>
          <w:sz w:val="18"/>
          <w:szCs w:val="18"/>
        </w:rPr>
        <w:t xml:space="preserve"> en </w:t>
      </w:r>
      <w:r w:rsidRPr="007456D5" w:rsidR="00EF4D9E">
        <w:rPr>
          <w:rFonts w:ascii="Verdana" w:hAnsi="Verdana"/>
          <w:sz w:val="18"/>
          <w:szCs w:val="18"/>
        </w:rPr>
        <w:t>de Regeling taakuitoefening en grensoverschrijdende samenwerking financiële toezichthouders</w:t>
      </w:r>
      <w:r w:rsidRPr="007456D5">
        <w:rPr>
          <w:rFonts w:ascii="Verdana" w:hAnsi="Verdana"/>
          <w:sz w:val="18"/>
          <w:szCs w:val="18"/>
        </w:rPr>
        <w:t xml:space="preserve"> </w:t>
      </w:r>
      <w:r w:rsidRPr="007456D5" w:rsidR="00AE1F92">
        <w:rPr>
          <w:rFonts w:ascii="Verdana" w:hAnsi="Verdana"/>
          <w:sz w:val="18"/>
          <w:szCs w:val="18"/>
        </w:rPr>
        <w:t xml:space="preserve">worden </w:t>
      </w:r>
      <w:r w:rsidRPr="007456D5">
        <w:rPr>
          <w:rFonts w:ascii="Verdana" w:hAnsi="Verdana"/>
          <w:sz w:val="18"/>
          <w:szCs w:val="18"/>
        </w:rPr>
        <w:t>gewijzigd</w:t>
      </w:r>
      <w:r w:rsidRPr="007456D5" w:rsidR="00EF4D9E">
        <w:rPr>
          <w:rFonts w:ascii="Verdana" w:hAnsi="Verdana"/>
          <w:sz w:val="18"/>
          <w:szCs w:val="18"/>
        </w:rPr>
        <w:t>.</w:t>
      </w:r>
      <w:r w:rsidRPr="007456D5" w:rsidR="00EF4D9E">
        <w:rPr>
          <w:rFonts w:ascii="Verdana" w:hAnsi="Verdana" w:cs="Arial"/>
          <w:sz w:val="18"/>
          <w:szCs w:val="18"/>
        </w:rPr>
        <w:t xml:space="preserve"> </w:t>
      </w:r>
      <w:r w:rsidRPr="007456D5" w:rsidR="00872936">
        <w:rPr>
          <w:rFonts w:ascii="Verdana" w:hAnsi="Verdana" w:cs="Arial"/>
          <w:sz w:val="18"/>
          <w:szCs w:val="18"/>
        </w:rPr>
        <w:t>De</w:t>
      </w:r>
      <w:r w:rsidRPr="007456D5" w:rsidR="00515E1F">
        <w:rPr>
          <w:rFonts w:ascii="Verdana" w:hAnsi="Verdana" w:cs="Arial"/>
          <w:sz w:val="18"/>
          <w:szCs w:val="18"/>
        </w:rPr>
        <w:t xml:space="preserve"> </w:t>
      </w:r>
      <w:r w:rsidR="00A65911">
        <w:rPr>
          <w:rFonts w:ascii="Verdana" w:hAnsi="Verdana" w:cs="Arial"/>
          <w:sz w:val="18"/>
          <w:szCs w:val="18"/>
        </w:rPr>
        <w:t>richtlijn ESAP</w:t>
      </w:r>
      <w:r w:rsidRPr="007456D5" w:rsidR="00515E1F">
        <w:rPr>
          <w:rFonts w:ascii="Verdana" w:hAnsi="Verdana" w:cs="Arial"/>
          <w:sz w:val="18"/>
          <w:szCs w:val="18"/>
        </w:rPr>
        <w:t xml:space="preserve"> </w:t>
      </w:r>
      <w:r w:rsidRPr="007456D5" w:rsidR="00872936">
        <w:rPr>
          <w:rFonts w:ascii="Verdana" w:hAnsi="Verdana" w:cs="Arial"/>
          <w:sz w:val="18"/>
          <w:szCs w:val="18"/>
        </w:rPr>
        <w:t xml:space="preserve">dient uiterlijk </w:t>
      </w:r>
      <w:r w:rsidRPr="007456D5" w:rsidR="009B6827">
        <w:rPr>
          <w:rFonts w:ascii="Verdana" w:hAnsi="Verdana" w:cs="Arial"/>
          <w:sz w:val="18"/>
          <w:szCs w:val="18"/>
        </w:rPr>
        <w:t xml:space="preserve">10 januari 2026 </w:t>
      </w:r>
      <w:r w:rsidRPr="007456D5" w:rsidR="00872936">
        <w:rPr>
          <w:rFonts w:ascii="Verdana" w:hAnsi="Verdana" w:cs="Arial"/>
          <w:sz w:val="18"/>
          <w:szCs w:val="18"/>
        </w:rPr>
        <w:t xml:space="preserve">in nationale regelgeving </w:t>
      </w:r>
      <w:r w:rsidRPr="007456D5" w:rsidR="009B6827">
        <w:rPr>
          <w:rFonts w:ascii="Verdana" w:hAnsi="Verdana" w:cs="Arial"/>
          <w:sz w:val="18"/>
          <w:szCs w:val="18"/>
        </w:rPr>
        <w:t xml:space="preserve">te </w:t>
      </w:r>
      <w:r w:rsidRPr="007456D5" w:rsidR="00872936">
        <w:rPr>
          <w:rFonts w:ascii="Verdana" w:hAnsi="Verdana" w:cs="Arial"/>
          <w:sz w:val="18"/>
          <w:szCs w:val="18"/>
        </w:rPr>
        <w:t xml:space="preserve">zijn omgezet. </w:t>
      </w:r>
      <w:r w:rsidRPr="007456D5" w:rsidR="00D55395">
        <w:rPr>
          <w:rFonts w:ascii="Verdana" w:hAnsi="Verdana" w:cs="Arial"/>
          <w:sz w:val="18"/>
          <w:szCs w:val="18"/>
        </w:rPr>
        <w:t>L</w:t>
      </w:r>
      <w:r w:rsidRPr="007456D5" w:rsidR="00AE0FDC">
        <w:rPr>
          <w:rFonts w:ascii="Verdana" w:hAnsi="Verdana" w:cs="Arial"/>
          <w:sz w:val="18"/>
          <w:szCs w:val="18"/>
        </w:rPr>
        <w:t>idstaten dien</w:t>
      </w:r>
      <w:r w:rsidRPr="007456D5" w:rsidR="003D4D00">
        <w:rPr>
          <w:rFonts w:ascii="Verdana" w:hAnsi="Verdana" w:cs="Arial"/>
          <w:sz w:val="18"/>
          <w:szCs w:val="18"/>
        </w:rPr>
        <w:t>d</w:t>
      </w:r>
      <w:r w:rsidRPr="007456D5" w:rsidR="00AE0FDC">
        <w:rPr>
          <w:rFonts w:ascii="Verdana" w:hAnsi="Verdana" w:cs="Arial"/>
          <w:sz w:val="18"/>
          <w:szCs w:val="18"/>
        </w:rPr>
        <w:t xml:space="preserve">en uiterlijk </w:t>
      </w:r>
      <w:r w:rsidRPr="007456D5" w:rsidR="003A5CF2">
        <w:rPr>
          <w:rFonts w:ascii="Verdana" w:hAnsi="Verdana" w:cs="Arial"/>
          <w:sz w:val="18"/>
          <w:szCs w:val="18"/>
        </w:rPr>
        <w:t xml:space="preserve">10 juli 2025 hun nationale regelgeving te hebben aangepast voor de openbaarmaking via het centraal toegangspunt van </w:t>
      </w:r>
      <w:r w:rsidRPr="007456D5" w:rsidR="00AE0FDC">
        <w:rPr>
          <w:rFonts w:ascii="Verdana" w:hAnsi="Verdana" w:cs="Arial"/>
          <w:sz w:val="18"/>
          <w:szCs w:val="18"/>
        </w:rPr>
        <w:t>gereglementeerd</w:t>
      </w:r>
      <w:r w:rsidRPr="007456D5" w:rsidR="00813EEF">
        <w:rPr>
          <w:rFonts w:ascii="Verdana" w:hAnsi="Verdana" w:cs="Arial"/>
          <w:sz w:val="18"/>
          <w:szCs w:val="18"/>
        </w:rPr>
        <w:t>e</w:t>
      </w:r>
      <w:r w:rsidRPr="007456D5" w:rsidR="00AE0FDC">
        <w:rPr>
          <w:rFonts w:ascii="Verdana" w:hAnsi="Verdana" w:cs="Arial"/>
          <w:sz w:val="18"/>
          <w:szCs w:val="18"/>
        </w:rPr>
        <w:t xml:space="preserve"> informatie op basis van de wijziging van richtlijn 2004/109/EG</w:t>
      </w:r>
      <w:r w:rsidRPr="007456D5" w:rsidR="00AE0FDC">
        <w:rPr>
          <w:rStyle w:val="Voetnootmarkering"/>
          <w:rFonts w:ascii="Verdana" w:hAnsi="Verdana" w:cs="Arial"/>
          <w:sz w:val="18"/>
          <w:szCs w:val="18"/>
        </w:rPr>
        <w:footnoteReference w:id="2"/>
      </w:r>
      <w:r w:rsidRPr="007456D5" w:rsidR="00AE0FDC">
        <w:rPr>
          <w:rFonts w:ascii="Verdana" w:hAnsi="Verdana" w:cs="Arial"/>
          <w:sz w:val="18"/>
          <w:szCs w:val="18"/>
        </w:rPr>
        <w:t xml:space="preserve"> (hierna: richtlijn transparantie)</w:t>
      </w:r>
      <w:r w:rsidRPr="007456D5" w:rsidR="003A5CF2">
        <w:rPr>
          <w:rFonts w:ascii="Verdana" w:hAnsi="Verdana" w:cs="Arial"/>
          <w:sz w:val="18"/>
          <w:szCs w:val="18"/>
        </w:rPr>
        <w:t>.</w:t>
      </w:r>
    </w:p>
    <w:p w:rsidRPr="007456D5" w:rsidR="00434C15" w:rsidP="009C2659" w:rsidRDefault="00434C15" w14:paraId="4F1C8356" w14:textId="77777777">
      <w:pPr>
        <w:widowControl w:val="0"/>
        <w:spacing w:line="240" w:lineRule="atLeast"/>
        <w:contextualSpacing/>
        <w:rPr>
          <w:rFonts w:ascii="Verdana" w:hAnsi="Verdana" w:cs="Arial"/>
          <w:sz w:val="18"/>
          <w:szCs w:val="18"/>
        </w:rPr>
      </w:pPr>
    </w:p>
    <w:p w:rsidRPr="007456D5" w:rsidR="00434C15" w:rsidP="009C2659" w:rsidRDefault="00434C15" w14:paraId="34A0B4C5" w14:textId="18D239A3">
      <w:pPr>
        <w:widowControl w:val="0"/>
        <w:spacing w:line="240" w:lineRule="atLeast"/>
        <w:contextualSpacing/>
        <w:rPr>
          <w:rFonts w:ascii="Verdana" w:hAnsi="Verdana"/>
          <w:sz w:val="18"/>
          <w:szCs w:val="18"/>
        </w:rPr>
      </w:pPr>
      <w:r w:rsidRPr="007456D5">
        <w:rPr>
          <w:rFonts w:ascii="Verdana" w:hAnsi="Verdana"/>
          <w:bCs/>
          <w:sz w:val="18"/>
          <w:szCs w:val="18"/>
        </w:rPr>
        <w:t>In paragraaf 2 wordt stilgestaan bij de inhoud van de Europese regels met betrekking tot het E</w:t>
      </w:r>
      <w:r w:rsidRPr="007456D5" w:rsidR="00344015">
        <w:rPr>
          <w:rFonts w:ascii="Verdana" w:hAnsi="Verdana"/>
          <w:bCs/>
          <w:sz w:val="18"/>
          <w:szCs w:val="18"/>
        </w:rPr>
        <w:t>SAP</w:t>
      </w:r>
      <w:r w:rsidRPr="007456D5">
        <w:rPr>
          <w:rFonts w:ascii="Verdana" w:hAnsi="Verdana"/>
          <w:bCs/>
          <w:sz w:val="18"/>
          <w:szCs w:val="18"/>
        </w:rPr>
        <w:t xml:space="preserve">. In paragraaf 3 komt de inhoud van dit wetsvoorstel aan </w:t>
      </w:r>
      <w:r w:rsidRPr="007456D5">
        <w:rPr>
          <w:rFonts w:ascii="Verdana" w:hAnsi="Verdana"/>
          <w:bCs/>
          <w:sz w:val="18"/>
          <w:szCs w:val="18"/>
        </w:rPr>
        <w:lastRenderedPageBreak/>
        <w:t xml:space="preserve">de orde. In paragraaf 4 komen de gevolgen voor de regeldruk voor het bedrijfsleven en andere gevolgen aan de orde. </w:t>
      </w:r>
      <w:r w:rsidRPr="007456D5" w:rsidR="00D55395">
        <w:rPr>
          <w:rFonts w:ascii="Verdana" w:hAnsi="Verdana"/>
          <w:bCs/>
          <w:sz w:val="18"/>
          <w:szCs w:val="18"/>
        </w:rPr>
        <w:t>Daarnaast</w:t>
      </w:r>
      <w:r w:rsidRPr="007456D5">
        <w:rPr>
          <w:rFonts w:ascii="Verdana" w:hAnsi="Verdana"/>
          <w:bCs/>
          <w:sz w:val="18"/>
          <w:szCs w:val="18"/>
        </w:rPr>
        <w:t xml:space="preserve"> wordt ingegaan op de uitvoeringstoets</w:t>
      </w:r>
      <w:r w:rsidRPr="007456D5" w:rsidR="00D55395">
        <w:rPr>
          <w:rFonts w:ascii="Verdana" w:hAnsi="Verdana"/>
          <w:bCs/>
          <w:sz w:val="18"/>
          <w:szCs w:val="18"/>
        </w:rPr>
        <w:t>en</w:t>
      </w:r>
      <w:r w:rsidRPr="007456D5">
        <w:rPr>
          <w:rFonts w:ascii="Verdana" w:hAnsi="Verdana"/>
          <w:bCs/>
          <w:sz w:val="18"/>
          <w:szCs w:val="18"/>
        </w:rPr>
        <w:t xml:space="preserve"> van de Autoriteit Financiële Markten (AFM)</w:t>
      </w:r>
      <w:r w:rsidRPr="007456D5" w:rsidR="00344015">
        <w:rPr>
          <w:rFonts w:ascii="Verdana" w:hAnsi="Verdana"/>
          <w:bCs/>
          <w:sz w:val="18"/>
          <w:szCs w:val="18"/>
        </w:rPr>
        <w:t>, de Nederlandsche Bank (DNB)</w:t>
      </w:r>
      <w:r w:rsidRPr="007456D5" w:rsidR="00D55395">
        <w:rPr>
          <w:rFonts w:ascii="Verdana" w:hAnsi="Verdana"/>
          <w:bCs/>
          <w:sz w:val="18"/>
          <w:szCs w:val="18"/>
        </w:rPr>
        <w:t xml:space="preserve"> en de Kamer van Koophandel (KvK)</w:t>
      </w:r>
      <w:r w:rsidRPr="007456D5">
        <w:rPr>
          <w:rFonts w:ascii="Verdana" w:hAnsi="Verdana"/>
          <w:bCs/>
          <w:sz w:val="18"/>
          <w:szCs w:val="18"/>
        </w:rPr>
        <w:t xml:space="preserve">. In paragraaf 5 worden de ontvangen consultatiereacties behandeld. De transponeringstabel is in de bijlage opgenomen. </w:t>
      </w:r>
      <w:r w:rsidR="0011548B">
        <w:rPr>
          <w:rFonts w:ascii="Verdana" w:hAnsi="Verdana"/>
          <w:bCs/>
          <w:sz w:val="18"/>
          <w:szCs w:val="18"/>
        </w:rPr>
        <w:t>Ik bied u dit wetsvoorstel en deze memorie van toelichting aan in overeenstemming met de Staatssecretaris van Justitie en Veiligheid.</w:t>
      </w:r>
    </w:p>
    <w:p w:rsidRPr="007456D5" w:rsidR="001E7F04" w:rsidP="009C2659" w:rsidRDefault="001E7F04" w14:paraId="2F67776C" w14:textId="77777777">
      <w:pPr>
        <w:widowControl w:val="0"/>
        <w:spacing w:line="240" w:lineRule="atLeast"/>
        <w:contextualSpacing/>
        <w:rPr>
          <w:rFonts w:ascii="Verdana" w:hAnsi="Verdana" w:cs="Arial"/>
          <w:sz w:val="18"/>
          <w:szCs w:val="18"/>
        </w:rPr>
      </w:pPr>
    </w:p>
    <w:p w:rsidRPr="007456D5" w:rsidR="001E7F04" w:rsidP="009C2659" w:rsidRDefault="00922438" w14:paraId="25AAE55E" w14:textId="3C9C03A0">
      <w:pPr>
        <w:widowControl w:val="0"/>
        <w:spacing w:line="240" w:lineRule="atLeast"/>
        <w:contextualSpacing/>
        <w:rPr>
          <w:rFonts w:ascii="Verdana" w:hAnsi="Verdana" w:cs="Arial"/>
          <w:i/>
          <w:sz w:val="18"/>
          <w:szCs w:val="18"/>
        </w:rPr>
      </w:pPr>
      <w:r w:rsidRPr="007456D5">
        <w:rPr>
          <w:rFonts w:ascii="Verdana" w:hAnsi="Verdana" w:cs="Arial"/>
          <w:i/>
          <w:sz w:val="18"/>
          <w:szCs w:val="18"/>
        </w:rPr>
        <w:t xml:space="preserve">§ 2. </w:t>
      </w:r>
      <w:r w:rsidRPr="007456D5" w:rsidR="001E7F04">
        <w:rPr>
          <w:rFonts w:ascii="Verdana" w:hAnsi="Verdana" w:cs="Arial"/>
          <w:i/>
          <w:sz w:val="18"/>
          <w:szCs w:val="18"/>
        </w:rPr>
        <w:t>Inhoud</w:t>
      </w:r>
      <w:r w:rsidRPr="007456D5" w:rsidR="00434C15">
        <w:rPr>
          <w:rFonts w:ascii="Verdana" w:hAnsi="Verdana" w:cs="Arial"/>
          <w:i/>
          <w:sz w:val="18"/>
          <w:szCs w:val="18"/>
        </w:rPr>
        <w:t xml:space="preserve"> </w:t>
      </w:r>
      <w:r w:rsidR="00A65911">
        <w:rPr>
          <w:rFonts w:ascii="Verdana" w:hAnsi="Verdana" w:cs="Arial"/>
          <w:i/>
          <w:sz w:val="18"/>
          <w:szCs w:val="18"/>
        </w:rPr>
        <w:t>richtlijn ESAP</w:t>
      </w:r>
      <w:r w:rsidRPr="007456D5" w:rsidR="00D55395">
        <w:rPr>
          <w:rFonts w:ascii="Verdana" w:hAnsi="Verdana" w:cs="Arial"/>
          <w:i/>
          <w:sz w:val="18"/>
          <w:szCs w:val="18"/>
        </w:rPr>
        <w:t>, verordening oprichting ESAP</w:t>
      </w:r>
      <w:r w:rsidRPr="007456D5" w:rsidR="00434C15">
        <w:rPr>
          <w:rFonts w:ascii="Verdana" w:hAnsi="Verdana" w:cs="Arial"/>
          <w:i/>
          <w:sz w:val="18"/>
          <w:szCs w:val="18"/>
        </w:rPr>
        <w:t xml:space="preserve"> en </w:t>
      </w:r>
      <w:r w:rsidR="00A65911">
        <w:rPr>
          <w:rFonts w:ascii="Verdana" w:hAnsi="Verdana" w:cs="Arial"/>
          <w:i/>
          <w:sz w:val="18"/>
          <w:szCs w:val="18"/>
        </w:rPr>
        <w:t>verordening ESAP</w:t>
      </w:r>
    </w:p>
    <w:p w:rsidRPr="007456D5" w:rsidR="007D4110" w:rsidP="009C2659" w:rsidRDefault="007D4110" w14:paraId="7BECC0DB" w14:textId="77777777">
      <w:pPr>
        <w:widowControl w:val="0"/>
        <w:spacing w:line="240" w:lineRule="atLeast"/>
        <w:contextualSpacing/>
        <w:rPr>
          <w:rFonts w:ascii="Verdana" w:hAnsi="Verdana" w:cs="Arial"/>
          <w:i/>
          <w:sz w:val="18"/>
          <w:szCs w:val="18"/>
        </w:rPr>
      </w:pPr>
    </w:p>
    <w:p w:rsidRPr="007456D5" w:rsidR="00184467" w:rsidP="009C2659" w:rsidRDefault="007D4110" w14:paraId="2303CD6C" w14:textId="480DD7AF">
      <w:pPr>
        <w:pStyle w:val="Default"/>
        <w:spacing w:line="240" w:lineRule="atLeast"/>
        <w:contextualSpacing/>
        <w:rPr>
          <w:rFonts w:ascii="Verdana" w:hAnsi="Verdana" w:cs="Arial"/>
          <w:i/>
          <w:sz w:val="18"/>
          <w:szCs w:val="18"/>
        </w:rPr>
      </w:pPr>
      <w:r w:rsidRPr="007456D5">
        <w:rPr>
          <w:rFonts w:ascii="Verdana" w:hAnsi="Verdana" w:cs="Arial"/>
          <w:i/>
          <w:sz w:val="18"/>
          <w:szCs w:val="18"/>
        </w:rPr>
        <w:t>§ 2.1</w:t>
      </w:r>
      <w:r w:rsidR="00874DAE">
        <w:rPr>
          <w:rFonts w:ascii="Verdana" w:hAnsi="Verdana" w:cs="Arial"/>
          <w:i/>
          <w:sz w:val="18"/>
          <w:szCs w:val="18"/>
        </w:rPr>
        <w:t>.</w:t>
      </w:r>
      <w:r w:rsidRPr="007456D5">
        <w:rPr>
          <w:rFonts w:ascii="Verdana" w:hAnsi="Verdana" w:cs="Arial"/>
          <w:i/>
          <w:sz w:val="18"/>
          <w:szCs w:val="18"/>
        </w:rPr>
        <w:t xml:space="preserve"> Doel ESAP</w:t>
      </w:r>
    </w:p>
    <w:p w:rsidRPr="007456D5" w:rsidR="00184467" w:rsidP="009C2659" w:rsidRDefault="00184467" w14:paraId="001F28EB" w14:textId="77777777">
      <w:pPr>
        <w:pStyle w:val="Default"/>
        <w:spacing w:line="240" w:lineRule="atLeast"/>
        <w:contextualSpacing/>
        <w:rPr>
          <w:rFonts w:ascii="Verdana" w:hAnsi="Verdana" w:cs="Arial"/>
          <w:i/>
          <w:sz w:val="18"/>
          <w:szCs w:val="18"/>
        </w:rPr>
      </w:pPr>
    </w:p>
    <w:p w:rsidRPr="007456D5" w:rsidR="00805187" w:rsidP="009C2659" w:rsidRDefault="00805187" w14:paraId="6DD483DF" w14:textId="29795314">
      <w:pPr>
        <w:pStyle w:val="Default"/>
        <w:spacing w:line="240" w:lineRule="atLeast"/>
        <w:contextualSpacing/>
        <w:rPr>
          <w:rFonts w:ascii="Verdana" w:hAnsi="Verdana" w:eastAsia="Calibri"/>
          <w:sz w:val="18"/>
          <w:szCs w:val="18"/>
        </w:rPr>
      </w:pPr>
      <w:r w:rsidRPr="007456D5">
        <w:rPr>
          <w:rFonts w:ascii="Verdana" w:hAnsi="Verdana"/>
          <w:sz w:val="18"/>
          <w:szCs w:val="18"/>
        </w:rPr>
        <w:t>Het Europees wetgevingspakket regelt de oprichting van een Europees centraal toegangspunt (</w:t>
      </w:r>
      <w:r w:rsidR="00A65911">
        <w:rPr>
          <w:rFonts w:ascii="Verdana" w:hAnsi="Verdana"/>
          <w:sz w:val="18"/>
          <w:szCs w:val="18"/>
        </w:rPr>
        <w:t xml:space="preserve">het </w:t>
      </w:r>
      <w:r w:rsidRPr="007456D5">
        <w:rPr>
          <w:rFonts w:ascii="Verdana" w:hAnsi="Verdana"/>
          <w:sz w:val="18"/>
          <w:szCs w:val="18"/>
        </w:rPr>
        <w:t xml:space="preserve">ESAP). </w:t>
      </w:r>
      <w:r w:rsidR="00A65911">
        <w:rPr>
          <w:rFonts w:ascii="Verdana" w:hAnsi="Verdana"/>
          <w:sz w:val="18"/>
          <w:szCs w:val="18"/>
        </w:rPr>
        <w:t xml:space="preserve">Het </w:t>
      </w:r>
      <w:r w:rsidRPr="007456D5" w:rsidR="00CD67EB">
        <w:rPr>
          <w:rFonts w:ascii="Verdana" w:hAnsi="Verdana"/>
          <w:sz w:val="18"/>
          <w:szCs w:val="18"/>
        </w:rPr>
        <w:t xml:space="preserve">ESAP biedt </w:t>
      </w:r>
      <w:r w:rsidRPr="007456D5">
        <w:rPr>
          <w:rFonts w:ascii="Verdana" w:hAnsi="Verdana"/>
          <w:sz w:val="18"/>
          <w:szCs w:val="18"/>
        </w:rPr>
        <w:t>gecentraliseerde toegang tot openbare financiële en duurzaamheidsinformatie over</w:t>
      </w:r>
      <w:r w:rsidRPr="007456D5" w:rsidR="00CD67EB">
        <w:rPr>
          <w:rFonts w:ascii="Verdana" w:hAnsi="Verdana"/>
          <w:sz w:val="18"/>
          <w:szCs w:val="18"/>
        </w:rPr>
        <w:t xml:space="preserve"> ondernemingen</w:t>
      </w:r>
      <w:r w:rsidRPr="007456D5">
        <w:rPr>
          <w:rFonts w:ascii="Verdana" w:hAnsi="Verdana"/>
          <w:sz w:val="18"/>
          <w:szCs w:val="18"/>
        </w:rPr>
        <w:t xml:space="preserve"> en </w:t>
      </w:r>
      <w:r w:rsidRPr="007456D5" w:rsidR="00EC65A1">
        <w:rPr>
          <w:rFonts w:ascii="Verdana" w:hAnsi="Verdana"/>
          <w:sz w:val="18"/>
          <w:szCs w:val="18"/>
        </w:rPr>
        <w:t xml:space="preserve">beleggingsproducten </w:t>
      </w:r>
      <w:r w:rsidRPr="007456D5">
        <w:rPr>
          <w:rFonts w:ascii="Verdana" w:hAnsi="Verdana"/>
          <w:sz w:val="18"/>
          <w:szCs w:val="18"/>
        </w:rPr>
        <w:t xml:space="preserve">in de EU. Het doel is om beleggers een makkelijkere toegang te bieden tot informatie waardoor ze ondernemingen en </w:t>
      </w:r>
      <w:r w:rsidRPr="007456D5" w:rsidR="00B93F1B">
        <w:rPr>
          <w:rFonts w:ascii="Verdana" w:hAnsi="Verdana"/>
          <w:sz w:val="18"/>
          <w:szCs w:val="18"/>
        </w:rPr>
        <w:t>beleggings</w:t>
      </w:r>
      <w:r w:rsidRPr="007456D5">
        <w:rPr>
          <w:rFonts w:ascii="Verdana" w:hAnsi="Verdana"/>
          <w:sz w:val="18"/>
          <w:szCs w:val="18"/>
        </w:rPr>
        <w:t xml:space="preserve">producten beter kunnen vergelijken. </w:t>
      </w:r>
      <w:r w:rsidR="00A65911">
        <w:rPr>
          <w:rFonts w:ascii="Verdana" w:hAnsi="Verdana"/>
          <w:sz w:val="18"/>
          <w:szCs w:val="18"/>
        </w:rPr>
        <w:t xml:space="preserve">Het </w:t>
      </w:r>
      <w:r w:rsidRPr="007456D5">
        <w:rPr>
          <w:rFonts w:ascii="Verdana" w:hAnsi="Verdana"/>
          <w:sz w:val="18"/>
          <w:szCs w:val="18"/>
        </w:rPr>
        <w:t>ESAP zal ook leiden tot meer zichtbaarheid van ondernemingen waardoor het makkelijker wordt investeerders aan te trekken.</w:t>
      </w:r>
      <w:r w:rsidRPr="007456D5" w:rsidR="00D55395">
        <w:rPr>
          <w:rFonts w:ascii="Verdana" w:hAnsi="Verdana"/>
          <w:sz w:val="18"/>
          <w:szCs w:val="18"/>
        </w:rPr>
        <w:t xml:space="preserve"> </w:t>
      </w:r>
      <w:r w:rsidRPr="007456D5" w:rsidR="00D55395">
        <w:rPr>
          <w:rFonts w:ascii="Verdana" w:hAnsi="Verdana" w:cs="Arial"/>
          <w:sz w:val="18"/>
          <w:szCs w:val="18"/>
        </w:rPr>
        <w:t>Het oprichten van een Europees centraal toegangspunt tot financiële en niet-financiële informatie maakt deel uit van de versterking van de Europese kapitaalmarktunie waardoor bedrijven makkelijker toegang kunnen krijgen tot financieringsmogelijkheden.</w:t>
      </w:r>
    </w:p>
    <w:p w:rsidRPr="007456D5" w:rsidR="004D35DF" w:rsidP="009C2659" w:rsidRDefault="004D35DF" w14:paraId="1B8E356A" w14:textId="77777777">
      <w:pPr>
        <w:widowControl w:val="0"/>
        <w:spacing w:line="240" w:lineRule="atLeast"/>
        <w:contextualSpacing/>
        <w:rPr>
          <w:rFonts w:ascii="Verdana" w:hAnsi="Verdana" w:cs="Arial"/>
          <w:sz w:val="18"/>
          <w:szCs w:val="18"/>
        </w:rPr>
      </w:pPr>
    </w:p>
    <w:p w:rsidRPr="007456D5" w:rsidR="003A5CF2" w:rsidP="009C2659" w:rsidRDefault="00EC2DB4" w14:paraId="046B8233" w14:textId="49D7467E">
      <w:pPr>
        <w:widowControl w:val="0"/>
        <w:spacing w:line="240" w:lineRule="atLeast"/>
        <w:contextualSpacing/>
        <w:rPr>
          <w:rFonts w:ascii="Verdana" w:hAnsi="Verdana" w:cs="Arial"/>
          <w:sz w:val="18"/>
          <w:szCs w:val="18"/>
        </w:rPr>
      </w:pPr>
      <w:r w:rsidRPr="007456D5">
        <w:rPr>
          <w:rFonts w:ascii="Verdana" w:hAnsi="Verdana" w:cs="Arial"/>
          <w:sz w:val="18"/>
          <w:szCs w:val="18"/>
        </w:rPr>
        <w:t>Verder</w:t>
      </w:r>
      <w:r w:rsidRPr="007456D5" w:rsidR="00D55395">
        <w:rPr>
          <w:rFonts w:ascii="Verdana" w:hAnsi="Verdana" w:cs="Arial"/>
          <w:sz w:val="18"/>
          <w:szCs w:val="18"/>
        </w:rPr>
        <w:t xml:space="preserve"> beoog</w:t>
      </w:r>
      <w:r w:rsidRPr="007456D5" w:rsidR="00E434C7">
        <w:rPr>
          <w:rFonts w:ascii="Verdana" w:hAnsi="Verdana" w:cs="Arial"/>
          <w:sz w:val="18"/>
          <w:szCs w:val="18"/>
        </w:rPr>
        <w:t>t</w:t>
      </w:r>
      <w:r w:rsidRPr="007456D5" w:rsidR="004D35DF">
        <w:rPr>
          <w:rFonts w:ascii="Verdana" w:hAnsi="Verdana" w:cs="Arial"/>
          <w:sz w:val="18"/>
          <w:szCs w:val="18"/>
        </w:rPr>
        <w:t xml:space="preserve"> deze Europese regelgeving </w:t>
      </w:r>
      <w:r w:rsidRPr="007456D5" w:rsidR="007D4110">
        <w:rPr>
          <w:rFonts w:ascii="Verdana" w:hAnsi="Verdana" w:cs="Arial"/>
          <w:sz w:val="18"/>
          <w:szCs w:val="18"/>
        </w:rPr>
        <w:t>bij</w:t>
      </w:r>
      <w:r w:rsidRPr="007456D5" w:rsidR="00D55395">
        <w:rPr>
          <w:rFonts w:ascii="Verdana" w:hAnsi="Verdana" w:cs="Arial"/>
          <w:sz w:val="18"/>
          <w:szCs w:val="18"/>
        </w:rPr>
        <w:t xml:space="preserve"> te </w:t>
      </w:r>
      <w:r w:rsidRPr="007456D5" w:rsidR="007D4110">
        <w:rPr>
          <w:rFonts w:ascii="Verdana" w:hAnsi="Verdana" w:cs="Arial"/>
          <w:sz w:val="18"/>
          <w:szCs w:val="18"/>
        </w:rPr>
        <w:t>dragen aan de integratie van de financiële diensten en kapitaalmarkten van de Europese Unie (EU) door een gemakkelijke en gecentraliseerde toegang te bieden tot</w:t>
      </w:r>
      <w:r w:rsidRPr="007456D5" w:rsidR="00827797">
        <w:rPr>
          <w:rFonts w:ascii="Verdana" w:hAnsi="Verdana" w:cs="Arial"/>
          <w:sz w:val="18"/>
          <w:szCs w:val="18"/>
        </w:rPr>
        <w:t xml:space="preserve"> financiële en niet-financiële</w:t>
      </w:r>
      <w:r w:rsidRPr="007456D5" w:rsidR="007D4110">
        <w:rPr>
          <w:rFonts w:ascii="Verdana" w:hAnsi="Verdana" w:cs="Arial"/>
          <w:sz w:val="18"/>
          <w:szCs w:val="18"/>
        </w:rPr>
        <w:t xml:space="preserve"> informatie </w:t>
      </w:r>
      <w:r w:rsidRPr="007456D5" w:rsidR="00827797">
        <w:rPr>
          <w:rFonts w:ascii="Verdana" w:hAnsi="Verdana" w:cs="Arial"/>
          <w:sz w:val="18"/>
          <w:szCs w:val="18"/>
        </w:rPr>
        <w:t xml:space="preserve">van </w:t>
      </w:r>
      <w:r w:rsidRPr="007456D5" w:rsidR="004B1426">
        <w:rPr>
          <w:rFonts w:ascii="Verdana" w:hAnsi="Verdana" w:cs="Arial"/>
          <w:sz w:val="18"/>
          <w:szCs w:val="18"/>
        </w:rPr>
        <w:t>ondernemingen en</w:t>
      </w:r>
      <w:r w:rsidRPr="007456D5" w:rsidR="00B93F1B">
        <w:rPr>
          <w:rFonts w:ascii="Verdana" w:hAnsi="Verdana" w:cs="Arial"/>
          <w:sz w:val="18"/>
          <w:szCs w:val="18"/>
        </w:rPr>
        <w:t xml:space="preserve"> beleggingsproducten</w:t>
      </w:r>
      <w:r w:rsidRPr="007456D5" w:rsidR="004B1426">
        <w:rPr>
          <w:rFonts w:ascii="Verdana" w:hAnsi="Verdana" w:cs="Arial"/>
          <w:sz w:val="18"/>
          <w:szCs w:val="18"/>
        </w:rPr>
        <w:t>.</w:t>
      </w:r>
      <w:r w:rsidRPr="007456D5" w:rsidR="007D4110">
        <w:rPr>
          <w:rFonts w:ascii="Verdana" w:hAnsi="Verdana" w:cs="Arial"/>
          <w:sz w:val="18"/>
          <w:szCs w:val="18"/>
        </w:rPr>
        <w:t xml:space="preserve"> </w:t>
      </w:r>
      <w:r w:rsidRPr="007456D5" w:rsidR="00827797">
        <w:rPr>
          <w:rFonts w:ascii="Verdana" w:hAnsi="Verdana" w:cs="Arial"/>
          <w:sz w:val="18"/>
          <w:szCs w:val="18"/>
        </w:rPr>
        <w:t xml:space="preserve">Het gaat dan bijvoorbeeld om bestuursverslagen, prospectussen, duurzaamheidsinformatie en informatie over financiële instrumenten. </w:t>
      </w:r>
      <w:r w:rsidRPr="007456D5" w:rsidR="007D4110">
        <w:rPr>
          <w:rFonts w:ascii="Verdana" w:hAnsi="Verdana" w:cs="Arial"/>
          <w:sz w:val="18"/>
          <w:szCs w:val="18"/>
        </w:rPr>
        <w:t>Door</w:t>
      </w:r>
      <w:r w:rsidRPr="007456D5" w:rsidR="00842172">
        <w:rPr>
          <w:rFonts w:ascii="Verdana" w:hAnsi="Verdana" w:cs="Arial"/>
          <w:sz w:val="18"/>
          <w:szCs w:val="18"/>
        </w:rPr>
        <w:t xml:space="preserve">dat </w:t>
      </w:r>
      <w:r w:rsidRPr="007456D5" w:rsidR="00805187">
        <w:rPr>
          <w:rFonts w:ascii="Verdana" w:hAnsi="Verdana" w:cs="Arial"/>
          <w:sz w:val="18"/>
          <w:szCs w:val="18"/>
        </w:rPr>
        <w:t>informatie</w:t>
      </w:r>
      <w:r w:rsidRPr="007456D5" w:rsidR="00842172">
        <w:rPr>
          <w:rFonts w:ascii="Verdana" w:hAnsi="Verdana" w:cs="Arial"/>
          <w:sz w:val="18"/>
          <w:szCs w:val="18"/>
        </w:rPr>
        <w:t xml:space="preserve"> op een eenvoudige en gestructureerde wijze toegankelijk wordt</w:t>
      </w:r>
      <w:r w:rsidRPr="007456D5" w:rsidR="007D4110">
        <w:rPr>
          <w:rFonts w:ascii="Verdana" w:hAnsi="Verdana" w:cs="Arial"/>
          <w:sz w:val="18"/>
          <w:szCs w:val="18"/>
        </w:rPr>
        <w:t xml:space="preserve">, </w:t>
      </w:r>
      <w:r w:rsidRPr="007456D5" w:rsidR="00EA1373">
        <w:rPr>
          <w:rFonts w:ascii="Verdana" w:hAnsi="Verdana" w:cs="Arial"/>
          <w:sz w:val="18"/>
          <w:szCs w:val="18"/>
        </w:rPr>
        <w:t>kunnen</w:t>
      </w:r>
      <w:r w:rsidRPr="007456D5" w:rsidR="00805187">
        <w:rPr>
          <w:rFonts w:ascii="Verdana" w:hAnsi="Verdana" w:cs="Arial"/>
          <w:sz w:val="18"/>
          <w:szCs w:val="18"/>
        </w:rPr>
        <w:t xml:space="preserve"> investeerders</w:t>
      </w:r>
      <w:r w:rsidRPr="007456D5" w:rsidR="00EA1373">
        <w:rPr>
          <w:rFonts w:ascii="Verdana" w:hAnsi="Verdana" w:cs="Arial"/>
          <w:sz w:val="18"/>
          <w:szCs w:val="18"/>
        </w:rPr>
        <w:t xml:space="preserve"> </w:t>
      </w:r>
      <w:r w:rsidRPr="007456D5" w:rsidR="003A5CF2">
        <w:rPr>
          <w:rFonts w:ascii="Verdana" w:hAnsi="Verdana" w:cs="Arial"/>
          <w:sz w:val="18"/>
          <w:szCs w:val="18"/>
        </w:rPr>
        <w:t>en andere belanghebbende</w:t>
      </w:r>
      <w:r w:rsidRPr="007456D5" w:rsidR="006D772A">
        <w:rPr>
          <w:rFonts w:ascii="Verdana" w:hAnsi="Verdana" w:cs="Arial"/>
          <w:sz w:val="18"/>
          <w:szCs w:val="18"/>
        </w:rPr>
        <w:t>n</w:t>
      </w:r>
      <w:r w:rsidRPr="007456D5" w:rsidR="003A5CF2">
        <w:rPr>
          <w:rFonts w:ascii="Verdana" w:hAnsi="Verdana" w:cs="Arial"/>
          <w:sz w:val="18"/>
          <w:szCs w:val="18"/>
        </w:rPr>
        <w:t xml:space="preserve"> geïnformeerde en ecologisch en maatschappelijk verantwoorde beleggingsbeslissingen nemen die het efficiënte functioneren van de markt ten goede kom</w:t>
      </w:r>
      <w:r w:rsidRPr="007456D5" w:rsidR="00E434C7">
        <w:rPr>
          <w:rFonts w:ascii="Verdana" w:hAnsi="Verdana" w:cs="Arial"/>
          <w:sz w:val="18"/>
          <w:szCs w:val="18"/>
        </w:rPr>
        <w:t>en</w:t>
      </w:r>
      <w:r w:rsidRPr="007456D5" w:rsidR="003A5CF2">
        <w:rPr>
          <w:rFonts w:ascii="Verdana" w:hAnsi="Verdana" w:cs="Arial"/>
          <w:sz w:val="18"/>
          <w:szCs w:val="18"/>
        </w:rPr>
        <w:t xml:space="preserve">. Gemakkelijke toegang tot informatie biedt </w:t>
      </w:r>
      <w:r w:rsidRPr="007456D5" w:rsidR="007F5BB6">
        <w:rPr>
          <w:rFonts w:ascii="Verdana" w:hAnsi="Verdana" w:cs="Arial"/>
          <w:sz w:val="18"/>
          <w:szCs w:val="18"/>
        </w:rPr>
        <w:t>ondernemingen</w:t>
      </w:r>
      <w:r w:rsidRPr="007456D5" w:rsidR="003A5CF2">
        <w:rPr>
          <w:rFonts w:ascii="Verdana" w:hAnsi="Verdana" w:cs="Arial"/>
          <w:sz w:val="18"/>
          <w:szCs w:val="18"/>
        </w:rPr>
        <w:t xml:space="preserve"> ook meer mogelijkheden om te groeien, zichtbaarheid te verwerven en te innoveren. </w:t>
      </w:r>
      <w:r w:rsidRPr="007456D5" w:rsidR="006D772A">
        <w:rPr>
          <w:rFonts w:ascii="Verdana" w:hAnsi="Verdana" w:cs="Arial"/>
          <w:sz w:val="18"/>
          <w:szCs w:val="18"/>
        </w:rPr>
        <w:t>Voor het slagen van de groene transitie is het</w:t>
      </w:r>
      <w:r w:rsidRPr="007456D5" w:rsidR="00CC481F">
        <w:rPr>
          <w:rFonts w:ascii="Verdana" w:hAnsi="Verdana" w:cs="Arial"/>
          <w:sz w:val="18"/>
          <w:szCs w:val="18"/>
        </w:rPr>
        <w:t xml:space="preserve"> eveneens</w:t>
      </w:r>
      <w:r w:rsidRPr="007456D5" w:rsidR="006D772A">
        <w:rPr>
          <w:rFonts w:ascii="Verdana" w:hAnsi="Verdana" w:cs="Arial"/>
          <w:sz w:val="18"/>
          <w:szCs w:val="18"/>
        </w:rPr>
        <w:t xml:space="preserve"> belangrijk dat informatie over duurzaamheid en de </w:t>
      </w:r>
      <w:r w:rsidRPr="007456D5" w:rsidR="006D772A">
        <w:rPr>
          <w:rFonts w:ascii="Verdana" w:hAnsi="Verdana" w:cs="Arial"/>
          <w:i/>
          <w:iCs/>
          <w:sz w:val="18"/>
          <w:szCs w:val="18"/>
        </w:rPr>
        <w:t>governance</w:t>
      </w:r>
      <w:r w:rsidRPr="007456D5" w:rsidR="006D772A">
        <w:rPr>
          <w:rFonts w:ascii="Verdana" w:hAnsi="Verdana" w:cs="Arial"/>
          <w:sz w:val="18"/>
          <w:szCs w:val="18"/>
        </w:rPr>
        <w:t xml:space="preserve"> van </w:t>
      </w:r>
      <w:r w:rsidRPr="007456D5" w:rsidR="00CD67EB">
        <w:rPr>
          <w:rFonts w:ascii="Verdana" w:hAnsi="Verdana" w:cs="Arial"/>
          <w:sz w:val="18"/>
          <w:szCs w:val="18"/>
        </w:rPr>
        <w:t>ondernemingen</w:t>
      </w:r>
      <w:r w:rsidRPr="007456D5" w:rsidR="006D772A">
        <w:rPr>
          <w:rFonts w:ascii="Verdana" w:hAnsi="Verdana" w:cs="Arial"/>
          <w:sz w:val="18"/>
          <w:szCs w:val="18"/>
        </w:rPr>
        <w:t xml:space="preserve"> gemakkelijk toegankelijk is voor beleggers. </w:t>
      </w:r>
      <w:r w:rsidRPr="007456D5" w:rsidR="007F5BB6">
        <w:rPr>
          <w:rFonts w:ascii="Verdana" w:hAnsi="Verdana" w:cs="Arial"/>
          <w:sz w:val="18"/>
          <w:szCs w:val="18"/>
        </w:rPr>
        <w:t xml:space="preserve">Daar beoogt </w:t>
      </w:r>
      <w:r w:rsidR="00A65911">
        <w:rPr>
          <w:rFonts w:ascii="Verdana" w:hAnsi="Verdana" w:cs="Arial"/>
          <w:sz w:val="18"/>
          <w:szCs w:val="18"/>
        </w:rPr>
        <w:t xml:space="preserve">het </w:t>
      </w:r>
      <w:r w:rsidRPr="007456D5" w:rsidR="007F5BB6">
        <w:rPr>
          <w:rFonts w:ascii="Verdana" w:hAnsi="Verdana" w:cs="Arial"/>
          <w:sz w:val="18"/>
          <w:szCs w:val="18"/>
        </w:rPr>
        <w:t>ESAP aan bij te dragen.</w:t>
      </w:r>
    </w:p>
    <w:p w:rsidRPr="007456D5" w:rsidR="006D6745" w:rsidP="009C2659" w:rsidRDefault="006D6745" w14:paraId="02EE3C35" w14:textId="77777777">
      <w:pPr>
        <w:widowControl w:val="0"/>
        <w:spacing w:line="240" w:lineRule="atLeast"/>
        <w:contextualSpacing/>
        <w:rPr>
          <w:rFonts w:ascii="Verdana" w:hAnsi="Verdana" w:cs="Arial"/>
          <w:sz w:val="18"/>
          <w:szCs w:val="18"/>
        </w:rPr>
      </w:pPr>
    </w:p>
    <w:p w:rsidRPr="007456D5" w:rsidR="006D6745" w:rsidP="009C2659" w:rsidRDefault="006D6745" w14:paraId="72572A44" w14:textId="5618383A">
      <w:pPr>
        <w:widowControl w:val="0"/>
        <w:spacing w:line="240" w:lineRule="atLeast"/>
        <w:contextualSpacing/>
        <w:rPr>
          <w:rFonts w:ascii="Verdana" w:hAnsi="Verdana" w:cs="Arial"/>
          <w:i/>
          <w:iCs/>
          <w:sz w:val="18"/>
          <w:szCs w:val="18"/>
        </w:rPr>
      </w:pPr>
      <w:r w:rsidRPr="007456D5">
        <w:rPr>
          <w:rFonts w:ascii="Verdana" w:hAnsi="Verdana" w:cs="Arial"/>
          <w:i/>
          <w:iCs/>
          <w:sz w:val="18"/>
          <w:szCs w:val="18"/>
        </w:rPr>
        <w:t>§ 2.2</w:t>
      </w:r>
      <w:r w:rsidR="00874DAE">
        <w:rPr>
          <w:rFonts w:ascii="Verdana" w:hAnsi="Verdana" w:cs="Arial"/>
          <w:i/>
          <w:iCs/>
          <w:sz w:val="18"/>
          <w:szCs w:val="18"/>
        </w:rPr>
        <w:t>.</w:t>
      </w:r>
      <w:r w:rsidRPr="007456D5">
        <w:rPr>
          <w:rFonts w:ascii="Verdana" w:hAnsi="Verdana" w:cs="Arial"/>
          <w:i/>
          <w:iCs/>
          <w:sz w:val="18"/>
          <w:szCs w:val="18"/>
        </w:rPr>
        <w:t xml:space="preserve"> Oprichting en functioneren ESAP</w:t>
      </w:r>
    </w:p>
    <w:p w:rsidRPr="007456D5" w:rsidR="00090134" w:rsidP="009C2659" w:rsidRDefault="00090134" w14:paraId="1045B763" w14:textId="77777777">
      <w:pPr>
        <w:widowControl w:val="0"/>
        <w:spacing w:line="240" w:lineRule="atLeast"/>
        <w:contextualSpacing/>
        <w:rPr>
          <w:rFonts w:ascii="Verdana" w:hAnsi="Verdana" w:cs="Arial"/>
          <w:sz w:val="18"/>
          <w:szCs w:val="18"/>
        </w:rPr>
      </w:pPr>
    </w:p>
    <w:p w:rsidRPr="007456D5" w:rsidR="000434DB" w:rsidP="009C2659" w:rsidRDefault="006D772A" w14:paraId="4D9ECE61" w14:textId="1321D2F2">
      <w:pPr>
        <w:widowControl w:val="0"/>
        <w:spacing w:line="240" w:lineRule="atLeast"/>
        <w:contextualSpacing/>
        <w:rPr>
          <w:rFonts w:ascii="Verdana" w:hAnsi="Verdana" w:cs="Arial"/>
          <w:sz w:val="18"/>
          <w:szCs w:val="18"/>
        </w:rPr>
      </w:pPr>
      <w:r w:rsidRPr="007456D5">
        <w:rPr>
          <w:rFonts w:ascii="Verdana" w:hAnsi="Verdana" w:cs="Arial"/>
          <w:sz w:val="18"/>
          <w:szCs w:val="18"/>
        </w:rPr>
        <w:t xml:space="preserve">In de </w:t>
      </w:r>
      <w:r w:rsidRPr="007456D5" w:rsidR="00922438">
        <w:rPr>
          <w:rFonts w:ascii="Verdana" w:hAnsi="Verdana" w:cs="Arial"/>
          <w:sz w:val="18"/>
          <w:szCs w:val="18"/>
        </w:rPr>
        <w:t>verordening oprichting</w:t>
      </w:r>
      <w:r w:rsidR="00A65911">
        <w:rPr>
          <w:rFonts w:ascii="Verdana" w:hAnsi="Verdana" w:cs="Arial"/>
          <w:sz w:val="18"/>
          <w:szCs w:val="18"/>
        </w:rPr>
        <w:t xml:space="preserve"> </w:t>
      </w:r>
      <w:r w:rsidRPr="007456D5" w:rsidR="00922438">
        <w:rPr>
          <w:rFonts w:ascii="Verdana" w:hAnsi="Verdana" w:cs="Arial"/>
          <w:sz w:val="18"/>
          <w:szCs w:val="18"/>
        </w:rPr>
        <w:t xml:space="preserve">ESAP </w:t>
      </w:r>
      <w:r w:rsidRPr="007456D5">
        <w:rPr>
          <w:rFonts w:ascii="Verdana" w:hAnsi="Verdana" w:cs="Arial"/>
          <w:sz w:val="18"/>
          <w:szCs w:val="18"/>
        </w:rPr>
        <w:t xml:space="preserve">staan </w:t>
      </w:r>
      <w:r w:rsidRPr="007456D5" w:rsidR="00922438">
        <w:rPr>
          <w:rFonts w:ascii="Verdana" w:hAnsi="Verdana" w:cs="Arial"/>
          <w:sz w:val="18"/>
          <w:szCs w:val="18"/>
        </w:rPr>
        <w:t>de kenmerken, functionaliteiten en</w:t>
      </w:r>
      <w:r w:rsidRPr="007456D5">
        <w:rPr>
          <w:rFonts w:ascii="Verdana" w:hAnsi="Verdana" w:cs="Arial"/>
          <w:sz w:val="18"/>
          <w:szCs w:val="18"/>
        </w:rPr>
        <w:t xml:space="preserve"> regels over</w:t>
      </w:r>
      <w:r w:rsidRPr="007456D5" w:rsidR="00922438">
        <w:rPr>
          <w:rFonts w:ascii="Verdana" w:hAnsi="Verdana" w:cs="Arial"/>
          <w:sz w:val="18"/>
          <w:szCs w:val="18"/>
        </w:rPr>
        <w:t xml:space="preserve"> het beheer van</w:t>
      </w:r>
      <w:r w:rsidRPr="007456D5" w:rsidR="00870D2C">
        <w:rPr>
          <w:rFonts w:ascii="Verdana" w:hAnsi="Verdana" w:cs="Arial"/>
          <w:sz w:val="18"/>
          <w:szCs w:val="18"/>
        </w:rPr>
        <w:t xml:space="preserve"> </w:t>
      </w:r>
      <w:r w:rsidRPr="007456D5" w:rsidR="00BE6ABE">
        <w:rPr>
          <w:rFonts w:ascii="Verdana" w:hAnsi="Verdana" w:cs="Arial"/>
          <w:sz w:val="18"/>
          <w:szCs w:val="18"/>
        </w:rPr>
        <w:t>het Europees centraal toegangspunt</w:t>
      </w:r>
      <w:r w:rsidRPr="007456D5" w:rsidR="00922438">
        <w:rPr>
          <w:rFonts w:ascii="Verdana" w:hAnsi="Verdana" w:cs="Arial"/>
          <w:sz w:val="18"/>
          <w:szCs w:val="18"/>
        </w:rPr>
        <w:t xml:space="preserve">. </w:t>
      </w:r>
      <w:r w:rsidRPr="007456D5" w:rsidR="006D6745">
        <w:rPr>
          <w:rFonts w:ascii="Verdana" w:hAnsi="Verdana" w:cs="Arial"/>
          <w:sz w:val="18"/>
          <w:szCs w:val="18"/>
        </w:rPr>
        <w:t xml:space="preserve">De Europese Autoriteit voor effecten en markten (ESMA) zal uiterlijk op 10 juli 2027 </w:t>
      </w:r>
      <w:r w:rsidR="00A65911">
        <w:rPr>
          <w:rFonts w:ascii="Verdana" w:hAnsi="Verdana" w:cs="Arial"/>
          <w:sz w:val="18"/>
          <w:szCs w:val="18"/>
        </w:rPr>
        <w:t xml:space="preserve">het </w:t>
      </w:r>
      <w:r w:rsidRPr="007456D5" w:rsidR="006D6745">
        <w:rPr>
          <w:rFonts w:ascii="Verdana" w:hAnsi="Verdana" w:cs="Arial"/>
          <w:sz w:val="18"/>
          <w:szCs w:val="18"/>
        </w:rPr>
        <w:t xml:space="preserve">ESAP oprichten en </w:t>
      </w:r>
      <w:r w:rsidRPr="007456D5" w:rsidR="000E70D3">
        <w:rPr>
          <w:rFonts w:ascii="Verdana" w:hAnsi="Verdana" w:cs="Arial"/>
          <w:sz w:val="18"/>
          <w:szCs w:val="18"/>
        </w:rPr>
        <w:t xml:space="preserve">het daarna </w:t>
      </w:r>
      <w:r w:rsidRPr="007456D5" w:rsidR="006D6745">
        <w:rPr>
          <w:rFonts w:ascii="Verdana" w:hAnsi="Verdana" w:cs="Arial"/>
          <w:sz w:val="18"/>
          <w:szCs w:val="18"/>
        </w:rPr>
        <w:t>beheren</w:t>
      </w:r>
      <w:r w:rsidRPr="007456D5" w:rsidR="000E70D3">
        <w:rPr>
          <w:rFonts w:ascii="Verdana" w:hAnsi="Verdana" w:cs="Arial"/>
          <w:sz w:val="18"/>
          <w:szCs w:val="18"/>
        </w:rPr>
        <w:t xml:space="preserve"> en toegankelijk maken</w:t>
      </w:r>
      <w:r w:rsidRPr="007456D5" w:rsidR="006D6745">
        <w:rPr>
          <w:rFonts w:ascii="Verdana" w:hAnsi="Verdana" w:cs="Arial"/>
          <w:sz w:val="18"/>
          <w:szCs w:val="18"/>
        </w:rPr>
        <w:t>. D</w:t>
      </w:r>
      <w:r w:rsidRPr="007456D5" w:rsidR="00606C0E">
        <w:rPr>
          <w:rFonts w:ascii="Verdana" w:hAnsi="Verdana" w:cs="Arial"/>
          <w:sz w:val="18"/>
          <w:szCs w:val="18"/>
        </w:rPr>
        <w:t>e</w:t>
      </w:r>
      <w:r w:rsidRPr="007456D5" w:rsidR="006D6745">
        <w:rPr>
          <w:rFonts w:ascii="Verdana" w:hAnsi="Verdana" w:cs="Arial"/>
          <w:sz w:val="18"/>
          <w:szCs w:val="18"/>
        </w:rPr>
        <w:t xml:space="preserve"> informatie die via </w:t>
      </w:r>
      <w:r w:rsidR="00A65911">
        <w:rPr>
          <w:rFonts w:ascii="Verdana" w:hAnsi="Verdana" w:cs="Arial"/>
          <w:sz w:val="18"/>
          <w:szCs w:val="18"/>
        </w:rPr>
        <w:t xml:space="preserve">het </w:t>
      </w:r>
      <w:r w:rsidRPr="007456D5" w:rsidR="00344015">
        <w:rPr>
          <w:rFonts w:ascii="Verdana" w:hAnsi="Verdana" w:cs="Arial"/>
          <w:sz w:val="18"/>
          <w:szCs w:val="18"/>
        </w:rPr>
        <w:t xml:space="preserve">ESAP </w:t>
      </w:r>
      <w:r w:rsidRPr="007456D5" w:rsidR="006D6745">
        <w:rPr>
          <w:rFonts w:ascii="Verdana" w:hAnsi="Verdana" w:cs="Arial"/>
          <w:sz w:val="18"/>
          <w:szCs w:val="18"/>
        </w:rPr>
        <w:t xml:space="preserve">openbaar toegankelijk </w:t>
      </w:r>
      <w:r w:rsidRPr="007456D5" w:rsidR="00870D2C">
        <w:rPr>
          <w:rFonts w:ascii="Verdana" w:hAnsi="Verdana" w:cs="Arial"/>
          <w:sz w:val="18"/>
          <w:szCs w:val="18"/>
        </w:rPr>
        <w:t>zal worden</w:t>
      </w:r>
      <w:r w:rsidRPr="007456D5" w:rsidR="006D6745">
        <w:rPr>
          <w:rFonts w:ascii="Verdana" w:hAnsi="Verdana" w:cs="Arial"/>
          <w:sz w:val="18"/>
          <w:szCs w:val="18"/>
        </w:rPr>
        <w:t xml:space="preserve"> gemaakt, wordt verzameld door zogenoemde verzamelende instanties</w:t>
      </w:r>
      <w:r w:rsidRPr="007456D5" w:rsidR="00EC2DB4">
        <w:rPr>
          <w:rFonts w:ascii="Verdana" w:hAnsi="Verdana" w:cs="Arial"/>
          <w:sz w:val="18"/>
          <w:szCs w:val="18"/>
        </w:rPr>
        <w:t xml:space="preserve">. </w:t>
      </w:r>
      <w:r w:rsidRPr="007456D5" w:rsidR="006D6745">
        <w:rPr>
          <w:rFonts w:ascii="Verdana" w:hAnsi="Verdana" w:cs="Arial"/>
          <w:sz w:val="18"/>
          <w:szCs w:val="18"/>
        </w:rPr>
        <w:t xml:space="preserve">De verzamelende instanties </w:t>
      </w:r>
      <w:r w:rsidRPr="007456D5" w:rsidR="00790498">
        <w:rPr>
          <w:rFonts w:ascii="Verdana" w:hAnsi="Verdana" w:cs="Arial"/>
          <w:sz w:val="18"/>
          <w:szCs w:val="18"/>
        </w:rPr>
        <w:t xml:space="preserve">verstrekken </w:t>
      </w:r>
      <w:r w:rsidRPr="007456D5" w:rsidR="00DE1533">
        <w:rPr>
          <w:rFonts w:ascii="Verdana" w:hAnsi="Verdana" w:cs="Arial"/>
          <w:sz w:val="18"/>
          <w:szCs w:val="18"/>
        </w:rPr>
        <w:t>de informatie</w:t>
      </w:r>
      <w:r w:rsidRPr="007456D5" w:rsidR="00C4354A">
        <w:rPr>
          <w:rFonts w:ascii="Verdana" w:hAnsi="Verdana" w:cs="Arial"/>
          <w:sz w:val="18"/>
          <w:szCs w:val="18"/>
        </w:rPr>
        <w:t xml:space="preserve"> vervolgens</w:t>
      </w:r>
      <w:r w:rsidRPr="007456D5" w:rsidR="00DE1533">
        <w:rPr>
          <w:rFonts w:ascii="Verdana" w:hAnsi="Verdana" w:cs="Arial"/>
          <w:sz w:val="18"/>
          <w:szCs w:val="18"/>
        </w:rPr>
        <w:t xml:space="preserve"> </w:t>
      </w:r>
      <w:r w:rsidRPr="007456D5" w:rsidR="00790498">
        <w:rPr>
          <w:rFonts w:ascii="Verdana" w:hAnsi="Verdana" w:cs="Arial"/>
          <w:sz w:val="18"/>
          <w:szCs w:val="18"/>
        </w:rPr>
        <w:t xml:space="preserve">aan </w:t>
      </w:r>
      <w:r w:rsidR="00A65911">
        <w:rPr>
          <w:rFonts w:ascii="Verdana" w:hAnsi="Verdana" w:cs="Arial"/>
          <w:sz w:val="18"/>
          <w:szCs w:val="18"/>
        </w:rPr>
        <w:t xml:space="preserve">het </w:t>
      </w:r>
      <w:r w:rsidRPr="007456D5" w:rsidR="00344015">
        <w:rPr>
          <w:rFonts w:ascii="Verdana" w:hAnsi="Verdana" w:cs="Arial"/>
          <w:sz w:val="18"/>
          <w:szCs w:val="18"/>
        </w:rPr>
        <w:t xml:space="preserve">ESAP </w:t>
      </w:r>
      <w:r w:rsidRPr="007456D5" w:rsidR="006D6745">
        <w:rPr>
          <w:rFonts w:ascii="Verdana" w:hAnsi="Verdana" w:cs="Arial"/>
          <w:sz w:val="18"/>
          <w:szCs w:val="18"/>
        </w:rPr>
        <w:t xml:space="preserve">via één </w:t>
      </w:r>
      <w:proofErr w:type="spellStart"/>
      <w:r w:rsidRPr="007456D5" w:rsidR="006D6745">
        <w:rPr>
          <w:rFonts w:ascii="Verdana" w:hAnsi="Verdana" w:cs="Arial"/>
          <w:i/>
          <w:iCs/>
          <w:sz w:val="18"/>
          <w:szCs w:val="18"/>
        </w:rPr>
        <w:t>application</w:t>
      </w:r>
      <w:proofErr w:type="spellEnd"/>
      <w:r w:rsidRPr="007456D5" w:rsidR="006D6745">
        <w:rPr>
          <w:rFonts w:ascii="Verdana" w:hAnsi="Verdana" w:cs="Arial"/>
          <w:i/>
          <w:iCs/>
          <w:sz w:val="18"/>
          <w:szCs w:val="18"/>
        </w:rPr>
        <w:t xml:space="preserve"> </w:t>
      </w:r>
      <w:proofErr w:type="spellStart"/>
      <w:r w:rsidRPr="007456D5" w:rsidR="006D6745">
        <w:rPr>
          <w:rFonts w:ascii="Verdana" w:hAnsi="Verdana" w:cs="Arial"/>
          <w:i/>
          <w:iCs/>
          <w:sz w:val="18"/>
          <w:szCs w:val="18"/>
        </w:rPr>
        <w:t>programming</w:t>
      </w:r>
      <w:proofErr w:type="spellEnd"/>
      <w:r w:rsidRPr="007456D5" w:rsidR="006D6745">
        <w:rPr>
          <w:rFonts w:ascii="Verdana" w:hAnsi="Verdana" w:cs="Arial"/>
          <w:i/>
          <w:iCs/>
          <w:sz w:val="18"/>
          <w:szCs w:val="18"/>
        </w:rPr>
        <w:t xml:space="preserve"> interface</w:t>
      </w:r>
      <w:r w:rsidRPr="007456D5" w:rsidR="006D6745">
        <w:rPr>
          <w:rFonts w:ascii="Verdana" w:hAnsi="Verdana" w:cs="Arial"/>
          <w:sz w:val="18"/>
          <w:szCs w:val="18"/>
        </w:rPr>
        <w:t xml:space="preserve"> (API). </w:t>
      </w:r>
      <w:r w:rsidRPr="007456D5" w:rsidR="00BA618D">
        <w:rPr>
          <w:rFonts w:ascii="Verdana" w:hAnsi="Verdana" w:cs="Arial"/>
          <w:sz w:val="18"/>
          <w:szCs w:val="18"/>
        </w:rPr>
        <w:t>De informatie zal door middel van deze API worden doorgeleid naar</w:t>
      </w:r>
      <w:r w:rsidRPr="007456D5" w:rsidR="00344015">
        <w:rPr>
          <w:rFonts w:ascii="Verdana" w:hAnsi="Verdana" w:cs="Arial"/>
          <w:sz w:val="18"/>
          <w:szCs w:val="18"/>
        </w:rPr>
        <w:t xml:space="preserve"> </w:t>
      </w:r>
      <w:r w:rsidR="00A65911">
        <w:rPr>
          <w:rFonts w:ascii="Verdana" w:hAnsi="Verdana" w:cs="Arial"/>
          <w:sz w:val="18"/>
          <w:szCs w:val="18"/>
        </w:rPr>
        <w:t xml:space="preserve">het </w:t>
      </w:r>
      <w:r w:rsidRPr="007456D5" w:rsidR="00344015">
        <w:rPr>
          <w:rFonts w:ascii="Verdana" w:hAnsi="Verdana" w:cs="Arial"/>
          <w:sz w:val="18"/>
          <w:szCs w:val="18"/>
        </w:rPr>
        <w:t>ESAP</w:t>
      </w:r>
      <w:r w:rsidRPr="007456D5" w:rsidR="00BA618D">
        <w:rPr>
          <w:rFonts w:ascii="Verdana" w:hAnsi="Verdana" w:cs="Arial"/>
          <w:sz w:val="18"/>
          <w:szCs w:val="18"/>
        </w:rPr>
        <w:t xml:space="preserve">. </w:t>
      </w:r>
      <w:r w:rsidRPr="007456D5" w:rsidR="00DE1533">
        <w:rPr>
          <w:rFonts w:ascii="Verdana" w:hAnsi="Verdana" w:cs="Arial"/>
          <w:sz w:val="18"/>
          <w:szCs w:val="18"/>
        </w:rPr>
        <w:t xml:space="preserve">De informatie </w:t>
      </w:r>
      <w:r w:rsidRPr="007456D5" w:rsidR="00870D2C">
        <w:rPr>
          <w:rFonts w:ascii="Verdana" w:hAnsi="Verdana" w:cs="Arial"/>
          <w:sz w:val="18"/>
          <w:szCs w:val="18"/>
        </w:rPr>
        <w:t xml:space="preserve">blijft </w:t>
      </w:r>
      <w:r w:rsidRPr="007456D5" w:rsidR="00DE1533">
        <w:rPr>
          <w:rFonts w:ascii="Verdana" w:hAnsi="Verdana" w:cs="Arial"/>
          <w:sz w:val="18"/>
          <w:szCs w:val="18"/>
        </w:rPr>
        <w:t>in beginsel voor een periode van ten minste tien jaar beschikbaar op</w:t>
      </w:r>
      <w:r w:rsidRPr="007456D5" w:rsidR="00344015">
        <w:rPr>
          <w:rFonts w:ascii="Verdana" w:hAnsi="Verdana" w:cs="Arial"/>
          <w:sz w:val="18"/>
          <w:szCs w:val="18"/>
        </w:rPr>
        <w:t xml:space="preserve"> </w:t>
      </w:r>
      <w:r w:rsidR="00B9660D">
        <w:rPr>
          <w:rFonts w:ascii="Verdana" w:hAnsi="Verdana" w:cs="Arial"/>
          <w:sz w:val="18"/>
          <w:szCs w:val="18"/>
        </w:rPr>
        <w:t>het</w:t>
      </w:r>
      <w:r w:rsidR="00E24386">
        <w:rPr>
          <w:rFonts w:ascii="Verdana" w:hAnsi="Verdana" w:cs="Arial"/>
          <w:sz w:val="18"/>
          <w:szCs w:val="18"/>
        </w:rPr>
        <w:t xml:space="preserve"> </w:t>
      </w:r>
      <w:r w:rsidRPr="007456D5" w:rsidR="00344015">
        <w:rPr>
          <w:rFonts w:ascii="Verdana" w:hAnsi="Verdana" w:cs="Arial"/>
          <w:sz w:val="18"/>
          <w:szCs w:val="18"/>
        </w:rPr>
        <w:t>ESAP</w:t>
      </w:r>
      <w:r w:rsidRPr="007456D5" w:rsidR="00DE1533">
        <w:rPr>
          <w:rFonts w:ascii="Verdana" w:hAnsi="Verdana" w:cs="Arial"/>
          <w:sz w:val="18"/>
          <w:szCs w:val="18"/>
        </w:rPr>
        <w:t xml:space="preserve">. De </w:t>
      </w:r>
      <w:r w:rsidRPr="007456D5" w:rsidR="003866F1">
        <w:rPr>
          <w:rFonts w:ascii="Verdana" w:hAnsi="Verdana" w:cs="Arial"/>
          <w:sz w:val="18"/>
          <w:szCs w:val="18"/>
        </w:rPr>
        <w:t>ondernemingen</w:t>
      </w:r>
      <w:r w:rsidRPr="007456D5" w:rsidR="00DE1533">
        <w:rPr>
          <w:rFonts w:ascii="Verdana" w:hAnsi="Verdana" w:cs="Arial"/>
          <w:sz w:val="18"/>
          <w:szCs w:val="18"/>
        </w:rPr>
        <w:t xml:space="preserve"> die de informatie bij de verzamelende instantie aanleveren</w:t>
      </w:r>
      <w:r w:rsidRPr="007456D5" w:rsidR="000E70D3">
        <w:rPr>
          <w:rFonts w:ascii="Verdana" w:hAnsi="Verdana" w:cs="Arial"/>
          <w:sz w:val="18"/>
          <w:szCs w:val="18"/>
        </w:rPr>
        <w:t>,</w:t>
      </w:r>
      <w:r w:rsidRPr="007456D5" w:rsidR="00DE1533">
        <w:rPr>
          <w:rFonts w:ascii="Verdana" w:hAnsi="Verdana" w:cs="Arial"/>
          <w:sz w:val="18"/>
          <w:szCs w:val="18"/>
        </w:rPr>
        <w:t xml:space="preserve"> zijn zelf verantwoordelijk voor de </w:t>
      </w:r>
      <w:r w:rsidRPr="007456D5" w:rsidR="006136FB">
        <w:rPr>
          <w:rFonts w:ascii="Verdana" w:hAnsi="Verdana" w:cs="Arial"/>
          <w:sz w:val="18"/>
          <w:szCs w:val="18"/>
        </w:rPr>
        <w:t xml:space="preserve">volledigheid en nauwkeurigheid </w:t>
      </w:r>
      <w:r w:rsidRPr="007456D5" w:rsidR="00DE1533">
        <w:rPr>
          <w:rFonts w:ascii="Verdana" w:hAnsi="Verdana" w:cs="Arial"/>
          <w:sz w:val="18"/>
          <w:szCs w:val="18"/>
        </w:rPr>
        <w:t xml:space="preserve">van de aangeleverde informatie. </w:t>
      </w:r>
      <w:bookmarkStart w:name="_Hlk212629346" w:id="3"/>
      <w:r w:rsidRPr="007456D5" w:rsidR="006136FB">
        <w:rPr>
          <w:rFonts w:ascii="Verdana" w:hAnsi="Verdana" w:cs="Arial"/>
          <w:sz w:val="18"/>
          <w:szCs w:val="18"/>
        </w:rPr>
        <w:t xml:space="preserve">De verzamelende instanties </w:t>
      </w:r>
      <w:r w:rsidRPr="007456D5" w:rsidR="00C4354A">
        <w:rPr>
          <w:rFonts w:ascii="Verdana" w:hAnsi="Verdana" w:cs="Arial"/>
          <w:sz w:val="18"/>
          <w:szCs w:val="18"/>
        </w:rPr>
        <w:t>dienen</w:t>
      </w:r>
      <w:r w:rsidRPr="007456D5" w:rsidR="006136FB">
        <w:rPr>
          <w:rFonts w:ascii="Verdana" w:hAnsi="Verdana" w:cs="Arial"/>
          <w:sz w:val="18"/>
          <w:szCs w:val="18"/>
        </w:rPr>
        <w:t xml:space="preserve"> </w:t>
      </w:r>
      <w:r w:rsidR="00D545F7">
        <w:rPr>
          <w:rFonts w:ascii="Verdana" w:hAnsi="Verdana" w:cs="Arial"/>
          <w:sz w:val="18"/>
          <w:szCs w:val="18"/>
        </w:rPr>
        <w:t xml:space="preserve">geautomatiseerde </w:t>
      </w:r>
      <w:r w:rsidRPr="007456D5" w:rsidR="006136FB">
        <w:rPr>
          <w:rFonts w:ascii="Verdana" w:hAnsi="Verdana" w:cs="Arial"/>
          <w:sz w:val="18"/>
          <w:szCs w:val="18"/>
        </w:rPr>
        <w:t>validaties uit</w:t>
      </w:r>
      <w:r w:rsidRPr="007456D5" w:rsidR="00C4354A">
        <w:rPr>
          <w:rFonts w:ascii="Verdana" w:hAnsi="Verdana" w:cs="Arial"/>
          <w:sz w:val="18"/>
          <w:szCs w:val="18"/>
        </w:rPr>
        <w:t xml:space="preserve"> te voeren</w:t>
      </w:r>
      <w:r w:rsidRPr="007456D5" w:rsidR="006136FB">
        <w:rPr>
          <w:rFonts w:ascii="Verdana" w:hAnsi="Verdana" w:cs="Arial"/>
          <w:sz w:val="18"/>
          <w:szCs w:val="18"/>
        </w:rPr>
        <w:t xml:space="preserve"> om na te gaan of de informatie is ingediend in het juiste format en voorzien is van de voorgeschreven metadata</w:t>
      </w:r>
      <w:bookmarkEnd w:id="3"/>
      <w:r w:rsidRPr="007456D5" w:rsidR="006136FB">
        <w:rPr>
          <w:rFonts w:ascii="Verdana" w:hAnsi="Verdana" w:cs="Arial"/>
          <w:sz w:val="18"/>
          <w:szCs w:val="18"/>
        </w:rPr>
        <w:t xml:space="preserve">. </w:t>
      </w:r>
      <w:r w:rsidR="00D545F7">
        <w:rPr>
          <w:rFonts w:ascii="Verdana" w:hAnsi="Verdana" w:cs="Arial"/>
          <w:sz w:val="18"/>
          <w:szCs w:val="18"/>
        </w:rPr>
        <w:t xml:space="preserve">De geautomatiseerde </w:t>
      </w:r>
      <w:r w:rsidRPr="00E1080E" w:rsidR="000759B8">
        <w:rPr>
          <w:rFonts w:ascii="Verdana" w:hAnsi="Verdana" w:cs="Arial"/>
          <w:sz w:val="18"/>
          <w:szCs w:val="18"/>
        </w:rPr>
        <w:t>validaties mogen geen be</w:t>
      </w:r>
      <w:r w:rsidRPr="00E1080E" w:rsidR="000759B8">
        <w:rPr>
          <w:rFonts w:ascii="Verdana" w:hAnsi="Verdana" w:cs="Arial"/>
          <w:sz w:val="18"/>
          <w:szCs w:val="18"/>
        </w:rPr>
        <w:lastRenderedPageBreak/>
        <w:t>trekking hebben op de inhoud van de</w:t>
      </w:r>
      <w:r w:rsidR="00D545F7">
        <w:rPr>
          <w:rFonts w:ascii="Verdana" w:hAnsi="Verdana" w:cs="Arial"/>
          <w:sz w:val="18"/>
          <w:szCs w:val="18"/>
        </w:rPr>
        <w:t xml:space="preserve"> aangeleverde</w:t>
      </w:r>
      <w:r w:rsidRPr="00E1080E" w:rsidR="000759B8">
        <w:rPr>
          <w:rFonts w:ascii="Verdana" w:hAnsi="Verdana" w:cs="Arial"/>
          <w:sz w:val="18"/>
          <w:szCs w:val="18"/>
        </w:rPr>
        <w:t xml:space="preserve"> </w:t>
      </w:r>
      <w:r w:rsidRPr="00D545F7" w:rsidR="000759B8">
        <w:rPr>
          <w:rFonts w:ascii="Verdana" w:hAnsi="Verdana" w:cs="Arial"/>
          <w:sz w:val="18"/>
          <w:szCs w:val="18"/>
        </w:rPr>
        <w:t xml:space="preserve">informatie. </w:t>
      </w:r>
      <w:r w:rsidRPr="00E24386" w:rsidR="00D545F7">
        <w:rPr>
          <w:rFonts w:ascii="Verdana" w:hAnsi="Verdana"/>
          <w:sz w:val="18"/>
          <w:szCs w:val="18"/>
        </w:rPr>
        <w:t>Naast geautomatiseerde validaties moeten de verzamelende instanties informatie afwijzen of verwijderen indien zij, bijvoorbeeld na ontvangst van informatie van een belanghebbende, vaststellen dat die buiten het toepassingsgebied van de verordening</w:t>
      </w:r>
      <w:r w:rsidR="00D545F7">
        <w:rPr>
          <w:rFonts w:ascii="Verdana" w:hAnsi="Verdana"/>
          <w:sz w:val="18"/>
          <w:szCs w:val="18"/>
        </w:rPr>
        <w:t xml:space="preserve"> oprichting ESAP</w:t>
      </w:r>
      <w:r w:rsidRPr="00E24386" w:rsidR="00D545F7">
        <w:rPr>
          <w:rFonts w:ascii="Verdana" w:hAnsi="Verdana"/>
          <w:sz w:val="18"/>
          <w:szCs w:val="18"/>
        </w:rPr>
        <w:t xml:space="preserve"> valt</w:t>
      </w:r>
      <w:r w:rsidR="00DF142A">
        <w:rPr>
          <w:rFonts w:ascii="Verdana" w:hAnsi="Verdana"/>
          <w:sz w:val="18"/>
          <w:szCs w:val="18"/>
        </w:rPr>
        <w:t xml:space="preserve"> (zie artikel 1, eerste lid, verordening oprichting ESAP)</w:t>
      </w:r>
      <w:r w:rsidR="00762153">
        <w:rPr>
          <w:rFonts w:ascii="Verdana" w:hAnsi="Verdana"/>
          <w:sz w:val="18"/>
          <w:szCs w:val="18"/>
        </w:rPr>
        <w:t xml:space="preserve">. </w:t>
      </w:r>
      <w:r w:rsidR="00DF142A">
        <w:rPr>
          <w:rStyle w:val="cf01"/>
          <w:rFonts w:ascii="Verdana" w:hAnsi="Verdana"/>
        </w:rPr>
        <w:t>M</w:t>
      </w:r>
      <w:r w:rsidR="00F91487">
        <w:rPr>
          <w:rStyle w:val="cf01"/>
          <w:rFonts w:ascii="Verdana" w:hAnsi="Verdana"/>
        </w:rPr>
        <w:t>arketinginformatie valt buiten het toepassingsgebied.</w:t>
      </w:r>
      <w:r w:rsidR="00762153">
        <w:rPr>
          <w:rStyle w:val="cf01"/>
          <w:rFonts w:ascii="Verdana" w:hAnsi="Verdana"/>
        </w:rPr>
        <w:t xml:space="preserve"> Verder kan een verzamelende instantie informatie afwijzen of verwijderen indien</w:t>
      </w:r>
      <w:r w:rsidR="00762153">
        <w:rPr>
          <w:rStyle w:val="cf01"/>
        </w:rPr>
        <w:t xml:space="preserve"> </w:t>
      </w:r>
      <w:r w:rsidR="00762153">
        <w:rPr>
          <w:rFonts w:ascii="Verdana" w:hAnsi="Verdana"/>
          <w:sz w:val="18"/>
          <w:szCs w:val="18"/>
        </w:rPr>
        <w:t>de i</w:t>
      </w:r>
      <w:r w:rsidRPr="00E24386" w:rsidR="00D545F7">
        <w:rPr>
          <w:rFonts w:ascii="Verdana" w:hAnsi="Verdana"/>
          <w:sz w:val="18"/>
          <w:szCs w:val="18"/>
        </w:rPr>
        <w:t xml:space="preserve">nhoud </w:t>
      </w:r>
      <w:r w:rsidR="00762153">
        <w:rPr>
          <w:rFonts w:ascii="Verdana" w:hAnsi="Verdana"/>
          <w:sz w:val="18"/>
          <w:szCs w:val="18"/>
        </w:rPr>
        <w:t>van de informatie</w:t>
      </w:r>
      <w:r w:rsidRPr="00E24386" w:rsidR="00D545F7">
        <w:rPr>
          <w:rFonts w:ascii="Verdana" w:hAnsi="Verdana"/>
          <w:sz w:val="18"/>
          <w:szCs w:val="18"/>
        </w:rPr>
        <w:t xml:space="preserve"> duidelijk ongepast of misleidend is</w:t>
      </w:r>
      <w:r w:rsidR="00D545F7">
        <w:rPr>
          <w:rFonts w:ascii="Verdana" w:hAnsi="Verdana"/>
          <w:sz w:val="18"/>
          <w:szCs w:val="18"/>
        </w:rPr>
        <w:t xml:space="preserve"> (zie overweging 19 van de verordening oprichting ESAP)</w:t>
      </w:r>
      <w:r w:rsidRPr="00E24386" w:rsidR="00D545F7">
        <w:rPr>
          <w:rFonts w:ascii="Verdana" w:hAnsi="Verdana"/>
          <w:sz w:val="18"/>
          <w:szCs w:val="18"/>
        </w:rPr>
        <w:t>.</w:t>
      </w:r>
      <w:r w:rsidR="00D545F7">
        <w:rPr>
          <w:rFonts w:ascii="Verdana" w:hAnsi="Verdana"/>
          <w:sz w:val="18"/>
          <w:szCs w:val="18"/>
        </w:rPr>
        <w:t xml:space="preserve"> </w:t>
      </w:r>
      <w:r w:rsidRPr="00D545F7" w:rsidR="000C062F">
        <w:rPr>
          <w:rFonts w:ascii="Verdana" w:hAnsi="Verdana" w:cs="Arial"/>
          <w:sz w:val="18"/>
          <w:szCs w:val="18"/>
        </w:rPr>
        <w:t>ESMA zorgt er vervolgens voor dat de door de verzamelende instanties aangeleverde</w:t>
      </w:r>
      <w:r w:rsidRPr="007456D5" w:rsidR="000C062F">
        <w:rPr>
          <w:rFonts w:ascii="Verdana" w:hAnsi="Verdana" w:cs="Arial"/>
          <w:sz w:val="18"/>
          <w:szCs w:val="18"/>
        </w:rPr>
        <w:t xml:space="preserve"> informatie na de indiening door de </w:t>
      </w:r>
      <w:r w:rsidRPr="007456D5" w:rsidR="003866F1">
        <w:rPr>
          <w:rFonts w:ascii="Verdana" w:hAnsi="Verdana" w:cs="Arial"/>
          <w:sz w:val="18"/>
          <w:szCs w:val="18"/>
        </w:rPr>
        <w:t>ondernemingen</w:t>
      </w:r>
      <w:r w:rsidRPr="007456D5" w:rsidR="000C062F">
        <w:rPr>
          <w:rFonts w:ascii="Verdana" w:hAnsi="Verdana" w:cs="Arial"/>
          <w:sz w:val="18"/>
          <w:szCs w:val="18"/>
        </w:rPr>
        <w:t xml:space="preserve"> zonder onnodige vertraging op het</w:t>
      </w:r>
      <w:r w:rsidR="003A4CD6">
        <w:rPr>
          <w:rFonts w:ascii="Verdana" w:hAnsi="Verdana" w:cs="Arial"/>
          <w:sz w:val="18"/>
          <w:szCs w:val="18"/>
        </w:rPr>
        <w:t xml:space="preserve"> </w:t>
      </w:r>
      <w:r w:rsidRPr="007456D5" w:rsidR="000C062F">
        <w:rPr>
          <w:rFonts w:ascii="Verdana" w:hAnsi="Verdana" w:cs="Arial"/>
          <w:sz w:val="18"/>
          <w:szCs w:val="18"/>
        </w:rPr>
        <w:t>ESAP toegankelijk wordt gemaakt</w:t>
      </w:r>
      <w:r w:rsidR="003A4CD6">
        <w:rPr>
          <w:rFonts w:ascii="Verdana" w:hAnsi="Verdana" w:cs="Arial"/>
          <w:sz w:val="18"/>
          <w:szCs w:val="18"/>
        </w:rPr>
        <w:t>.</w:t>
      </w:r>
    </w:p>
    <w:p w:rsidRPr="007456D5" w:rsidR="000434DB" w:rsidP="009C2659" w:rsidRDefault="000434DB" w14:paraId="690428B5" w14:textId="77777777">
      <w:pPr>
        <w:widowControl w:val="0"/>
        <w:spacing w:line="240" w:lineRule="atLeast"/>
        <w:contextualSpacing/>
        <w:rPr>
          <w:rFonts w:ascii="Verdana" w:hAnsi="Verdana" w:cs="Arial"/>
          <w:sz w:val="18"/>
          <w:szCs w:val="18"/>
        </w:rPr>
      </w:pPr>
    </w:p>
    <w:p w:rsidRPr="007456D5" w:rsidR="00B2159A" w:rsidP="009C2659" w:rsidRDefault="000434DB" w14:paraId="16B78833" w14:textId="773358DC">
      <w:pPr>
        <w:widowControl w:val="0"/>
        <w:spacing w:line="240" w:lineRule="atLeast"/>
        <w:contextualSpacing/>
        <w:rPr>
          <w:rFonts w:ascii="Verdana" w:hAnsi="Verdana" w:cs="Arial"/>
          <w:sz w:val="18"/>
          <w:szCs w:val="18"/>
        </w:rPr>
      </w:pPr>
      <w:r w:rsidRPr="007456D5">
        <w:rPr>
          <w:rFonts w:ascii="Verdana" w:hAnsi="Verdana" w:cs="Arial"/>
          <w:sz w:val="18"/>
          <w:szCs w:val="18"/>
        </w:rPr>
        <w:t xml:space="preserve">Om data gemakkelijk te kunnen opzoeken en gebruiken zal het ESAP een reeks functionaliteiten aanbieden, zoals een zoekfunctie en machinevertalingsdienst. </w:t>
      </w:r>
      <w:r w:rsidRPr="007456D5" w:rsidR="008019CE">
        <w:rPr>
          <w:rFonts w:ascii="Verdana" w:hAnsi="Verdana" w:cs="Arial"/>
          <w:sz w:val="18"/>
          <w:szCs w:val="18"/>
        </w:rPr>
        <w:t xml:space="preserve">De informatie op </w:t>
      </w:r>
      <w:r w:rsidR="00B9660D">
        <w:rPr>
          <w:rFonts w:ascii="Verdana" w:hAnsi="Verdana" w:cs="Arial"/>
          <w:sz w:val="18"/>
          <w:szCs w:val="18"/>
        </w:rPr>
        <w:t xml:space="preserve">het </w:t>
      </w:r>
      <w:r w:rsidRPr="007456D5" w:rsidR="00005D73">
        <w:rPr>
          <w:rFonts w:ascii="Verdana" w:hAnsi="Verdana" w:cs="Arial"/>
          <w:sz w:val="18"/>
          <w:szCs w:val="18"/>
        </w:rPr>
        <w:t>ESAP</w:t>
      </w:r>
      <w:r w:rsidRPr="007456D5" w:rsidR="00BE6ABE">
        <w:rPr>
          <w:rFonts w:ascii="Verdana" w:hAnsi="Verdana" w:cs="Arial"/>
          <w:sz w:val="18"/>
          <w:szCs w:val="18"/>
        </w:rPr>
        <w:t xml:space="preserve"> </w:t>
      </w:r>
      <w:r w:rsidRPr="007456D5" w:rsidR="008019CE">
        <w:rPr>
          <w:rFonts w:ascii="Verdana" w:hAnsi="Verdana" w:cs="Arial"/>
          <w:sz w:val="18"/>
          <w:szCs w:val="18"/>
        </w:rPr>
        <w:t>is in beginsel kosteloos toegankelijk</w:t>
      </w:r>
      <w:r w:rsidRPr="007456D5" w:rsidR="000E70D3">
        <w:rPr>
          <w:rFonts w:ascii="Verdana" w:hAnsi="Verdana" w:cs="Arial"/>
          <w:sz w:val="18"/>
          <w:szCs w:val="18"/>
        </w:rPr>
        <w:t xml:space="preserve"> voor iedereen maar zal naar verwachting vooral door potentiële investeerders geraadpleegd worden</w:t>
      </w:r>
      <w:r w:rsidRPr="007456D5" w:rsidR="008019CE">
        <w:rPr>
          <w:rFonts w:ascii="Verdana" w:hAnsi="Verdana" w:cs="Arial"/>
          <w:sz w:val="18"/>
          <w:szCs w:val="18"/>
        </w:rPr>
        <w:t xml:space="preserve">. </w:t>
      </w:r>
      <w:r w:rsidRPr="007456D5" w:rsidR="00853455">
        <w:rPr>
          <w:rFonts w:ascii="Verdana" w:hAnsi="Verdana" w:cs="Arial"/>
          <w:sz w:val="18"/>
          <w:szCs w:val="18"/>
        </w:rPr>
        <w:t xml:space="preserve">ESMA kan als beheerder van </w:t>
      </w:r>
      <w:r w:rsidR="00B9660D">
        <w:rPr>
          <w:rFonts w:ascii="Verdana" w:hAnsi="Verdana" w:cs="Arial"/>
          <w:sz w:val="18"/>
          <w:szCs w:val="18"/>
        </w:rPr>
        <w:t xml:space="preserve">het </w:t>
      </w:r>
      <w:r w:rsidRPr="007456D5" w:rsidR="00853455">
        <w:rPr>
          <w:rFonts w:ascii="Verdana" w:hAnsi="Verdana" w:cs="Arial"/>
          <w:sz w:val="18"/>
          <w:szCs w:val="18"/>
        </w:rPr>
        <w:t>ESAP wel kosten in rekening brengen voor specifieke diensten die hoge onderhouds- of ondersteuningskosten met zich meebrengen, of die zoekopdrachten naar en downloads van grote volumes informatie inhouden. Opgelegde vergoedingen mogen echter niet meer bedragen dan de kosten die de ESMA maakt voor het verlenen van die specifieke diensten.</w:t>
      </w:r>
      <w:r w:rsidR="000B17E8">
        <w:rPr>
          <w:rFonts w:ascii="Verdana" w:hAnsi="Verdana" w:cs="Arial"/>
          <w:sz w:val="18"/>
          <w:szCs w:val="18"/>
        </w:rPr>
        <w:t xml:space="preserve"> Daarnaast moet </w:t>
      </w:r>
      <w:r w:rsidRPr="000B17E8" w:rsidR="000B17E8">
        <w:rPr>
          <w:rFonts w:ascii="Verdana" w:hAnsi="Verdana" w:cs="Arial"/>
          <w:sz w:val="18"/>
          <w:szCs w:val="18"/>
        </w:rPr>
        <w:t xml:space="preserve">ESMA </w:t>
      </w:r>
      <w:r w:rsidR="000B17E8">
        <w:rPr>
          <w:rFonts w:ascii="Verdana" w:hAnsi="Verdana" w:cs="Arial"/>
          <w:sz w:val="18"/>
          <w:szCs w:val="18"/>
        </w:rPr>
        <w:t>sommige</w:t>
      </w:r>
      <w:r w:rsidRPr="000B17E8" w:rsidR="000B17E8">
        <w:rPr>
          <w:rFonts w:ascii="Verdana" w:hAnsi="Verdana" w:cs="Arial"/>
          <w:sz w:val="18"/>
          <w:szCs w:val="18"/>
        </w:rPr>
        <w:t xml:space="preserve"> entiteiten kosteloos directe en onmiddellijke toegang tot de informatie op </w:t>
      </w:r>
      <w:r w:rsidR="00B9660D">
        <w:rPr>
          <w:rFonts w:ascii="Verdana" w:hAnsi="Verdana" w:cs="Arial"/>
          <w:sz w:val="18"/>
          <w:szCs w:val="18"/>
        </w:rPr>
        <w:t xml:space="preserve">het </w:t>
      </w:r>
      <w:r w:rsidRPr="000B17E8" w:rsidR="000B17E8">
        <w:rPr>
          <w:rFonts w:ascii="Verdana" w:hAnsi="Verdana" w:cs="Arial"/>
          <w:sz w:val="18"/>
          <w:szCs w:val="18"/>
        </w:rPr>
        <w:t xml:space="preserve">ESAP </w:t>
      </w:r>
      <w:r w:rsidR="000B17E8">
        <w:rPr>
          <w:rFonts w:ascii="Verdana" w:hAnsi="Verdana" w:cs="Arial"/>
          <w:sz w:val="18"/>
          <w:szCs w:val="18"/>
        </w:rPr>
        <w:t xml:space="preserve">geven </w:t>
      </w:r>
      <w:r w:rsidRPr="000B17E8" w:rsidR="000B17E8">
        <w:rPr>
          <w:rFonts w:ascii="Verdana" w:hAnsi="Verdana" w:cs="Arial"/>
          <w:sz w:val="18"/>
          <w:szCs w:val="18"/>
        </w:rPr>
        <w:t>voor zover dat noodzakelijk is om die entiteiten hun respectieve taken, opdrachten en verplichtingen te laten vervullen</w:t>
      </w:r>
      <w:r w:rsidR="000B17E8">
        <w:rPr>
          <w:rFonts w:ascii="Verdana" w:hAnsi="Verdana" w:cs="Arial"/>
          <w:sz w:val="18"/>
          <w:szCs w:val="18"/>
        </w:rPr>
        <w:t>.</w:t>
      </w:r>
      <w:r w:rsidR="00D545F7">
        <w:rPr>
          <w:rFonts w:ascii="Verdana" w:hAnsi="Verdana" w:cs="Arial"/>
          <w:sz w:val="18"/>
          <w:szCs w:val="18"/>
        </w:rPr>
        <w:t xml:space="preserve"> Het gaat </w:t>
      </w:r>
      <w:r w:rsidR="0030301B">
        <w:rPr>
          <w:rFonts w:ascii="Verdana" w:hAnsi="Verdana" w:cs="Arial"/>
          <w:sz w:val="18"/>
          <w:szCs w:val="18"/>
        </w:rPr>
        <w:t>bijvoorbeeld om</w:t>
      </w:r>
      <w:r w:rsidR="00563203">
        <w:rPr>
          <w:rFonts w:ascii="Verdana" w:hAnsi="Verdana" w:cs="Arial"/>
          <w:sz w:val="18"/>
          <w:szCs w:val="18"/>
        </w:rPr>
        <w:t xml:space="preserve"> instellingen van de Europese Unie,</w:t>
      </w:r>
      <w:r w:rsidR="0030301B">
        <w:rPr>
          <w:rFonts w:ascii="Verdana" w:hAnsi="Verdana" w:cs="Arial"/>
          <w:sz w:val="18"/>
          <w:szCs w:val="18"/>
        </w:rPr>
        <w:t xml:space="preserve"> overheidsinstellingen van een lidstaat of academische instellingen voor zover toegang noodzakelijk is voor de uitvoering van hun taken</w:t>
      </w:r>
      <w:r w:rsidR="00563203">
        <w:rPr>
          <w:rFonts w:ascii="Verdana" w:hAnsi="Verdana" w:cs="Arial"/>
          <w:sz w:val="18"/>
          <w:szCs w:val="18"/>
        </w:rPr>
        <w:t xml:space="preserve">. Gedacht kan worden aan toezichttaken, onderzoekstaken of statistische taken </w:t>
      </w:r>
      <w:r w:rsidR="0030301B">
        <w:rPr>
          <w:rFonts w:ascii="Verdana" w:hAnsi="Verdana" w:cs="Arial"/>
          <w:sz w:val="18"/>
          <w:szCs w:val="18"/>
        </w:rPr>
        <w:t>(zie artikel 8, vierde lid, van verordening oprichting ESAP).</w:t>
      </w:r>
    </w:p>
    <w:p w:rsidRPr="007456D5" w:rsidR="00F02F59" w:rsidP="009C2659" w:rsidRDefault="00F02F59" w14:paraId="451F8EC5" w14:textId="77777777">
      <w:pPr>
        <w:widowControl w:val="0"/>
        <w:tabs>
          <w:tab w:val="num" w:pos="720"/>
        </w:tabs>
        <w:spacing w:line="240" w:lineRule="atLeast"/>
        <w:contextualSpacing/>
        <w:rPr>
          <w:rFonts w:ascii="Verdana" w:hAnsi="Verdana" w:cs="Arial"/>
          <w:sz w:val="18"/>
          <w:szCs w:val="18"/>
        </w:rPr>
      </w:pPr>
    </w:p>
    <w:p w:rsidRPr="007456D5" w:rsidR="003A5DCF" w:rsidP="009C2659" w:rsidRDefault="003A5DCF" w14:paraId="6F4C7EAD" w14:textId="77777777">
      <w:pPr>
        <w:widowControl w:val="0"/>
        <w:tabs>
          <w:tab w:val="num" w:pos="720"/>
        </w:tabs>
        <w:spacing w:line="240" w:lineRule="atLeast"/>
        <w:contextualSpacing/>
        <w:rPr>
          <w:rFonts w:ascii="Verdana" w:hAnsi="Verdana" w:cs="Arial"/>
          <w:i/>
          <w:iCs/>
          <w:sz w:val="18"/>
          <w:szCs w:val="18"/>
        </w:rPr>
      </w:pPr>
      <w:r w:rsidRPr="007456D5">
        <w:rPr>
          <w:rFonts w:ascii="Verdana" w:hAnsi="Verdana" w:cs="Arial"/>
          <w:i/>
          <w:iCs/>
          <w:sz w:val="18"/>
          <w:szCs w:val="18"/>
        </w:rPr>
        <w:t>§ 3 Inhoud wetsvoorstel</w:t>
      </w:r>
    </w:p>
    <w:p w:rsidRPr="007456D5" w:rsidR="003A5DCF" w:rsidP="009C2659" w:rsidRDefault="003A5DCF" w14:paraId="64A49DEB" w14:textId="77777777">
      <w:pPr>
        <w:widowControl w:val="0"/>
        <w:tabs>
          <w:tab w:val="num" w:pos="720"/>
        </w:tabs>
        <w:spacing w:line="240" w:lineRule="atLeast"/>
        <w:contextualSpacing/>
        <w:rPr>
          <w:rFonts w:ascii="Verdana" w:hAnsi="Verdana" w:cs="Arial"/>
          <w:sz w:val="18"/>
          <w:szCs w:val="18"/>
        </w:rPr>
      </w:pPr>
    </w:p>
    <w:p w:rsidRPr="007456D5" w:rsidR="00DC67E8" w:rsidP="009C2659" w:rsidRDefault="003A5DCF" w14:paraId="3E596E55" w14:textId="25566875">
      <w:pPr>
        <w:widowControl w:val="0"/>
        <w:tabs>
          <w:tab w:val="num" w:pos="720"/>
        </w:tabs>
        <w:spacing w:line="240" w:lineRule="atLeast"/>
        <w:contextualSpacing/>
        <w:rPr>
          <w:rFonts w:ascii="Verdana" w:hAnsi="Verdana" w:cs="Arial"/>
          <w:i/>
          <w:iCs/>
          <w:sz w:val="18"/>
          <w:szCs w:val="18"/>
        </w:rPr>
      </w:pPr>
      <w:r w:rsidRPr="007456D5">
        <w:rPr>
          <w:rFonts w:ascii="Verdana" w:hAnsi="Verdana" w:cs="Arial"/>
          <w:i/>
          <w:iCs/>
          <w:sz w:val="18"/>
          <w:szCs w:val="18"/>
        </w:rPr>
        <w:t xml:space="preserve">§ 3.1. </w:t>
      </w:r>
      <w:r w:rsidRPr="007456D5" w:rsidR="009440F6">
        <w:rPr>
          <w:rFonts w:ascii="Verdana" w:hAnsi="Verdana" w:cs="Arial"/>
          <w:i/>
          <w:iCs/>
          <w:sz w:val="18"/>
          <w:szCs w:val="18"/>
        </w:rPr>
        <w:t>Verzamelende instanties</w:t>
      </w:r>
    </w:p>
    <w:p w:rsidRPr="007456D5" w:rsidR="00184467" w:rsidP="009C2659" w:rsidRDefault="00184467" w14:paraId="0A4F9500" w14:textId="77777777">
      <w:pPr>
        <w:pStyle w:val="Default"/>
        <w:spacing w:line="240" w:lineRule="atLeast"/>
        <w:contextualSpacing/>
        <w:rPr>
          <w:rFonts w:ascii="Verdana" w:hAnsi="Verdana" w:cs="Arial"/>
          <w:sz w:val="18"/>
          <w:szCs w:val="18"/>
        </w:rPr>
      </w:pPr>
    </w:p>
    <w:p w:rsidRPr="007456D5" w:rsidR="00005D73" w:rsidP="009C2659" w:rsidRDefault="00DC67E8" w14:paraId="3578CFC2" w14:textId="1E6082DE">
      <w:pPr>
        <w:pStyle w:val="Default"/>
        <w:spacing w:line="240" w:lineRule="atLeast"/>
        <w:contextualSpacing/>
        <w:rPr>
          <w:rFonts w:ascii="Verdana" w:hAnsi="Verdana"/>
          <w:sz w:val="18"/>
          <w:szCs w:val="18"/>
        </w:rPr>
      </w:pPr>
      <w:r w:rsidRPr="007456D5">
        <w:rPr>
          <w:rFonts w:ascii="Verdana" w:hAnsi="Verdana" w:cs="Arial"/>
          <w:sz w:val="18"/>
          <w:szCs w:val="18"/>
        </w:rPr>
        <w:t>De</w:t>
      </w:r>
      <w:r w:rsidRPr="007456D5" w:rsidR="00EA3F6C">
        <w:rPr>
          <w:rFonts w:ascii="Verdana" w:hAnsi="Verdana" w:cs="Arial"/>
          <w:sz w:val="18"/>
          <w:szCs w:val="18"/>
        </w:rPr>
        <w:t xml:space="preserve"> </w:t>
      </w:r>
      <w:r w:rsidRPr="007456D5" w:rsidR="000D6F97">
        <w:rPr>
          <w:rFonts w:ascii="Verdana" w:hAnsi="Verdana" w:cs="Arial"/>
          <w:sz w:val="18"/>
          <w:szCs w:val="18"/>
        </w:rPr>
        <w:t xml:space="preserve">AFM en DNB </w:t>
      </w:r>
      <w:r w:rsidRPr="007456D5">
        <w:rPr>
          <w:rFonts w:ascii="Verdana" w:hAnsi="Verdana" w:cs="Arial"/>
          <w:sz w:val="18"/>
          <w:szCs w:val="18"/>
        </w:rPr>
        <w:t>worden</w:t>
      </w:r>
      <w:r w:rsidRPr="007456D5" w:rsidR="00EA3F6C">
        <w:rPr>
          <w:rFonts w:ascii="Verdana" w:hAnsi="Verdana"/>
          <w:sz w:val="18"/>
          <w:szCs w:val="18"/>
        </w:rPr>
        <w:t xml:space="preserve"> in de Wft </w:t>
      </w:r>
      <w:r w:rsidRPr="007456D5">
        <w:rPr>
          <w:rFonts w:ascii="Verdana" w:hAnsi="Verdana" w:cs="Arial"/>
          <w:sz w:val="18"/>
          <w:szCs w:val="18"/>
        </w:rPr>
        <w:t>aangewezen als verzamelende instanties</w:t>
      </w:r>
      <w:r w:rsidRPr="007456D5" w:rsidR="00EA3F6C">
        <w:rPr>
          <w:rFonts w:ascii="Verdana" w:hAnsi="Verdana"/>
          <w:sz w:val="18"/>
          <w:szCs w:val="18"/>
        </w:rPr>
        <w:t xml:space="preserve"> ten behoeve van openbaarmaking</w:t>
      </w:r>
      <w:r w:rsidRPr="007456D5" w:rsidR="000D6F97">
        <w:rPr>
          <w:rFonts w:ascii="Verdana" w:hAnsi="Verdana"/>
          <w:sz w:val="18"/>
          <w:szCs w:val="18"/>
        </w:rPr>
        <w:t xml:space="preserve"> van relevante informatie </w:t>
      </w:r>
      <w:r w:rsidRPr="007456D5" w:rsidR="003D763E">
        <w:rPr>
          <w:rFonts w:ascii="Verdana" w:hAnsi="Verdana"/>
          <w:sz w:val="18"/>
          <w:szCs w:val="18"/>
        </w:rPr>
        <w:t>over</w:t>
      </w:r>
      <w:r w:rsidRPr="007456D5" w:rsidR="000D6F97">
        <w:rPr>
          <w:rFonts w:ascii="Verdana" w:hAnsi="Verdana"/>
          <w:sz w:val="18"/>
          <w:szCs w:val="18"/>
        </w:rPr>
        <w:t xml:space="preserve"> financiële diensten, kapitaalmarkten en duurzaamheid </w:t>
      </w:r>
      <w:r w:rsidR="00B9660D">
        <w:rPr>
          <w:rFonts w:ascii="Verdana" w:hAnsi="Verdana"/>
          <w:sz w:val="18"/>
          <w:szCs w:val="18"/>
        </w:rPr>
        <w:t>op het ESAP</w:t>
      </w:r>
      <w:r w:rsidRPr="007456D5">
        <w:rPr>
          <w:rFonts w:ascii="Verdana" w:hAnsi="Verdana" w:cs="Arial"/>
          <w:sz w:val="18"/>
          <w:szCs w:val="18"/>
        </w:rPr>
        <w:t>.</w:t>
      </w:r>
      <w:r w:rsidRPr="007456D5" w:rsidR="00EA3F6C">
        <w:rPr>
          <w:rFonts w:ascii="Verdana" w:hAnsi="Verdana" w:cs="Arial"/>
          <w:sz w:val="18"/>
          <w:szCs w:val="18"/>
        </w:rPr>
        <w:t xml:space="preserve"> De K</w:t>
      </w:r>
      <w:r w:rsidRPr="007456D5" w:rsidR="000D6F97">
        <w:rPr>
          <w:rFonts w:ascii="Verdana" w:hAnsi="Verdana" w:cs="Arial"/>
          <w:sz w:val="18"/>
          <w:szCs w:val="18"/>
        </w:rPr>
        <w:t>vK</w:t>
      </w:r>
      <w:r w:rsidRPr="007456D5" w:rsidR="00EA3F6C">
        <w:rPr>
          <w:rFonts w:ascii="Verdana" w:hAnsi="Verdana" w:cs="Arial"/>
          <w:sz w:val="18"/>
          <w:szCs w:val="18"/>
        </w:rPr>
        <w:t xml:space="preserve"> zal als verzamelende instantie voor </w:t>
      </w:r>
      <w:r w:rsidR="00B9660D">
        <w:rPr>
          <w:rFonts w:ascii="Verdana" w:hAnsi="Verdana" w:cs="Arial"/>
          <w:sz w:val="18"/>
          <w:szCs w:val="18"/>
        </w:rPr>
        <w:t xml:space="preserve">het </w:t>
      </w:r>
      <w:r w:rsidRPr="007456D5" w:rsidR="00EA3F6C">
        <w:rPr>
          <w:rFonts w:ascii="Verdana" w:hAnsi="Verdana" w:cs="Arial"/>
          <w:sz w:val="18"/>
          <w:szCs w:val="18"/>
        </w:rPr>
        <w:t>ESAP worden aangewezen</w:t>
      </w:r>
      <w:r w:rsidRPr="007456D5" w:rsidR="00EC65A1">
        <w:rPr>
          <w:rFonts w:ascii="Verdana" w:hAnsi="Verdana" w:cs="Arial"/>
          <w:sz w:val="18"/>
          <w:szCs w:val="18"/>
        </w:rPr>
        <w:t xml:space="preserve"> in de </w:t>
      </w:r>
      <w:r w:rsidRPr="007456D5" w:rsidR="003F15B4">
        <w:rPr>
          <w:rFonts w:ascii="Verdana" w:hAnsi="Verdana" w:cs="Arial"/>
          <w:sz w:val="18"/>
          <w:szCs w:val="18"/>
        </w:rPr>
        <w:t>Handelsregisterwet</w:t>
      </w:r>
      <w:r w:rsidRPr="007456D5" w:rsidR="000F5777">
        <w:rPr>
          <w:rFonts w:ascii="Verdana" w:hAnsi="Verdana" w:cs="Arial"/>
          <w:sz w:val="18"/>
          <w:szCs w:val="18"/>
        </w:rPr>
        <w:t xml:space="preserve"> voor </w:t>
      </w:r>
      <w:r w:rsidRPr="007456D5" w:rsidR="00F831C5">
        <w:rPr>
          <w:rFonts w:ascii="Verdana" w:hAnsi="Verdana" w:cs="Arial"/>
          <w:sz w:val="18"/>
          <w:szCs w:val="18"/>
        </w:rPr>
        <w:t xml:space="preserve">bepaalde verslaggeving </w:t>
      </w:r>
      <w:r w:rsidRPr="007456D5" w:rsidR="000F5777">
        <w:rPr>
          <w:rFonts w:ascii="Verdana" w:hAnsi="Verdana" w:cs="Arial"/>
          <w:sz w:val="18"/>
          <w:szCs w:val="18"/>
        </w:rPr>
        <w:t>van ondernemingen die ook een duurzaamheids</w:t>
      </w:r>
      <w:r w:rsidR="00554623">
        <w:rPr>
          <w:rFonts w:ascii="Verdana" w:hAnsi="Verdana" w:cs="Arial"/>
          <w:sz w:val="18"/>
          <w:szCs w:val="18"/>
        </w:rPr>
        <w:t xml:space="preserve">rapportering of een </w:t>
      </w:r>
      <w:r w:rsidRPr="007456D5" w:rsidR="000F5777">
        <w:rPr>
          <w:rFonts w:ascii="Verdana" w:hAnsi="Verdana" w:cs="Arial"/>
          <w:sz w:val="18"/>
          <w:szCs w:val="18"/>
        </w:rPr>
        <w:t>verslag</w:t>
      </w:r>
      <w:r w:rsidR="00554623">
        <w:rPr>
          <w:rFonts w:ascii="Verdana" w:hAnsi="Verdana" w:cs="Arial"/>
          <w:sz w:val="18"/>
          <w:szCs w:val="18"/>
        </w:rPr>
        <w:t xml:space="preserve"> inzake de duurzaamheid</w:t>
      </w:r>
      <w:r w:rsidRPr="007456D5" w:rsidR="000F5777">
        <w:rPr>
          <w:rFonts w:ascii="Verdana" w:hAnsi="Verdana" w:cs="Arial"/>
          <w:sz w:val="18"/>
          <w:szCs w:val="18"/>
        </w:rPr>
        <w:t xml:space="preserve"> moeten publiceren</w:t>
      </w:r>
      <w:r w:rsidR="00C62594">
        <w:rPr>
          <w:rFonts w:ascii="Verdana" w:hAnsi="Verdana" w:cs="Arial"/>
          <w:sz w:val="18"/>
          <w:szCs w:val="18"/>
        </w:rPr>
        <w:t xml:space="preserve"> (zie over deze verslaggeving nader de artikelsgewijze toelichting bij artikel III, onderdeel E)</w:t>
      </w:r>
      <w:r w:rsidRPr="007456D5" w:rsidR="000F5777">
        <w:rPr>
          <w:rFonts w:ascii="Verdana" w:hAnsi="Verdana" w:cs="Arial"/>
          <w:sz w:val="18"/>
          <w:szCs w:val="18"/>
        </w:rPr>
        <w:t>.</w:t>
      </w:r>
      <w:r w:rsidRPr="007456D5" w:rsidR="00EA3F6C">
        <w:rPr>
          <w:rFonts w:ascii="Verdana" w:hAnsi="Verdana" w:cs="Arial"/>
          <w:sz w:val="18"/>
          <w:szCs w:val="18"/>
        </w:rPr>
        <w:t xml:space="preserve"> </w:t>
      </w:r>
      <w:r w:rsidRPr="007456D5" w:rsidR="000D6F97">
        <w:rPr>
          <w:rFonts w:ascii="Verdana" w:hAnsi="Verdana"/>
          <w:sz w:val="18"/>
          <w:szCs w:val="18"/>
        </w:rPr>
        <w:t xml:space="preserve">Om ervoor te zorgen dat informatie tijdig </w:t>
      </w:r>
      <w:r w:rsidRPr="007456D5" w:rsidR="007A29D4">
        <w:rPr>
          <w:rFonts w:ascii="Verdana" w:hAnsi="Verdana"/>
          <w:sz w:val="18"/>
          <w:szCs w:val="18"/>
        </w:rPr>
        <w:t>wordt verstrekt aan</w:t>
      </w:r>
      <w:r w:rsidRPr="007456D5" w:rsidR="000D6F97">
        <w:rPr>
          <w:rFonts w:ascii="Verdana" w:hAnsi="Verdana"/>
          <w:sz w:val="18"/>
          <w:szCs w:val="18"/>
        </w:rPr>
        <w:t xml:space="preserve"> </w:t>
      </w:r>
      <w:r w:rsidR="00B9660D">
        <w:rPr>
          <w:rFonts w:ascii="Verdana" w:hAnsi="Verdana"/>
          <w:sz w:val="18"/>
          <w:szCs w:val="18"/>
        </w:rPr>
        <w:t xml:space="preserve">het </w:t>
      </w:r>
      <w:r w:rsidRPr="007456D5" w:rsidR="000D6F97">
        <w:rPr>
          <w:rFonts w:ascii="Verdana" w:hAnsi="Verdana"/>
          <w:sz w:val="18"/>
          <w:szCs w:val="18"/>
        </w:rPr>
        <w:t xml:space="preserve">ESAP moeten </w:t>
      </w:r>
      <w:r w:rsidRPr="007456D5" w:rsidR="00195B50">
        <w:rPr>
          <w:rFonts w:ascii="Verdana" w:hAnsi="Verdana"/>
          <w:sz w:val="18"/>
          <w:szCs w:val="18"/>
        </w:rPr>
        <w:t>ondernemingen</w:t>
      </w:r>
      <w:r w:rsidRPr="007456D5" w:rsidR="000D6F97">
        <w:rPr>
          <w:rFonts w:ascii="Verdana" w:hAnsi="Verdana"/>
          <w:sz w:val="18"/>
          <w:szCs w:val="18"/>
        </w:rPr>
        <w:t xml:space="preserve"> </w:t>
      </w:r>
      <w:r w:rsidRPr="007456D5" w:rsidR="00005D73">
        <w:rPr>
          <w:rFonts w:ascii="Verdana" w:hAnsi="Verdana"/>
          <w:sz w:val="18"/>
          <w:szCs w:val="18"/>
        </w:rPr>
        <w:t xml:space="preserve">de voorgeschreven </w:t>
      </w:r>
      <w:r w:rsidRPr="007456D5" w:rsidR="000D6F97">
        <w:rPr>
          <w:rFonts w:ascii="Verdana" w:hAnsi="Verdana"/>
          <w:sz w:val="18"/>
          <w:szCs w:val="18"/>
        </w:rPr>
        <w:t xml:space="preserve">informatie </w:t>
      </w:r>
      <w:r w:rsidRPr="007456D5" w:rsidR="00005D73">
        <w:rPr>
          <w:rFonts w:ascii="Verdana" w:hAnsi="Verdana"/>
          <w:sz w:val="18"/>
          <w:szCs w:val="18"/>
        </w:rPr>
        <w:t>bij de verzamelende instantie indienen op het</w:t>
      </w:r>
      <w:r w:rsidRPr="007456D5" w:rsidR="00E434C7">
        <w:rPr>
          <w:rFonts w:ascii="Verdana" w:hAnsi="Verdana"/>
          <w:sz w:val="18"/>
          <w:szCs w:val="18"/>
        </w:rPr>
        <w:t xml:space="preserve"> moment </w:t>
      </w:r>
      <w:r w:rsidRPr="007456D5" w:rsidR="00005D73">
        <w:rPr>
          <w:rFonts w:ascii="Verdana" w:hAnsi="Verdana"/>
          <w:sz w:val="18"/>
          <w:szCs w:val="18"/>
        </w:rPr>
        <w:t>dat zij die informatie</w:t>
      </w:r>
      <w:r w:rsidRPr="007456D5" w:rsidR="00E434C7">
        <w:rPr>
          <w:rFonts w:ascii="Verdana" w:hAnsi="Verdana"/>
          <w:sz w:val="18"/>
          <w:szCs w:val="18"/>
        </w:rPr>
        <w:t xml:space="preserve"> zelf</w:t>
      </w:r>
      <w:r w:rsidRPr="007456D5" w:rsidR="00005D73">
        <w:rPr>
          <w:rFonts w:ascii="Verdana" w:hAnsi="Verdana"/>
          <w:sz w:val="18"/>
          <w:szCs w:val="18"/>
        </w:rPr>
        <w:t xml:space="preserve"> openbaar maken. Vervolgens dienen de AFM, DNB en KvK de informatie die zij ontvangen </w:t>
      </w:r>
      <w:r w:rsidRPr="007456D5" w:rsidR="00593A60">
        <w:rPr>
          <w:rFonts w:ascii="Verdana" w:hAnsi="Verdana"/>
          <w:sz w:val="18"/>
          <w:szCs w:val="18"/>
        </w:rPr>
        <w:t>zo spoedig mogelijk te verstrekken aan</w:t>
      </w:r>
      <w:r w:rsidRPr="007456D5" w:rsidR="00005D73">
        <w:rPr>
          <w:rFonts w:ascii="Verdana" w:hAnsi="Verdana"/>
          <w:sz w:val="18"/>
          <w:szCs w:val="18"/>
        </w:rPr>
        <w:t xml:space="preserve"> </w:t>
      </w:r>
      <w:r w:rsidR="00B9660D">
        <w:rPr>
          <w:rFonts w:ascii="Verdana" w:hAnsi="Verdana"/>
          <w:sz w:val="18"/>
          <w:szCs w:val="18"/>
        </w:rPr>
        <w:t xml:space="preserve">het </w:t>
      </w:r>
      <w:r w:rsidRPr="007456D5" w:rsidR="00005D73">
        <w:rPr>
          <w:rFonts w:ascii="Verdana" w:hAnsi="Verdana"/>
          <w:sz w:val="18"/>
          <w:szCs w:val="18"/>
        </w:rPr>
        <w:t xml:space="preserve">ESAP. Om de informatie zonder vertraging door te geven dienen de AFM, DNB en KvK zoveel mogelijk gebruik te maken van procedures en infrastructuur voor het verzamelen van informatie die reeds bestaat. </w:t>
      </w:r>
      <w:r w:rsidRPr="007456D5" w:rsidR="00593A60">
        <w:rPr>
          <w:rFonts w:ascii="Verdana" w:hAnsi="Verdana"/>
          <w:sz w:val="18"/>
          <w:szCs w:val="18"/>
        </w:rPr>
        <w:t xml:space="preserve">‘Zo spoedig </w:t>
      </w:r>
      <w:r w:rsidRPr="007456D5" w:rsidR="002B4DC1">
        <w:rPr>
          <w:rFonts w:ascii="Verdana" w:hAnsi="Verdana"/>
          <w:sz w:val="18"/>
          <w:szCs w:val="18"/>
        </w:rPr>
        <w:t>mogelijk</w:t>
      </w:r>
      <w:r w:rsidRPr="007456D5" w:rsidR="00593A60">
        <w:rPr>
          <w:rFonts w:ascii="Verdana" w:hAnsi="Verdana"/>
          <w:sz w:val="18"/>
          <w:szCs w:val="18"/>
        </w:rPr>
        <w:t xml:space="preserve">’ betekent, uitzonderingen voor uitzonderlijke gevallen </w:t>
      </w:r>
      <w:r w:rsidR="00554623">
        <w:rPr>
          <w:rFonts w:ascii="Verdana" w:hAnsi="Verdana"/>
          <w:sz w:val="18"/>
          <w:szCs w:val="18"/>
        </w:rPr>
        <w:t>daar</w:t>
      </w:r>
      <w:r w:rsidRPr="007456D5" w:rsidR="00593A60">
        <w:rPr>
          <w:rFonts w:ascii="Verdana" w:hAnsi="Verdana"/>
          <w:sz w:val="18"/>
          <w:szCs w:val="18"/>
        </w:rPr>
        <w:t>gelaten, binnen maximaal 60 minuten nadat de informatie bij de verzamelende instantie is ingediend.</w:t>
      </w:r>
      <w:r w:rsidRPr="007456D5" w:rsidR="003D763E">
        <w:rPr>
          <w:rStyle w:val="Voetnootmarkering"/>
          <w:rFonts w:ascii="Verdana" w:hAnsi="Verdana"/>
          <w:sz w:val="18"/>
          <w:szCs w:val="18"/>
        </w:rPr>
        <w:footnoteReference w:id="3"/>
      </w:r>
    </w:p>
    <w:p w:rsidRPr="007456D5" w:rsidR="003A5DCF" w:rsidP="009C2659" w:rsidRDefault="003A5DCF" w14:paraId="294AA22C" w14:textId="77777777">
      <w:pPr>
        <w:widowControl w:val="0"/>
        <w:tabs>
          <w:tab w:val="num" w:pos="720"/>
        </w:tabs>
        <w:spacing w:line="240" w:lineRule="atLeast"/>
        <w:contextualSpacing/>
        <w:rPr>
          <w:rFonts w:ascii="Verdana" w:hAnsi="Verdana" w:cs="Arial"/>
          <w:sz w:val="18"/>
          <w:szCs w:val="18"/>
        </w:rPr>
      </w:pPr>
    </w:p>
    <w:p w:rsidR="0027157C" w:rsidP="009C2659" w:rsidRDefault="0027157C" w14:paraId="7A695B5F" w14:textId="77777777">
      <w:pPr>
        <w:widowControl w:val="0"/>
        <w:tabs>
          <w:tab w:val="num" w:pos="720"/>
        </w:tabs>
        <w:spacing w:line="240" w:lineRule="atLeast"/>
        <w:contextualSpacing/>
        <w:rPr>
          <w:rFonts w:ascii="Verdana" w:hAnsi="Verdana" w:cs="Arial"/>
          <w:i/>
          <w:iCs/>
          <w:sz w:val="18"/>
          <w:szCs w:val="18"/>
        </w:rPr>
      </w:pPr>
    </w:p>
    <w:p w:rsidR="0027157C" w:rsidP="009C2659" w:rsidRDefault="0027157C" w14:paraId="313C271C" w14:textId="77777777">
      <w:pPr>
        <w:widowControl w:val="0"/>
        <w:tabs>
          <w:tab w:val="num" w:pos="720"/>
        </w:tabs>
        <w:spacing w:line="240" w:lineRule="atLeast"/>
        <w:contextualSpacing/>
        <w:rPr>
          <w:rFonts w:ascii="Verdana" w:hAnsi="Verdana" w:cs="Arial"/>
          <w:i/>
          <w:iCs/>
          <w:sz w:val="18"/>
          <w:szCs w:val="18"/>
        </w:rPr>
      </w:pPr>
    </w:p>
    <w:p w:rsidR="0027157C" w:rsidP="009C2659" w:rsidRDefault="0027157C" w14:paraId="6639FF7B" w14:textId="77777777">
      <w:pPr>
        <w:widowControl w:val="0"/>
        <w:tabs>
          <w:tab w:val="num" w:pos="720"/>
        </w:tabs>
        <w:spacing w:line="240" w:lineRule="atLeast"/>
        <w:contextualSpacing/>
        <w:rPr>
          <w:rFonts w:ascii="Verdana" w:hAnsi="Verdana" w:cs="Arial"/>
          <w:i/>
          <w:iCs/>
          <w:sz w:val="18"/>
          <w:szCs w:val="18"/>
        </w:rPr>
      </w:pPr>
    </w:p>
    <w:p w:rsidRPr="007456D5" w:rsidR="009440F6" w:rsidP="009C2659" w:rsidRDefault="00195B50" w14:paraId="29161D40" w14:textId="1E48B44F">
      <w:pPr>
        <w:widowControl w:val="0"/>
        <w:tabs>
          <w:tab w:val="num" w:pos="720"/>
        </w:tabs>
        <w:spacing w:line="240" w:lineRule="atLeast"/>
        <w:contextualSpacing/>
        <w:rPr>
          <w:rFonts w:ascii="Verdana" w:hAnsi="Verdana" w:cs="Arial"/>
          <w:i/>
          <w:iCs/>
          <w:sz w:val="18"/>
          <w:szCs w:val="18"/>
        </w:rPr>
      </w:pPr>
      <w:r w:rsidRPr="007456D5">
        <w:rPr>
          <w:rFonts w:ascii="Verdana" w:hAnsi="Verdana" w:cs="Arial"/>
          <w:i/>
          <w:iCs/>
          <w:sz w:val="18"/>
          <w:szCs w:val="18"/>
        </w:rPr>
        <w:lastRenderedPageBreak/>
        <w:t xml:space="preserve">§ </w:t>
      </w:r>
      <w:r w:rsidRPr="007456D5" w:rsidR="009440F6">
        <w:rPr>
          <w:rFonts w:ascii="Verdana" w:hAnsi="Verdana" w:cs="Arial"/>
          <w:i/>
          <w:iCs/>
          <w:sz w:val="18"/>
          <w:szCs w:val="18"/>
        </w:rPr>
        <w:t xml:space="preserve">3.2. </w:t>
      </w:r>
      <w:r w:rsidRPr="007456D5" w:rsidR="006E5A3F">
        <w:rPr>
          <w:rFonts w:ascii="Verdana" w:hAnsi="Verdana" w:cs="Arial"/>
          <w:i/>
          <w:iCs/>
          <w:sz w:val="18"/>
          <w:szCs w:val="18"/>
        </w:rPr>
        <w:t>Informatieverstrekking</w:t>
      </w:r>
    </w:p>
    <w:p w:rsidRPr="007456D5" w:rsidR="00184467" w:rsidP="009C2659" w:rsidRDefault="00184467" w14:paraId="54A8CB0E" w14:textId="77777777">
      <w:pPr>
        <w:widowControl w:val="0"/>
        <w:tabs>
          <w:tab w:val="num" w:pos="720"/>
        </w:tabs>
        <w:spacing w:line="240" w:lineRule="atLeast"/>
        <w:contextualSpacing/>
        <w:rPr>
          <w:rFonts w:ascii="Verdana" w:hAnsi="Verdana" w:cs="Arial"/>
          <w:sz w:val="18"/>
          <w:szCs w:val="18"/>
        </w:rPr>
      </w:pPr>
    </w:p>
    <w:p w:rsidR="00C62594" w:rsidP="009C2659" w:rsidRDefault="00DC67E8" w14:paraId="4C407829" w14:textId="17F8872B">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In het wetsvoorstel </w:t>
      </w:r>
      <w:r w:rsidRPr="007456D5" w:rsidR="00EA3F6C">
        <w:rPr>
          <w:rFonts w:ascii="Verdana" w:hAnsi="Verdana" w:cs="Arial"/>
          <w:sz w:val="18"/>
          <w:szCs w:val="18"/>
        </w:rPr>
        <w:t>wordt</w:t>
      </w:r>
      <w:r w:rsidRPr="007456D5">
        <w:rPr>
          <w:rFonts w:ascii="Verdana" w:hAnsi="Verdana" w:cs="Arial"/>
          <w:sz w:val="18"/>
          <w:szCs w:val="18"/>
        </w:rPr>
        <w:t xml:space="preserve"> opgenomen welke informatie</w:t>
      </w:r>
      <w:r w:rsidRPr="007456D5" w:rsidR="00EA3F6C">
        <w:rPr>
          <w:rFonts w:ascii="Verdana" w:hAnsi="Verdana" w:cs="Arial"/>
          <w:sz w:val="18"/>
          <w:szCs w:val="18"/>
        </w:rPr>
        <w:t xml:space="preserve"> financiële ondernemingen </w:t>
      </w:r>
      <w:r w:rsidRPr="007456D5" w:rsidR="00280E5B">
        <w:rPr>
          <w:rFonts w:ascii="Verdana" w:hAnsi="Verdana" w:cs="Arial"/>
          <w:sz w:val="18"/>
          <w:szCs w:val="18"/>
        </w:rPr>
        <w:t>en</w:t>
      </w:r>
      <w:r w:rsidRPr="007456D5" w:rsidR="00EA3F6C">
        <w:rPr>
          <w:rFonts w:ascii="Verdana" w:hAnsi="Verdana" w:cs="Arial"/>
          <w:sz w:val="18"/>
          <w:szCs w:val="18"/>
        </w:rPr>
        <w:t xml:space="preserve"> andere </w:t>
      </w:r>
      <w:r w:rsidRPr="007456D5" w:rsidR="003866F1">
        <w:rPr>
          <w:rFonts w:ascii="Verdana" w:hAnsi="Verdana" w:cs="Arial"/>
          <w:sz w:val="18"/>
          <w:szCs w:val="18"/>
        </w:rPr>
        <w:t>ondernemingen</w:t>
      </w:r>
      <w:r w:rsidRPr="007456D5">
        <w:rPr>
          <w:rFonts w:ascii="Verdana" w:hAnsi="Verdana" w:cs="Arial"/>
          <w:sz w:val="18"/>
          <w:szCs w:val="18"/>
        </w:rPr>
        <w:t xml:space="preserve"> dien</w:t>
      </w:r>
      <w:r w:rsidRPr="007456D5" w:rsidR="00EA3F6C">
        <w:rPr>
          <w:rFonts w:ascii="Verdana" w:hAnsi="Verdana" w:cs="Arial"/>
          <w:sz w:val="18"/>
          <w:szCs w:val="18"/>
        </w:rPr>
        <w:t>en</w:t>
      </w:r>
      <w:r w:rsidRPr="007456D5">
        <w:rPr>
          <w:rFonts w:ascii="Verdana" w:hAnsi="Verdana" w:cs="Arial"/>
          <w:sz w:val="18"/>
          <w:szCs w:val="18"/>
        </w:rPr>
        <w:t xml:space="preserve"> te verstrek</w:t>
      </w:r>
      <w:r w:rsidRPr="007456D5" w:rsidR="00EA3F6C">
        <w:rPr>
          <w:rFonts w:ascii="Verdana" w:hAnsi="Verdana" w:cs="Arial"/>
          <w:sz w:val="18"/>
          <w:szCs w:val="18"/>
        </w:rPr>
        <w:t>ken</w:t>
      </w:r>
      <w:r w:rsidRPr="007456D5">
        <w:rPr>
          <w:rFonts w:ascii="Verdana" w:hAnsi="Verdana" w:cs="Arial"/>
          <w:sz w:val="18"/>
          <w:szCs w:val="18"/>
        </w:rPr>
        <w:t xml:space="preserve"> aan de AFM, DNB of de KvK</w:t>
      </w:r>
      <w:r w:rsidRPr="007456D5" w:rsidR="00EA3F6C">
        <w:rPr>
          <w:rFonts w:ascii="Verdana" w:hAnsi="Verdana" w:cs="Arial"/>
          <w:sz w:val="18"/>
          <w:szCs w:val="18"/>
        </w:rPr>
        <w:t xml:space="preserve"> als verzamelende instanties</w:t>
      </w:r>
      <w:r w:rsidRPr="007456D5" w:rsidR="00B93F1B">
        <w:rPr>
          <w:rFonts w:ascii="Verdana" w:hAnsi="Verdana" w:cs="Arial"/>
          <w:sz w:val="18"/>
          <w:szCs w:val="18"/>
        </w:rPr>
        <w:t xml:space="preserve"> ter openbaarmaking op </w:t>
      </w:r>
      <w:r w:rsidR="00B9660D">
        <w:rPr>
          <w:rFonts w:ascii="Verdana" w:hAnsi="Verdana" w:cs="Arial"/>
          <w:sz w:val="18"/>
          <w:szCs w:val="18"/>
        </w:rPr>
        <w:t xml:space="preserve">het </w:t>
      </w:r>
      <w:r w:rsidRPr="007456D5" w:rsidR="00B93F1B">
        <w:rPr>
          <w:rFonts w:ascii="Verdana" w:hAnsi="Verdana" w:cs="Arial"/>
          <w:sz w:val="18"/>
          <w:szCs w:val="18"/>
        </w:rPr>
        <w:t>ESAP</w:t>
      </w:r>
      <w:r w:rsidRPr="007456D5" w:rsidR="00EA3F6C">
        <w:rPr>
          <w:rFonts w:ascii="Verdana" w:hAnsi="Verdana" w:cs="Arial"/>
          <w:sz w:val="18"/>
          <w:szCs w:val="18"/>
        </w:rPr>
        <w:t xml:space="preserve">. </w:t>
      </w:r>
      <w:r w:rsidRPr="007456D5" w:rsidR="00CC7B56">
        <w:rPr>
          <w:rFonts w:ascii="Verdana" w:hAnsi="Verdana" w:cs="Arial"/>
          <w:sz w:val="18"/>
          <w:szCs w:val="18"/>
        </w:rPr>
        <w:t xml:space="preserve">Het </w:t>
      </w:r>
      <w:r w:rsidRPr="007456D5" w:rsidR="00B93F1B">
        <w:rPr>
          <w:rFonts w:ascii="Verdana" w:hAnsi="Verdana" w:cs="Arial"/>
          <w:sz w:val="18"/>
          <w:szCs w:val="18"/>
        </w:rPr>
        <w:t xml:space="preserve">betreft </w:t>
      </w:r>
      <w:r w:rsidRPr="007456D5" w:rsidR="00D82E06">
        <w:rPr>
          <w:rFonts w:ascii="Verdana" w:hAnsi="Verdana" w:cs="Arial"/>
          <w:sz w:val="18"/>
          <w:szCs w:val="18"/>
        </w:rPr>
        <w:t>uitsluitend</w:t>
      </w:r>
      <w:r w:rsidRPr="007456D5" w:rsidR="009B3432">
        <w:rPr>
          <w:rFonts w:ascii="Verdana" w:hAnsi="Verdana" w:cs="Arial"/>
          <w:sz w:val="18"/>
          <w:szCs w:val="18"/>
        </w:rPr>
        <w:t xml:space="preserve"> </w:t>
      </w:r>
      <w:r w:rsidRPr="007456D5" w:rsidR="00B93F1B">
        <w:rPr>
          <w:rFonts w:ascii="Verdana" w:hAnsi="Verdana" w:cs="Arial"/>
          <w:sz w:val="18"/>
          <w:szCs w:val="18"/>
        </w:rPr>
        <w:t>informatie</w:t>
      </w:r>
      <w:r w:rsidRPr="007456D5" w:rsidR="00CC7B56">
        <w:rPr>
          <w:rFonts w:ascii="Verdana" w:hAnsi="Verdana" w:cs="Arial"/>
          <w:sz w:val="18"/>
          <w:szCs w:val="18"/>
        </w:rPr>
        <w:t xml:space="preserve"> die </w:t>
      </w:r>
      <w:r w:rsidRPr="007456D5" w:rsidR="00195B50">
        <w:rPr>
          <w:rFonts w:ascii="Verdana" w:hAnsi="Verdana" w:cs="Arial"/>
          <w:sz w:val="18"/>
          <w:szCs w:val="18"/>
        </w:rPr>
        <w:t>onderneming</w:t>
      </w:r>
      <w:r w:rsidRPr="007456D5" w:rsidR="009B3432">
        <w:rPr>
          <w:rFonts w:ascii="Verdana" w:hAnsi="Verdana" w:cs="Arial"/>
          <w:sz w:val="18"/>
          <w:szCs w:val="18"/>
        </w:rPr>
        <w:t>en</w:t>
      </w:r>
      <w:r w:rsidRPr="007456D5" w:rsidR="00195B50">
        <w:rPr>
          <w:rFonts w:ascii="Verdana" w:hAnsi="Verdana" w:cs="Arial"/>
          <w:sz w:val="18"/>
          <w:szCs w:val="18"/>
        </w:rPr>
        <w:t xml:space="preserve"> </w:t>
      </w:r>
      <w:r w:rsidRPr="007456D5" w:rsidR="009B3432">
        <w:rPr>
          <w:rFonts w:ascii="Verdana" w:hAnsi="Verdana" w:cs="Arial"/>
          <w:sz w:val="18"/>
          <w:szCs w:val="18"/>
        </w:rPr>
        <w:t xml:space="preserve">nu al </w:t>
      </w:r>
      <w:r w:rsidRPr="007456D5" w:rsidR="00CC7B56">
        <w:rPr>
          <w:rFonts w:ascii="Verdana" w:hAnsi="Verdana" w:cs="Arial"/>
          <w:sz w:val="18"/>
          <w:szCs w:val="18"/>
        </w:rPr>
        <w:t>openbaar</w:t>
      </w:r>
      <w:r w:rsidRPr="007456D5" w:rsidR="004E7D7D">
        <w:rPr>
          <w:rFonts w:ascii="Verdana" w:hAnsi="Verdana" w:cs="Arial"/>
          <w:sz w:val="18"/>
          <w:szCs w:val="18"/>
        </w:rPr>
        <w:t xml:space="preserve"> </w:t>
      </w:r>
      <w:r w:rsidRPr="007456D5" w:rsidR="009B3432">
        <w:rPr>
          <w:rFonts w:ascii="Verdana" w:hAnsi="Verdana" w:cs="Arial"/>
          <w:sz w:val="18"/>
          <w:szCs w:val="18"/>
        </w:rPr>
        <w:t>moeten</w:t>
      </w:r>
      <w:r w:rsidRPr="007456D5" w:rsidR="00CC7B56">
        <w:rPr>
          <w:rFonts w:ascii="Verdana" w:hAnsi="Verdana" w:cs="Arial"/>
          <w:sz w:val="18"/>
          <w:szCs w:val="18"/>
        </w:rPr>
        <w:t xml:space="preserve"> maken</w:t>
      </w:r>
      <w:r w:rsidR="002B50D7">
        <w:rPr>
          <w:rFonts w:ascii="Verdana" w:hAnsi="Verdana" w:cs="Arial"/>
          <w:sz w:val="18"/>
          <w:szCs w:val="18"/>
        </w:rPr>
        <w:t xml:space="preserve"> en</w:t>
      </w:r>
      <w:r w:rsidRPr="007456D5" w:rsidR="00280E5B">
        <w:rPr>
          <w:rFonts w:ascii="Verdana" w:hAnsi="Verdana" w:cs="Arial"/>
          <w:sz w:val="18"/>
          <w:szCs w:val="18"/>
        </w:rPr>
        <w:t xml:space="preserve"> doorgaans </w:t>
      </w:r>
      <w:r w:rsidR="002B50D7">
        <w:rPr>
          <w:rFonts w:ascii="Verdana" w:hAnsi="Verdana" w:cs="Arial"/>
          <w:sz w:val="18"/>
          <w:szCs w:val="18"/>
        </w:rPr>
        <w:t xml:space="preserve">al aan </w:t>
      </w:r>
      <w:r w:rsidRPr="007456D5" w:rsidR="00280E5B">
        <w:rPr>
          <w:rFonts w:ascii="Verdana" w:hAnsi="Verdana" w:cs="Arial"/>
          <w:sz w:val="18"/>
          <w:szCs w:val="18"/>
        </w:rPr>
        <w:t>dezelfde instantie</w:t>
      </w:r>
      <w:r w:rsidR="002B50D7">
        <w:rPr>
          <w:rFonts w:ascii="Verdana" w:hAnsi="Verdana" w:cs="Arial"/>
          <w:sz w:val="18"/>
          <w:szCs w:val="18"/>
        </w:rPr>
        <w:t xml:space="preserve"> moeten verstrekken</w:t>
      </w:r>
      <w:r w:rsidRPr="007456D5" w:rsidR="00CC7B56">
        <w:rPr>
          <w:rFonts w:ascii="Verdana" w:hAnsi="Verdana" w:cs="Arial"/>
          <w:sz w:val="18"/>
          <w:szCs w:val="18"/>
        </w:rPr>
        <w:t xml:space="preserve">. </w:t>
      </w:r>
      <w:r w:rsidR="004B25F3">
        <w:rPr>
          <w:rFonts w:ascii="Verdana" w:hAnsi="Verdana" w:cs="Arial"/>
          <w:sz w:val="18"/>
          <w:szCs w:val="18"/>
        </w:rPr>
        <w:t xml:space="preserve">Een </w:t>
      </w:r>
      <w:r w:rsidRPr="007456D5" w:rsidR="00C62594">
        <w:rPr>
          <w:rFonts w:ascii="Verdana" w:hAnsi="Verdana" w:cs="Arial"/>
          <w:sz w:val="18"/>
          <w:szCs w:val="18"/>
        </w:rPr>
        <w:t>beheerder van een icbe dient bijvoorbeeld het prospectus aan de AFM te verstrekken gelijktijdig met het beschikbaar stellen van een prospectus op zijn website.</w:t>
      </w:r>
      <w:r w:rsidR="001A65E6">
        <w:rPr>
          <w:rFonts w:ascii="Verdana" w:hAnsi="Verdana" w:cs="Arial"/>
          <w:sz w:val="18"/>
          <w:szCs w:val="18"/>
        </w:rPr>
        <w:t xml:space="preserve"> </w:t>
      </w:r>
      <w:r w:rsidR="003D559B">
        <w:rPr>
          <w:rFonts w:ascii="Verdana" w:hAnsi="Verdana" w:cs="Arial"/>
          <w:sz w:val="18"/>
          <w:szCs w:val="18"/>
        </w:rPr>
        <w:t>Een jaarrekening of bestuursverslag dat de beheerder van een icbe</w:t>
      </w:r>
      <w:r w:rsidR="001A65E6">
        <w:rPr>
          <w:rFonts w:ascii="Verdana" w:hAnsi="Verdana" w:cs="Arial"/>
          <w:sz w:val="18"/>
          <w:szCs w:val="18"/>
        </w:rPr>
        <w:t xml:space="preserve"> nu reeds dient te </w:t>
      </w:r>
      <w:r w:rsidR="003D559B">
        <w:rPr>
          <w:rFonts w:ascii="Verdana" w:hAnsi="Verdana" w:cs="Arial"/>
          <w:sz w:val="18"/>
          <w:szCs w:val="18"/>
        </w:rPr>
        <w:t>verstrekken aan</w:t>
      </w:r>
      <w:r w:rsidR="001A65E6">
        <w:rPr>
          <w:rFonts w:ascii="Verdana" w:hAnsi="Verdana" w:cs="Arial"/>
          <w:sz w:val="18"/>
          <w:szCs w:val="18"/>
        </w:rPr>
        <w:t xml:space="preserve"> de AFM dient straks </w:t>
      </w:r>
      <w:r w:rsidR="003D559B">
        <w:rPr>
          <w:rFonts w:ascii="Verdana" w:hAnsi="Verdana" w:cs="Arial"/>
          <w:sz w:val="18"/>
          <w:szCs w:val="18"/>
        </w:rPr>
        <w:t xml:space="preserve">aan de AFM </w:t>
      </w:r>
      <w:r w:rsidR="001A65E6">
        <w:rPr>
          <w:rFonts w:ascii="Verdana" w:hAnsi="Verdana" w:cs="Arial"/>
          <w:sz w:val="18"/>
          <w:szCs w:val="18"/>
        </w:rPr>
        <w:t xml:space="preserve">te worden verstrekt onder vermelding van bepaalde metadata en in het ESAP-formaat. </w:t>
      </w:r>
      <w:r w:rsidR="003D559B">
        <w:rPr>
          <w:rFonts w:ascii="Verdana" w:hAnsi="Verdana" w:cs="Arial"/>
          <w:sz w:val="18"/>
          <w:szCs w:val="18"/>
        </w:rPr>
        <w:t xml:space="preserve">De jaarrekening en het bestuursverslag </w:t>
      </w:r>
      <w:r w:rsidR="00974545">
        <w:rPr>
          <w:rFonts w:ascii="Verdana" w:hAnsi="Verdana" w:cs="Arial"/>
          <w:sz w:val="18"/>
          <w:szCs w:val="18"/>
        </w:rPr>
        <w:t>hoeven</w:t>
      </w:r>
      <w:r w:rsidR="003D559B">
        <w:rPr>
          <w:rFonts w:ascii="Verdana" w:hAnsi="Verdana" w:cs="Arial"/>
          <w:sz w:val="18"/>
          <w:szCs w:val="18"/>
        </w:rPr>
        <w:t xml:space="preserve"> niet nogmaals te worden verstrekt aan de AFM. Er zullen derhalve</w:t>
      </w:r>
      <w:r w:rsidR="001A65E6">
        <w:rPr>
          <w:rFonts w:ascii="Verdana" w:hAnsi="Verdana" w:cs="Arial"/>
          <w:sz w:val="18"/>
          <w:szCs w:val="18"/>
        </w:rPr>
        <w:t xml:space="preserve"> geen dubbele informatieverplichtingen ontstaan. </w:t>
      </w:r>
      <w:r w:rsidR="008E244B">
        <w:rPr>
          <w:rFonts w:ascii="Verdana" w:hAnsi="Verdana" w:cs="Arial"/>
          <w:sz w:val="18"/>
          <w:szCs w:val="18"/>
        </w:rPr>
        <w:t xml:space="preserve">Als een onderneming niet verplicht is tot het openbaar maken van informatie, bijvoorbeeld omdat zij gebruik maakt van een groepsvrijstelling, </w:t>
      </w:r>
      <w:r w:rsidR="00BE5789">
        <w:rPr>
          <w:rFonts w:ascii="Verdana" w:hAnsi="Verdana" w:cs="Arial"/>
          <w:sz w:val="18"/>
          <w:szCs w:val="18"/>
        </w:rPr>
        <w:t>is</w:t>
      </w:r>
      <w:r w:rsidR="008E244B">
        <w:rPr>
          <w:rFonts w:ascii="Verdana" w:hAnsi="Verdana" w:cs="Arial"/>
          <w:sz w:val="18"/>
          <w:szCs w:val="18"/>
        </w:rPr>
        <w:t xml:space="preserve"> zij ook niet verplicht om </w:t>
      </w:r>
      <w:r w:rsidR="00703D67">
        <w:rPr>
          <w:rFonts w:ascii="Verdana" w:hAnsi="Verdana" w:cs="Arial"/>
          <w:sz w:val="18"/>
          <w:szCs w:val="18"/>
        </w:rPr>
        <w:t>d</w:t>
      </w:r>
      <w:r w:rsidR="008E244B">
        <w:rPr>
          <w:rFonts w:ascii="Verdana" w:hAnsi="Verdana" w:cs="Arial"/>
          <w:sz w:val="18"/>
          <w:szCs w:val="18"/>
        </w:rPr>
        <w:t xml:space="preserve">e </w:t>
      </w:r>
      <w:r w:rsidR="00BE5789">
        <w:rPr>
          <w:rFonts w:ascii="Verdana" w:hAnsi="Verdana" w:cs="Arial"/>
          <w:sz w:val="18"/>
          <w:szCs w:val="18"/>
        </w:rPr>
        <w:t xml:space="preserve">stukken aan te leveren in het </w:t>
      </w:r>
      <w:r w:rsidRPr="004B25F3" w:rsidR="008E244B">
        <w:rPr>
          <w:rFonts w:ascii="Verdana" w:hAnsi="Verdana" w:cs="Arial"/>
          <w:sz w:val="18"/>
          <w:szCs w:val="18"/>
        </w:rPr>
        <w:t>ESAP</w:t>
      </w:r>
      <w:r w:rsidRPr="004B25F3" w:rsidR="00BE5789">
        <w:rPr>
          <w:rFonts w:ascii="Verdana" w:hAnsi="Verdana" w:cs="Arial"/>
          <w:sz w:val="18"/>
          <w:szCs w:val="18"/>
        </w:rPr>
        <w:t>-formaat</w:t>
      </w:r>
      <w:r w:rsidR="008E244B">
        <w:rPr>
          <w:rFonts w:ascii="Verdana" w:hAnsi="Verdana" w:cs="Arial"/>
          <w:sz w:val="18"/>
          <w:szCs w:val="18"/>
        </w:rPr>
        <w:t xml:space="preserve">. </w:t>
      </w:r>
      <w:r w:rsidR="00210069">
        <w:rPr>
          <w:rFonts w:ascii="Verdana" w:hAnsi="Verdana" w:cs="Arial"/>
          <w:sz w:val="18"/>
          <w:szCs w:val="18"/>
        </w:rPr>
        <w:t xml:space="preserve">Het is de verantwoordelijkheid van de onderneming om ervoor te zorgen dat informatie correct wordt aangeleverd bij de verzamelende instanties. </w:t>
      </w:r>
      <w:r w:rsidR="00762153">
        <w:rPr>
          <w:rFonts w:ascii="Verdana" w:hAnsi="Verdana" w:cs="Arial"/>
          <w:sz w:val="18"/>
          <w:szCs w:val="18"/>
        </w:rPr>
        <w:t>Vervolgens rust op de verzamelende instantie de verantwoordelijkheid om de informatie binnen 60 minuten aan het ESAP te verstrekken.</w:t>
      </w:r>
      <w:r w:rsidR="00210069">
        <w:rPr>
          <w:rFonts w:ascii="Verdana" w:hAnsi="Verdana" w:cs="Arial"/>
          <w:sz w:val="18"/>
          <w:szCs w:val="18"/>
        </w:rPr>
        <w:t xml:space="preserve"> </w:t>
      </w:r>
    </w:p>
    <w:p w:rsidR="00C62594" w:rsidP="009C2659" w:rsidRDefault="00C62594" w14:paraId="721E2213" w14:textId="77777777">
      <w:pPr>
        <w:widowControl w:val="0"/>
        <w:tabs>
          <w:tab w:val="num" w:pos="720"/>
        </w:tabs>
        <w:spacing w:line="240" w:lineRule="atLeast"/>
        <w:contextualSpacing/>
        <w:rPr>
          <w:rFonts w:ascii="Verdana" w:hAnsi="Verdana" w:cs="Arial"/>
          <w:sz w:val="18"/>
          <w:szCs w:val="18"/>
        </w:rPr>
      </w:pPr>
    </w:p>
    <w:p w:rsidRPr="007456D5" w:rsidR="0001751A" w:rsidP="009C2659" w:rsidRDefault="004E7D7D" w14:paraId="70C643C9" w14:textId="151E5606">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De onderneming dient informatie aan de verzamelende instantie te verstrekken onder</w:t>
      </w:r>
      <w:r w:rsidRPr="007456D5" w:rsidR="00CC7B56">
        <w:rPr>
          <w:rFonts w:ascii="Verdana" w:hAnsi="Verdana" w:cs="Arial"/>
          <w:sz w:val="18"/>
          <w:szCs w:val="18"/>
        </w:rPr>
        <w:t xml:space="preserve"> vermelding van</w:t>
      </w:r>
      <w:r w:rsidRPr="007456D5" w:rsidR="0001751A">
        <w:rPr>
          <w:rFonts w:ascii="Verdana" w:hAnsi="Verdana" w:cs="Arial"/>
          <w:sz w:val="18"/>
          <w:szCs w:val="18"/>
        </w:rPr>
        <w:t xml:space="preserve"> </w:t>
      </w:r>
      <w:r w:rsidRPr="007456D5" w:rsidR="00CC7B56">
        <w:rPr>
          <w:rFonts w:ascii="Verdana" w:hAnsi="Verdana" w:cs="Arial"/>
          <w:sz w:val="18"/>
          <w:szCs w:val="18"/>
        </w:rPr>
        <w:t>de naam, identificatiecode</w:t>
      </w:r>
      <w:r w:rsidRPr="007456D5" w:rsidR="00280E5B">
        <w:rPr>
          <w:rFonts w:ascii="Verdana" w:hAnsi="Verdana" w:cs="Arial"/>
          <w:sz w:val="18"/>
          <w:szCs w:val="18"/>
        </w:rPr>
        <w:t xml:space="preserve"> en</w:t>
      </w:r>
      <w:r w:rsidRPr="007456D5" w:rsidR="00CC7B56">
        <w:rPr>
          <w:rFonts w:ascii="Verdana" w:hAnsi="Verdana" w:cs="Arial"/>
          <w:sz w:val="18"/>
          <w:szCs w:val="18"/>
        </w:rPr>
        <w:t xml:space="preserve"> grootte van de </w:t>
      </w:r>
      <w:r w:rsidRPr="007456D5">
        <w:rPr>
          <w:rFonts w:ascii="Verdana" w:hAnsi="Verdana" w:cs="Arial"/>
          <w:sz w:val="18"/>
          <w:szCs w:val="18"/>
        </w:rPr>
        <w:t xml:space="preserve">entiteit </w:t>
      </w:r>
      <w:r w:rsidRPr="007456D5" w:rsidR="00195B50">
        <w:rPr>
          <w:rFonts w:ascii="Verdana" w:hAnsi="Verdana" w:cs="Arial"/>
          <w:sz w:val="18"/>
          <w:szCs w:val="18"/>
        </w:rPr>
        <w:t xml:space="preserve">waarop </w:t>
      </w:r>
      <w:r w:rsidRPr="007456D5">
        <w:rPr>
          <w:rFonts w:ascii="Verdana" w:hAnsi="Verdana" w:cs="Arial"/>
          <w:sz w:val="18"/>
          <w:szCs w:val="18"/>
        </w:rPr>
        <w:t xml:space="preserve">de informatie </w:t>
      </w:r>
      <w:r w:rsidRPr="007456D5" w:rsidR="00195B50">
        <w:rPr>
          <w:rFonts w:ascii="Verdana" w:hAnsi="Verdana" w:cs="Arial"/>
          <w:sz w:val="18"/>
          <w:szCs w:val="18"/>
        </w:rPr>
        <w:t>betrekking heeft</w:t>
      </w:r>
      <w:r w:rsidRPr="007456D5" w:rsidR="00280E5B">
        <w:rPr>
          <w:rFonts w:ascii="Verdana" w:hAnsi="Verdana" w:cs="Arial"/>
          <w:sz w:val="18"/>
          <w:szCs w:val="18"/>
        </w:rPr>
        <w:t>.</w:t>
      </w:r>
      <w:r w:rsidRPr="007456D5" w:rsidR="00CC7B56">
        <w:rPr>
          <w:rFonts w:ascii="Verdana" w:hAnsi="Verdana" w:cs="Arial"/>
          <w:sz w:val="18"/>
          <w:szCs w:val="18"/>
        </w:rPr>
        <w:t xml:space="preserve"> </w:t>
      </w:r>
      <w:r w:rsidRPr="007456D5" w:rsidR="00195B50">
        <w:rPr>
          <w:rFonts w:ascii="Verdana" w:hAnsi="Verdana" w:cs="Arial"/>
          <w:sz w:val="18"/>
          <w:szCs w:val="18"/>
        </w:rPr>
        <w:t xml:space="preserve">Daarnaast dient de </w:t>
      </w:r>
      <w:r w:rsidRPr="007456D5">
        <w:rPr>
          <w:rFonts w:ascii="Verdana" w:hAnsi="Verdana" w:cs="Arial"/>
          <w:sz w:val="18"/>
          <w:szCs w:val="18"/>
        </w:rPr>
        <w:t>onderneming</w:t>
      </w:r>
      <w:r w:rsidRPr="007456D5" w:rsidR="00195B50">
        <w:rPr>
          <w:rFonts w:ascii="Verdana" w:hAnsi="Verdana" w:cs="Arial"/>
          <w:sz w:val="18"/>
          <w:szCs w:val="18"/>
        </w:rPr>
        <w:t xml:space="preserve"> aan te geven</w:t>
      </w:r>
      <w:r w:rsidRPr="007456D5" w:rsidR="00CC7B56">
        <w:rPr>
          <w:rFonts w:ascii="Verdana" w:hAnsi="Verdana" w:cs="Arial"/>
          <w:sz w:val="18"/>
          <w:szCs w:val="18"/>
        </w:rPr>
        <w:t xml:space="preserve"> of de informatie verplicht of vrijwillig wordt verstrekt aan de </w:t>
      </w:r>
      <w:r w:rsidRPr="007456D5">
        <w:rPr>
          <w:rFonts w:ascii="Verdana" w:hAnsi="Verdana" w:cs="Arial"/>
          <w:sz w:val="18"/>
          <w:szCs w:val="18"/>
        </w:rPr>
        <w:t>verzamelende instantie</w:t>
      </w:r>
      <w:r w:rsidRPr="007456D5" w:rsidR="00195B50">
        <w:rPr>
          <w:rFonts w:ascii="Verdana" w:hAnsi="Verdana" w:cs="Arial"/>
          <w:sz w:val="18"/>
          <w:szCs w:val="18"/>
        </w:rPr>
        <w:t xml:space="preserve"> </w:t>
      </w:r>
      <w:r w:rsidRPr="007456D5" w:rsidR="00CC7B56">
        <w:rPr>
          <w:rFonts w:ascii="Verdana" w:hAnsi="Verdana" w:cs="Arial"/>
          <w:sz w:val="18"/>
          <w:szCs w:val="18"/>
        </w:rPr>
        <w:t xml:space="preserve">ter openbaarmaking op </w:t>
      </w:r>
      <w:r w:rsidR="00B9660D">
        <w:rPr>
          <w:rFonts w:ascii="Verdana" w:hAnsi="Verdana" w:cs="Arial"/>
          <w:sz w:val="18"/>
          <w:szCs w:val="18"/>
        </w:rPr>
        <w:t xml:space="preserve">het </w:t>
      </w:r>
      <w:r w:rsidRPr="007456D5" w:rsidR="00CC7B56">
        <w:rPr>
          <w:rFonts w:ascii="Verdana" w:hAnsi="Verdana" w:cs="Arial"/>
          <w:sz w:val="18"/>
          <w:szCs w:val="18"/>
        </w:rPr>
        <w:t>ESAP</w:t>
      </w:r>
      <w:r w:rsidRPr="007456D5" w:rsidR="00280E5B">
        <w:rPr>
          <w:rFonts w:ascii="Verdana" w:hAnsi="Verdana" w:cs="Arial"/>
          <w:sz w:val="18"/>
          <w:szCs w:val="18"/>
        </w:rPr>
        <w:t xml:space="preserve"> en of er persoonsgegevens aanwezig zijn</w:t>
      </w:r>
      <w:r w:rsidRPr="007456D5" w:rsidR="00CC7B56">
        <w:rPr>
          <w:rFonts w:ascii="Verdana" w:hAnsi="Verdana" w:cs="Arial"/>
          <w:sz w:val="18"/>
          <w:szCs w:val="18"/>
        </w:rPr>
        <w:t>. Ten slotte dient</w:t>
      </w:r>
      <w:r w:rsidRPr="007456D5" w:rsidR="001B35C1">
        <w:rPr>
          <w:rFonts w:ascii="Verdana" w:hAnsi="Verdana" w:cs="Arial"/>
          <w:sz w:val="18"/>
          <w:szCs w:val="18"/>
        </w:rPr>
        <w:t xml:space="preserve"> de</w:t>
      </w:r>
      <w:r w:rsidRPr="007456D5" w:rsidR="00195B50">
        <w:rPr>
          <w:rFonts w:ascii="Verdana" w:hAnsi="Verdana" w:cs="Arial"/>
          <w:sz w:val="18"/>
          <w:szCs w:val="18"/>
        </w:rPr>
        <w:t xml:space="preserve"> onderneming </w:t>
      </w:r>
      <w:r w:rsidRPr="007456D5" w:rsidR="00CC7B56">
        <w:rPr>
          <w:rFonts w:ascii="Verdana" w:hAnsi="Verdana" w:cs="Arial"/>
          <w:sz w:val="18"/>
          <w:szCs w:val="18"/>
        </w:rPr>
        <w:t xml:space="preserve">de informatie te </w:t>
      </w:r>
      <w:r w:rsidRPr="007456D5" w:rsidR="00195B50">
        <w:rPr>
          <w:rFonts w:ascii="Verdana" w:hAnsi="Verdana" w:cs="Arial"/>
          <w:sz w:val="18"/>
          <w:szCs w:val="18"/>
        </w:rPr>
        <w:t>verstrekken</w:t>
      </w:r>
      <w:r w:rsidRPr="007456D5" w:rsidR="0001751A">
        <w:rPr>
          <w:rFonts w:ascii="Verdana" w:hAnsi="Verdana" w:cs="Arial"/>
          <w:sz w:val="18"/>
          <w:szCs w:val="18"/>
        </w:rPr>
        <w:t xml:space="preserve"> in een specifiek forma</w:t>
      </w:r>
      <w:r w:rsidRPr="007456D5" w:rsidR="00B93F1B">
        <w:rPr>
          <w:rFonts w:ascii="Verdana" w:hAnsi="Verdana" w:cs="Arial"/>
          <w:sz w:val="18"/>
          <w:szCs w:val="18"/>
        </w:rPr>
        <w:t>a</w:t>
      </w:r>
      <w:r w:rsidRPr="007456D5" w:rsidR="0001751A">
        <w:rPr>
          <w:rFonts w:ascii="Verdana" w:hAnsi="Verdana" w:cs="Arial"/>
          <w:sz w:val="18"/>
          <w:szCs w:val="18"/>
        </w:rPr>
        <w:t xml:space="preserve">t. </w:t>
      </w:r>
      <w:r w:rsidRPr="007456D5" w:rsidR="00280E5B">
        <w:rPr>
          <w:rFonts w:ascii="Verdana" w:hAnsi="Verdana" w:cs="Arial"/>
          <w:sz w:val="18"/>
          <w:szCs w:val="18"/>
        </w:rPr>
        <w:t xml:space="preserve">Deze vereisten worden verder toegelicht </w:t>
      </w:r>
      <w:r w:rsidR="00230507">
        <w:rPr>
          <w:rFonts w:ascii="Verdana" w:hAnsi="Verdana" w:cs="Arial"/>
          <w:sz w:val="18"/>
          <w:szCs w:val="18"/>
        </w:rPr>
        <w:t>in</w:t>
      </w:r>
      <w:r w:rsidRPr="007456D5" w:rsidR="00230507">
        <w:rPr>
          <w:rFonts w:ascii="Verdana" w:hAnsi="Verdana" w:cs="Arial"/>
          <w:sz w:val="18"/>
          <w:szCs w:val="18"/>
        </w:rPr>
        <w:t xml:space="preserve"> </w:t>
      </w:r>
      <w:r w:rsidRPr="007456D5" w:rsidR="00280E5B">
        <w:rPr>
          <w:rFonts w:ascii="Verdana" w:hAnsi="Verdana" w:cs="Arial"/>
          <w:sz w:val="18"/>
          <w:szCs w:val="18"/>
        </w:rPr>
        <w:t>de artikelsgewijze toelichting.</w:t>
      </w:r>
    </w:p>
    <w:p w:rsidRPr="007456D5" w:rsidR="009440F6" w:rsidP="009C2659" w:rsidRDefault="009440F6" w14:paraId="1CF66DD1" w14:textId="77777777">
      <w:pPr>
        <w:widowControl w:val="0"/>
        <w:tabs>
          <w:tab w:val="num" w:pos="720"/>
        </w:tabs>
        <w:spacing w:line="240" w:lineRule="atLeast"/>
        <w:contextualSpacing/>
        <w:rPr>
          <w:rFonts w:ascii="Verdana" w:hAnsi="Verdana" w:cs="Arial"/>
          <w:sz w:val="18"/>
          <w:szCs w:val="18"/>
        </w:rPr>
      </w:pPr>
    </w:p>
    <w:p w:rsidRPr="007456D5" w:rsidR="005639D6" w:rsidP="009C2659" w:rsidRDefault="00195B50" w14:paraId="113CD2E1" w14:textId="2B937F95">
      <w:pPr>
        <w:widowControl w:val="0"/>
        <w:spacing w:line="240" w:lineRule="atLeast"/>
        <w:contextualSpacing/>
        <w:rPr>
          <w:rFonts w:ascii="Verdana" w:hAnsi="Verdana"/>
          <w:sz w:val="18"/>
          <w:szCs w:val="18"/>
        </w:rPr>
      </w:pPr>
      <w:r w:rsidRPr="007456D5">
        <w:rPr>
          <w:rFonts w:ascii="Verdana" w:hAnsi="Verdana" w:cs="Arial"/>
          <w:sz w:val="18"/>
          <w:szCs w:val="18"/>
        </w:rPr>
        <w:t xml:space="preserve">Verder dienen </w:t>
      </w:r>
      <w:r w:rsidR="006A4DFD">
        <w:rPr>
          <w:rFonts w:ascii="Verdana" w:hAnsi="Verdana" w:cs="Arial"/>
          <w:sz w:val="18"/>
          <w:szCs w:val="18"/>
        </w:rPr>
        <w:t xml:space="preserve">de </w:t>
      </w:r>
      <w:r w:rsidRPr="007456D5" w:rsidR="009440F6">
        <w:rPr>
          <w:rFonts w:ascii="Verdana" w:hAnsi="Verdana" w:cs="Arial"/>
          <w:sz w:val="18"/>
          <w:szCs w:val="18"/>
        </w:rPr>
        <w:t xml:space="preserve">AFM en DNB </w:t>
      </w:r>
      <w:r w:rsidRPr="007456D5" w:rsidR="00EC65A1">
        <w:rPr>
          <w:rFonts w:ascii="Verdana" w:hAnsi="Verdana" w:cs="Arial"/>
          <w:sz w:val="18"/>
          <w:szCs w:val="18"/>
        </w:rPr>
        <w:t xml:space="preserve">bepaalde </w:t>
      </w:r>
      <w:r w:rsidRPr="007456D5" w:rsidR="004E7D7D">
        <w:rPr>
          <w:rFonts w:ascii="Verdana" w:hAnsi="Verdana" w:cs="Arial"/>
          <w:sz w:val="18"/>
          <w:szCs w:val="18"/>
        </w:rPr>
        <w:t>besluiten die zij</w:t>
      </w:r>
      <w:r w:rsidRPr="007456D5" w:rsidR="009440F6">
        <w:rPr>
          <w:rFonts w:ascii="Verdana" w:hAnsi="Verdana" w:cs="Arial"/>
          <w:sz w:val="18"/>
          <w:szCs w:val="18"/>
        </w:rPr>
        <w:t xml:space="preserve"> openbaar maken</w:t>
      </w:r>
      <w:r w:rsidRPr="007456D5">
        <w:rPr>
          <w:rFonts w:ascii="Verdana" w:hAnsi="Verdana" w:cs="Arial"/>
          <w:sz w:val="18"/>
          <w:szCs w:val="18"/>
        </w:rPr>
        <w:t xml:space="preserve"> </w:t>
      </w:r>
      <w:r w:rsidRPr="007456D5" w:rsidR="005113FD">
        <w:rPr>
          <w:rFonts w:ascii="Verdana" w:hAnsi="Verdana" w:cs="Arial"/>
          <w:sz w:val="18"/>
          <w:szCs w:val="18"/>
        </w:rPr>
        <w:t>zo spoedig mogelijk</w:t>
      </w:r>
      <w:r w:rsidRPr="007456D5" w:rsidR="004E7D7D">
        <w:rPr>
          <w:rFonts w:ascii="Verdana" w:hAnsi="Verdana" w:cs="Arial"/>
          <w:sz w:val="18"/>
          <w:szCs w:val="18"/>
        </w:rPr>
        <w:t xml:space="preserve"> </w:t>
      </w:r>
      <w:r w:rsidRPr="007456D5" w:rsidR="006E5A3F">
        <w:rPr>
          <w:rFonts w:ascii="Verdana" w:hAnsi="Verdana" w:cs="Arial"/>
          <w:sz w:val="18"/>
          <w:szCs w:val="18"/>
        </w:rPr>
        <w:t>te verstrekken aan</w:t>
      </w:r>
      <w:r w:rsidRPr="007456D5">
        <w:rPr>
          <w:rFonts w:ascii="Verdana" w:hAnsi="Verdana" w:cs="Arial"/>
          <w:sz w:val="18"/>
          <w:szCs w:val="18"/>
        </w:rPr>
        <w:t xml:space="preserve"> </w:t>
      </w:r>
      <w:r w:rsidR="00B9660D">
        <w:rPr>
          <w:rFonts w:ascii="Verdana" w:hAnsi="Verdana" w:cs="Arial"/>
          <w:sz w:val="18"/>
          <w:szCs w:val="18"/>
        </w:rPr>
        <w:t xml:space="preserve">het </w:t>
      </w:r>
      <w:r w:rsidRPr="007456D5">
        <w:rPr>
          <w:rFonts w:ascii="Verdana" w:hAnsi="Verdana" w:cs="Arial"/>
          <w:sz w:val="18"/>
          <w:szCs w:val="18"/>
        </w:rPr>
        <w:t>ESAP</w:t>
      </w:r>
      <w:r w:rsidRPr="007456D5" w:rsidR="009440F6">
        <w:rPr>
          <w:rFonts w:ascii="Verdana" w:hAnsi="Verdana" w:cs="Arial"/>
          <w:sz w:val="18"/>
          <w:szCs w:val="18"/>
        </w:rPr>
        <w:t>. Het gaat dan bijvoorbeeld om het opleggen van een bestuurlijke boete of een last onder dwangsom of het aanstellen van een bijzondere bewindvoerder.</w:t>
      </w:r>
      <w:r w:rsidRPr="007456D5" w:rsidR="005639D6">
        <w:rPr>
          <w:rFonts w:ascii="Verdana" w:hAnsi="Verdana"/>
          <w:sz w:val="18"/>
          <w:szCs w:val="18"/>
        </w:rPr>
        <w:t xml:space="preserve"> De AFM dient tevens informatie over accountants en accountantsorganisaties die in de openbare registers van de AFM is opgenomen, </w:t>
      </w:r>
      <w:r w:rsidRPr="007456D5" w:rsidR="006E5A3F">
        <w:rPr>
          <w:rFonts w:ascii="Verdana" w:hAnsi="Verdana"/>
          <w:sz w:val="18"/>
          <w:szCs w:val="18"/>
        </w:rPr>
        <w:t xml:space="preserve">te verstrekken aan </w:t>
      </w:r>
      <w:r w:rsidR="00B9660D">
        <w:rPr>
          <w:rFonts w:ascii="Verdana" w:hAnsi="Verdana"/>
          <w:sz w:val="18"/>
          <w:szCs w:val="18"/>
        </w:rPr>
        <w:t xml:space="preserve">het </w:t>
      </w:r>
      <w:r w:rsidRPr="007456D5" w:rsidR="006E5A3F">
        <w:rPr>
          <w:rFonts w:ascii="Verdana" w:hAnsi="Verdana"/>
          <w:sz w:val="18"/>
          <w:szCs w:val="18"/>
        </w:rPr>
        <w:t>ESAP</w:t>
      </w:r>
      <w:r w:rsidRPr="007456D5" w:rsidR="005639D6">
        <w:rPr>
          <w:rFonts w:ascii="Verdana" w:hAnsi="Verdana"/>
          <w:sz w:val="18"/>
          <w:szCs w:val="18"/>
        </w:rPr>
        <w:t>.</w:t>
      </w:r>
      <w:r w:rsidR="006B4E19">
        <w:rPr>
          <w:rFonts w:ascii="Verdana" w:hAnsi="Verdana"/>
          <w:sz w:val="18"/>
          <w:szCs w:val="18"/>
        </w:rPr>
        <w:t xml:space="preserve"> Het wetsvoorstel bevat geen aanvullende assurance- of controle-eisen</w:t>
      </w:r>
      <w:r w:rsidR="00C938C0">
        <w:rPr>
          <w:rFonts w:ascii="Verdana" w:hAnsi="Verdana"/>
          <w:sz w:val="18"/>
          <w:szCs w:val="18"/>
        </w:rPr>
        <w:t>, anders dan de validaties die d</w:t>
      </w:r>
      <w:r w:rsidRPr="00C938C0" w:rsidR="00C938C0">
        <w:rPr>
          <w:rFonts w:ascii="Verdana" w:hAnsi="Verdana"/>
          <w:sz w:val="18"/>
          <w:szCs w:val="18"/>
        </w:rPr>
        <w:t>e verzamelende instanties dienen uit te voeren om na te gaan of de informatie is ingediend in het juiste format en voorzien is van de voorgeschreven metadata</w:t>
      </w:r>
      <w:r w:rsidR="006B4E19">
        <w:rPr>
          <w:rFonts w:ascii="Verdana" w:hAnsi="Verdana"/>
          <w:sz w:val="18"/>
          <w:szCs w:val="18"/>
        </w:rPr>
        <w:t>.</w:t>
      </w:r>
    </w:p>
    <w:p w:rsidRPr="007456D5" w:rsidR="00184467" w:rsidP="009C2659" w:rsidRDefault="00184467" w14:paraId="2E77E8F0" w14:textId="77777777">
      <w:pPr>
        <w:widowControl w:val="0"/>
        <w:spacing w:line="240" w:lineRule="atLeast"/>
        <w:contextualSpacing/>
        <w:rPr>
          <w:rFonts w:ascii="Verdana" w:hAnsi="Verdana"/>
          <w:sz w:val="18"/>
          <w:szCs w:val="18"/>
        </w:rPr>
      </w:pPr>
    </w:p>
    <w:p w:rsidRPr="007456D5" w:rsidR="00184467" w:rsidP="009C2659" w:rsidRDefault="00184467" w14:paraId="70366D83" w14:textId="0E479AEB">
      <w:pPr>
        <w:widowControl w:val="0"/>
        <w:spacing w:line="240" w:lineRule="atLeast"/>
        <w:contextualSpacing/>
        <w:rPr>
          <w:rFonts w:ascii="Verdana" w:hAnsi="Verdana"/>
          <w:sz w:val="18"/>
          <w:szCs w:val="18"/>
        </w:rPr>
      </w:pPr>
      <w:r w:rsidRPr="007456D5">
        <w:rPr>
          <w:rFonts w:ascii="Verdana" w:hAnsi="Verdana" w:cs="Arial"/>
          <w:i/>
          <w:iCs/>
          <w:sz w:val="18"/>
          <w:szCs w:val="18"/>
        </w:rPr>
        <w:t>§ 3.3. Vrijwillig ingediende informatie</w:t>
      </w:r>
    </w:p>
    <w:p w:rsidRPr="007456D5" w:rsidR="00184467" w:rsidP="009C2659" w:rsidRDefault="00184467" w14:paraId="32020D81" w14:textId="77777777">
      <w:pPr>
        <w:widowControl w:val="0"/>
        <w:tabs>
          <w:tab w:val="num" w:pos="720"/>
        </w:tabs>
        <w:spacing w:line="240" w:lineRule="atLeast"/>
        <w:contextualSpacing/>
        <w:rPr>
          <w:rFonts w:ascii="Verdana" w:hAnsi="Verdana" w:cs="Arial"/>
          <w:sz w:val="18"/>
          <w:szCs w:val="18"/>
        </w:rPr>
      </w:pPr>
    </w:p>
    <w:p w:rsidR="00972814" w:rsidP="009C2659" w:rsidRDefault="00184467" w14:paraId="3B4FEC07" w14:textId="2CDEBD55">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Ondernemingen die onder het recht van EU-lidstaten vallen, mogen vanaf 10 januari 2030 ook vrijwillig, </w:t>
      </w:r>
      <w:bookmarkStart w:name="_Hlk213947970" w:id="4"/>
      <w:r w:rsidRPr="007456D5">
        <w:rPr>
          <w:rFonts w:ascii="Verdana" w:hAnsi="Verdana" w:cs="Arial"/>
          <w:sz w:val="18"/>
          <w:szCs w:val="18"/>
        </w:rPr>
        <w:t xml:space="preserve">via een verzamelende instantie, informatie op </w:t>
      </w:r>
      <w:r w:rsidR="00B9660D">
        <w:rPr>
          <w:rFonts w:ascii="Verdana" w:hAnsi="Verdana" w:cs="Arial"/>
          <w:sz w:val="18"/>
          <w:szCs w:val="18"/>
        </w:rPr>
        <w:t xml:space="preserve">het </w:t>
      </w:r>
      <w:r w:rsidRPr="007456D5">
        <w:rPr>
          <w:rFonts w:ascii="Verdana" w:hAnsi="Verdana" w:cs="Arial"/>
          <w:sz w:val="18"/>
          <w:szCs w:val="18"/>
        </w:rPr>
        <w:t>ESAP toegankelijk maken</w:t>
      </w:r>
      <w:bookmarkEnd w:id="4"/>
      <w:r w:rsidRPr="007456D5">
        <w:rPr>
          <w:rFonts w:ascii="Verdana" w:hAnsi="Verdana" w:cs="Arial"/>
          <w:sz w:val="18"/>
          <w:szCs w:val="18"/>
        </w:rPr>
        <w:t xml:space="preserve">. </w:t>
      </w:r>
      <w:r w:rsidR="00972814">
        <w:rPr>
          <w:rFonts w:ascii="Verdana" w:hAnsi="Verdana" w:cs="Arial"/>
          <w:sz w:val="18"/>
          <w:szCs w:val="18"/>
        </w:rPr>
        <w:t>In artikel 3 van de verordening oprichting ESAP staan voorwaarden waaraan vrijwillig ingediende informatie moet voldoen en artikel 5 van deze verordening bepaalt hoe verzamelende instanties vervolgens met deze informatie</w:t>
      </w:r>
      <w:r w:rsidR="00703D67">
        <w:rPr>
          <w:rFonts w:ascii="Verdana" w:hAnsi="Verdana" w:cs="Arial"/>
          <w:sz w:val="18"/>
          <w:szCs w:val="18"/>
        </w:rPr>
        <w:t xml:space="preserve"> dienen</w:t>
      </w:r>
      <w:r w:rsidR="00972814">
        <w:rPr>
          <w:rFonts w:ascii="Verdana" w:hAnsi="Verdana" w:cs="Arial"/>
          <w:sz w:val="18"/>
          <w:szCs w:val="18"/>
        </w:rPr>
        <w:t xml:space="preserve"> om</w:t>
      </w:r>
      <w:r w:rsidR="00703D67">
        <w:rPr>
          <w:rFonts w:ascii="Verdana" w:hAnsi="Verdana" w:cs="Arial"/>
          <w:sz w:val="18"/>
          <w:szCs w:val="18"/>
        </w:rPr>
        <w:t xml:space="preserve"> te </w:t>
      </w:r>
      <w:r w:rsidR="00972814">
        <w:rPr>
          <w:rFonts w:ascii="Verdana" w:hAnsi="Verdana" w:cs="Arial"/>
          <w:sz w:val="18"/>
          <w:szCs w:val="18"/>
        </w:rPr>
        <w:t>gaan.</w:t>
      </w:r>
    </w:p>
    <w:p w:rsidR="00972814" w:rsidP="009C2659" w:rsidRDefault="00972814" w14:paraId="7591B659" w14:textId="77777777">
      <w:pPr>
        <w:widowControl w:val="0"/>
        <w:tabs>
          <w:tab w:val="num" w:pos="720"/>
        </w:tabs>
        <w:spacing w:line="240" w:lineRule="atLeast"/>
        <w:contextualSpacing/>
        <w:rPr>
          <w:rFonts w:ascii="Verdana" w:hAnsi="Verdana" w:cs="Arial"/>
          <w:sz w:val="18"/>
          <w:szCs w:val="18"/>
        </w:rPr>
      </w:pPr>
    </w:p>
    <w:p w:rsidR="00974545" w:rsidP="009C2659" w:rsidRDefault="00184467" w14:paraId="7FCEA9EE" w14:textId="77777777">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Het moet gaan om informatie die relevant is voor financiële diensten en kapitaalmarkten, duurzaamheid en diversiteit. Informatie die op vrijwillige basis wordt ingediend, moet duidelijk als zodanig worden aangemerkt</w:t>
      </w:r>
      <w:r w:rsidR="004021C6">
        <w:rPr>
          <w:rFonts w:ascii="Verdana" w:hAnsi="Verdana" w:cs="Arial"/>
          <w:sz w:val="18"/>
          <w:szCs w:val="18"/>
        </w:rPr>
        <w:t>. Om eventuele vertraging te voorkomen, is daarbij wenselijk dat doorzending naar het ESAP expliciet wordt gevraagd aan de verzamelende instantie</w:t>
      </w:r>
      <w:r w:rsidR="00974545">
        <w:rPr>
          <w:rFonts w:ascii="Verdana" w:hAnsi="Verdana" w:cs="Arial"/>
          <w:sz w:val="18"/>
          <w:szCs w:val="18"/>
        </w:rPr>
        <w:t>, dan wel dat dit duidelijk volgt uit de meegestuurde metadata</w:t>
      </w:r>
      <w:r w:rsidR="004021C6">
        <w:rPr>
          <w:rFonts w:ascii="Verdana" w:hAnsi="Verdana" w:cs="Arial"/>
          <w:sz w:val="18"/>
          <w:szCs w:val="18"/>
        </w:rPr>
        <w:t>.</w:t>
      </w:r>
      <w:r w:rsidR="00DE2B3D">
        <w:rPr>
          <w:rFonts w:ascii="Verdana" w:hAnsi="Verdana" w:cs="Arial"/>
          <w:sz w:val="18"/>
          <w:szCs w:val="18"/>
        </w:rPr>
        <w:t xml:space="preserve"> </w:t>
      </w:r>
    </w:p>
    <w:p w:rsidR="00974545" w:rsidP="009C2659" w:rsidRDefault="00974545" w14:paraId="36CA4D82" w14:textId="77777777">
      <w:pPr>
        <w:widowControl w:val="0"/>
        <w:tabs>
          <w:tab w:val="num" w:pos="720"/>
        </w:tabs>
        <w:spacing w:line="240" w:lineRule="atLeast"/>
        <w:contextualSpacing/>
        <w:rPr>
          <w:rFonts w:ascii="Verdana" w:hAnsi="Verdana" w:cs="Arial"/>
          <w:sz w:val="18"/>
          <w:szCs w:val="18"/>
        </w:rPr>
      </w:pPr>
    </w:p>
    <w:p w:rsidRPr="007456D5" w:rsidR="00184467" w:rsidP="009C2659" w:rsidRDefault="00184467" w14:paraId="731421D7" w14:textId="365A06F9">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De op vrijwillige basis verstrekte informatie moet worden gepresenteerd in een </w:t>
      </w:r>
      <w:r w:rsidRPr="007456D5">
        <w:rPr>
          <w:rFonts w:ascii="Verdana" w:hAnsi="Verdana" w:cs="Arial"/>
          <w:sz w:val="18"/>
          <w:szCs w:val="18"/>
        </w:rPr>
        <w:lastRenderedPageBreak/>
        <w:t>formaat dat overeenstemt met dat van de informatie die verplicht wordt ingediend</w:t>
      </w:r>
      <w:r w:rsidR="00F91487">
        <w:rPr>
          <w:rFonts w:ascii="Verdana" w:hAnsi="Verdana" w:cs="Arial"/>
          <w:sz w:val="18"/>
          <w:szCs w:val="18"/>
        </w:rPr>
        <w:t>. Tevens dient de vrijwillig verstrekte informatie</w:t>
      </w:r>
      <w:r w:rsidRPr="007456D5">
        <w:rPr>
          <w:rFonts w:ascii="Verdana" w:hAnsi="Verdana" w:cs="Arial"/>
          <w:sz w:val="18"/>
          <w:szCs w:val="18"/>
        </w:rPr>
        <w:t xml:space="preserve"> qua inhoud, waarde, bruikbaarheid en betrouwbaarheid vergelijkbaar</w:t>
      </w:r>
      <w:r w:rsidR="00F91487">
        <w:rPr>
          <w:rFonts w:ascii="Verdana" w:hAnsi="Verdana" w:cs="Arial"/>
          <w:sz w:val="18"/>
          <w:szCs w:val="18"/>
        </w:rPr>
        <w:t xml:space="preserve"> te</w:t>
      </w:r>
      <w:r w:rsidRPr="007456D5">
        <w:rPr>
          <w:rFonts w:ascii="Verdana" w:hAnsi="Verdana" w:cs="Arial"/>
          <w:sz w:val="18"/>
          <w:szCs w:val="18"/>
        </w:rPr>
        <w:t xml:space="preserve"> zijn met die verplichte informatie.</w:t>
      </w:r>
      <w:r w:rsidR="00F91487">
        <w:rPr>
          <w:rFonts w:ascii="Verdana" w:hAnsi="Verdana" w:cs="Arial"/>
          <w:sz w:val="18"/>
          <w:szCs w:val="18"/>
        </w:rPr>
        <w:t xml:space="preserve"> Marketinginformatie valt hier niet onder. </w:t>
      </w:r>
      <w:r w:rsidR="008B5C1F">
        <w:rPr>
          <w:rFonts w:ascii="Verdana" w:hAnsi="Verdana" w:cs="Arial"/>
          <w:sz w:val="18"/>
          <w:szCs w:val="18"/>
        </w:rPr>
        <w:t>Verzamelende instanties zullen ook bij vrijwillig</w:t>
      </w:r>
      <w:r w:rsidR="007358A1">
        <w:rPr>
          <w:rFonts w:ascii="Verdana" w:hAnsi="Verdana" w:cs="Arial"/>
          <w:sz w:val="18"/>
          <w:szCs w:val="18"/>
        </w:rPr>
        <w:t xml:space="preserve"> ingediend</w:t>
      </w:r>
      <w:r w:rsidR="008B5C1F">
        <w:rPr>
          <w:rFonts w:ascii="Verdana" w:hAnsi="Verdana" w:cs="Arial"/>
          <w:sz w:val="18"/>
          <w:szCs w:val="18"/>
        </w:rPr>
        <w:t>e informatie validaties uitvoeren</w:t>
      </w:r>
      <w:r w:rsidRPr="00F91487" w:rsidR="00F91487">
        <w:rPr>
          <w:rFonts w:ascii="Verdana" w:hAnsi="Verdana"/>
          <w:sz w:val="18"/>
          <w:szCs w:val="18"/>
        </w:rPr>
        <w:t xml:space="preserve"> </w:t>
      </w:r>
      <w:r w:rsidRPr="00C938C0" w:rsidR="00F91487">
        <w:rPr>
          <w:rFonts w:ascii="Verdana" w:hAnsi="Verdana"/>
          <w:sz w:val="18"/>
          <w:szCs w:val="18"/>
        </w:rPr>
        <w:t>om na te gaan of de informatie is ingediend in het juiste format en voorzien is van de voorgeschreven metadata</w:t>
      </w:r>
      <w:r w:rsidR="00F91487">
        <w:rPr>
          <w:rFonts w:ascii="Verdana" w:hAnsi="Verdana"/>
          <w:sz w:val="18"/>
          <w:szCs w:val="18"/>
        </w:rPr>
        <w:t xml:space="preserve">. Deze validaties zullen geen betrekking hebben op </w:t>
      </w:r>
      <w:r w:rsidR="008B5C1F">
        <w:rPr>
          <w:rFonts w:ascii="Verdana" w:hAnsi="Verdana" w:cs="Arial"/>
          <w:sz w:val="18"/>
          <w:szCs w:val="18"/>
        </w:rPr>
        <w:t>de inhoud van de informatie.</w:t>
      </w:r>
    </w:p>
    <w:p w:rsidRPr="007456D5" w:rsidR="004507C8" w:rsidP="009C2659" w:rsidRDefault="004507C8" w14:paraId="48D8DC40" w14:textId="77777777">
      <w:pPr>
        <w:widowControl w:val="0"/>
        <w:tabs>
          <w:tab w:val="num" w:pos="720"/>
        </w:tabs>
        <w:spacing w:line="240" w:lineRule="atLeast"/>
        <w:contextualSpacing/>
        <w:rPr>
          <w:rFonts w:ascii="Verdana" w:hAnsi="Verdana" w:cs="Arial"/>
          <w:sz w:val="18"/>
          <w:szCs w:val="18"/>
        </w:rPr>
      </w:pPr>
    </w:p>
    <w:p w:rsidRPr="007456D5" w:rsidR="004507C8" w:rsidP="009C2659" w:rsidRDefault="004507C8" w14:paraId="35F7719F" w14:textId="2E62D2DD">
      <w:pPr>
        <w:widowControl w:val="0"/>
        <w:spacing w:line="240" w:lineRule="atLeast"/>
        <w:contextualSpacing/>
        <w:rPr>
          <w:rFonts w:ascii="Verdana" w:hAnsi="Verdana" w:cs="Arial"/>
          <w:i/>
          <w:iCs/>
          <w:sz w:val="18"/>
          <w:szCs w:val="18"/>
        </w:rPr>
      </w:pPr>
      <w:r w:rsidRPr="007456D5">
        <w:rPr>
          <w:rFonts w:ascii="Verdana" w:hAnsi="Verdana" w:cs="Arial"/>
          <w:i/>
          <w:iCs/>
          <w:sz w:val="18"/>
          <w:szCs w:val="18"/>
        </w:rPr>
        <w:t>§</w:t>
      </w:r>
      <w:r w:rsidRPr="007456D5" w:rsidR="00C63604">
        <w:rPr>
          <w:rFonts w:ascii="Verdana" w:hAnsi="Verdana" w:cs="Arial"/>
          <w:i/>
          <w:iCs/>
          <w:sz w:val="18"/>
          <w:szCs w:val="18"/>
        </w:rPr>
        <w:t xml:space="preserve"> 3.</w:t>
      </w:r>
      <w:r w:rsidR="006B4E19">
        <w:rPr>
          <w:rFonts w:ascii="Verdana" w:hAnsi="Verdana" w:cs="Arial"/>
          <w:i/>
          <w:iCs/>
          <w:sz w:val="18"/>
          <w:szCs w:val="18"/>
        </w:rPr>
        <w:t>4</w:t>
      </w:r>
      <w:r w:rsidRPr="007456D5" w:rsidR="00C63604">
        <w:rPr>
          <w:rFonts w:ascii="Verdana" w:hAnsi="Verdana" w:cs="Arial"/>
          <w:i/>
          <w:iCs/>
          <w:sz w:val="18"/>
          <w:szCs w:val="18"/>
        </w:rPr>
        <w:t>.</w:t>
      </w:r>
      <w:r w:rsidRPr="007456D5">
        <w:rPr>
          <w:rFonts w:ascii="Verdana" w:hAnsi="Verdana" w:cs="Arial"/>
          <w:i/>
          <w:iCs/>
          <w:sz w:val="18"/>
          <w:szCs w:val="18"/>
        </w:rPr>
        <w:t xml:space="preserve"> </w:t>
      </w:r>
      <w:r w:rsidR="00E5408B">
        <w:rPr>
          <w:rFonts w:ascii="Verdana" w:hAnsi="Verdana" w:cs="Arial"/>
          <w:i/>
          <w:iCs/>
          <w:sz w:val="18"/>
          <w:szCs w:val="18"/>
        </w:rPr>
        <w:t>Enige l</w:t>
      </w:r>
      <w:r w:rsidRPr="007456D5">
        <w:rPr>
          <w:rFonts w:ascii="Verdana" w:hAnsi="Verdana" w:cs="Arial"/>
          <w:i/>
          <w:iCs/>
          <w:sz w:val="18"/>
          <w:szCs w:val="18"/>
        </w:rPr>
        <w:t>idstaatoptie</w:t>
      </w:r>
      <w:r w:rsidRPr="007456D5" w:rsidR="00D9572C">
        <w:rPr>
          <w:rFonts w:ascii="Verdana" w:hAnsi="Verdana" w:cs="Arial"/>
          <w:i/>
          <w:iCs/>
          <w:sz w:val="18"/>
          <w:szCs w:val="18"/>
        </w:rPr>
        <w:t>: gekwalificeerd elektronisch zegel</w:t>
      </w:r>
    </w:p>
    <w:p w:rsidRPr="007456D5" w:rsidR="00184467" w:rsidP="009C2659" w:rsidRDefault="00184467" w14:paraId="3654DC66" w14:textId="77777777">
      <w:pPr>
        <w:widowControl w:val="0"/>
        <w:spacing w:line="240" w:lineRule="atLeast"/>
        <w:contextualSpacing/>
        <w:rPr>
          <w:rFonts w:ascii="Verdana" w:hAnsi="Verdana"/>
          <w:bCs/>
          <w:sz w:val="18"/>
          <w:szCs w:val="18"/>
        </w:rPr>
      </w:pPr>
    </w:p>
    <w:p w:rsidRPr="007456D5" w:rsidR="004507C8" w:rsidP="009C2659" w:rsidRDefault="00724258" w14:paraId="4B154B50" w14:textId="6A9E1DCF">
      <w:pPr>
        <w:widowControl w:val="0"/>
        <w:spacing w:line="240" w:lineRule="atLeast"/>
        <w:contextualSpacing/>
        <w:rPr>
          <w:rFonts w:ascii="Verdana" w:hAnsi="Verdana"/>
          <w:bCs/>
          <w:sz w:val="18"/>
          <w:szCs w:val="18"/>
        </w:rPr>
      </w:pPr>
      <w:r w:rsidRPr="007456D5">
        <w:rPr>
          <w:rFonts w:ascii="Verdana" w:hAnsi="Verdana"/>
          <w:bCs/>
          <w:sz w:val="18"/>
          <w:szCs w:val="18"/>
        </w:rPr>
        <w:t xml:space="preserve">Artikel 5, negende lid, van de verordening oprichting ESAP biedt ruimte aan lidstaten om </w:t>
      </w:r>
      <w:r w:rsidRPr="007456D5" w:rsidR="004507C8">
        <w:rPr>
          <w:rFonts w:ascii="Verdana" w:hAnsi="Verdana" w:cs="Arial"/>
          <w:sz w:val="18"/>
          <w:szCs w:val="18"/>
        </w:rPr>
        <w:t xml:space="preserve">toe te staan dat verzamelende instanties </w:t>
      </w:r>
      <w:r w:rsidRPr="007456D5">
        <w:rPr>
          <w:rFonts w:ascii="Verdana" w:hAnsi="Verdana" w:cs="Arial"/>
          <w:sz w:val="18"/>
          <w:szCs w:val="18"/>
        </w:rPr>
        <w:t>kunnen</w:t>
      </w:r>
      <w:r w:rsidRPr="007456D5" w:rsidR="004507C8">
        <w:rPr>
          <w:rFonts w:ascii="Verdana" w:hAnsi="Verdana" w:cs="Arial"/>
          <w:sz w:val="18"/>
          <w:szCs w:val="18"/>
        </w:rPr>
        <w:t xml:space="preserve"> eisen dat de door </w:t>
      </w:r>
      <w:r w:rsidRPr="007456D5" w:rsidR="003866F1">
        <w:rPr>
          <w:rFonts w:ascii="Verdana" w:hAnsi="Verdana" w:cs="Arial"/>
          <w:sz w:val="18"/>
          <w:szCs w:val="18"/>
        </w:rPr>
        <w:t>ondernemingen</w:t>
      </w:r>
      <w:r w:rsidRPr="007456D5" w:rsidR="004507C8">
        <w:rPr>
          <w:rFonts w:ascii="Verdana" w:hAnsi="Verdana" w:cs="Arial"/>
          <w:sz w:val="18"/>
          <w:szCs w:val="18"/>
        </w:rPr>
        <w:t xml:space="preserve"> ingediende informatie die toegankelijk moet worden gemaakt op </w:t>
      </w:r>
      <w:r w:rsidR="00B9660D">
        <w:rPr>
          <w:rFonts w:ascii="Verdana" w:hAnsi="Verdana" w:cs="Arial"/>
          <w:sz w:val="18"/>
          <w:szCs w:val="18"/>
        </w:rPr>
        <w:t xml:space="preserve">het </w:t>
      </w:r>
      <w:r w:rsidRPr="007456D5" w:rsidR="009B3432">
        <w:rPr>
          <w:rFonts w:ascii="Verdana" w:hAnsi="Verdana" w:cs="Arial"/>
          <w:sz w:val="18"/>
          <w:szCs w:val="18"/>
        </w:rPr>
        <w:t>ESAP</w:t>
      </w:r>
      <w:r w:rsidRPr="007456D5" w:rsidR="004507C8">
        <w:rPr>
          <w:rFonts w:ascii="Verdana" w:hAnsi="Verdana" w:cs="Arial"/>
          <w:sz w:val="18"/>
          <w:szCs w:val="18"/>
        </w:rPr>
        <w:t>, vergezeld gaat van een gekwalificeerd elektronisch zegel</w:t>
      </w:r>
      <w:r w:rsidRPr="007456D5">
        <w:rPr>
          <w:rFonts w:ascii="Verdana" w:hAnsi="Verdana" w:cs="Arial"/>
          <w:sz w:val="18"/>
          <w:szCs w:val="18"/>
        </w:rPr>
        <w:t>.</w:t>
      </w:r>
      <w:r w:rsidRPr="007456D5" w:rsidR="00A34129">
        <w:rPr>
          <w:rStyle w:val="Voetnootmarkering"/>
          <w:rFonts w:ascii="Verdana" w:hAnsi="Verdana" w:cs="Arial"/>
          <w:sz w:val="18"/>
          <w:szCs w:val="18"/>
        </w:rPr>
        <w:footnoteReference w:id="4"/>
      </w:r>
      <w:r w:rsidRPr="007456D5" w:rsidR="004507C8">
        <w:rPr>
          <w:rFonts w:ascii="Verdana" w:hAnsi="Verdana" w:cs="Arial"/>
          <w:sz w:val="18"/>
          <w:szCs w:val="18"/>
        </w:rPr>
        <w:t xml:space="preserve"> </w:t>
      </w:r>
      <w:r w:rsidRPr="007456D5">
        <w:rPr>
          <w:rFonts w:ascii="Verdana" w:hAnsi="Verdana" w:cs="Arial"/>
          <w:sz w:val="18"/>
          <w:szCs w:val="18"/>
        </w:rPr>
        <w:t xml:space="preserve">Er zal geen gebruik worden gemaakt van deze </w:t>
      </w:r>
      <w:r w:rsidRPr="007456D5" w:rsidR="004507C8">
        <w:rPr>
          <w:rFonts w:ascii="Verdana" w:hAnsi="Verdana" w:cs="Arial"/>
          <w:sz w:val="18"/>
          <w:szCs w:val="18"/>
        </w:rPr>
        <w:t>lidstaatoptie</w:t>
      </w:r>
      <w:r w:rsidRPr="007456D5" w:rsidR="00AD2816">
        <w:rPr>
          <w:rFonts w:ascii="Verdana" w:hAnsi="Verdana" w:cs="Arial"/>
          <w:sz w:val="18"/>
          <w:szCs w:val="18"/>
        </w:rPr>
        <w:t xml:space="preserve"> aangezien het voorschrijven van een gekwalificeerd elektronisch zegel extra regeldruk voor het bedrijfsleven zal betekenen en ook weinig toegevoegde waarde </w:t>
      </w:r>
      <w:r w:rsidRPr="007456D5" w:rsidR="00F02F59">
        <w:rPr>
          <w:rFonts w:ascii="Verdana" w:hAnsi="Verdana" w:cs="Arial"/>
          <w:sz w:val="18"/>
          <w:szCs w:val="18"/>
        </w:rPr>
        <w:t>lijkt te hebben</w:t>
      </w:r>
      <w:r w:rsidRPr="007456D5" w:rsidR="004507C8">
        <w:rPr>
          <w:rFonts w:ascii="Verdana" w:hAnsi="Verdana" w:cs="Arial"/>
          <w:sz w:val="18"/>
          <w:szCs w:val="18"/>
        </w:rPr>
        <w:t xml:space="preserve">. </w:t>
      </w:r>
      <w:r w:rsidRPr="007456D5" w:rsidR="00AD2816">
        <w:rPr>
          <w:rFonts w:ascii="Verdana" w:hAnsi="Verdana" w:cs="Arial"/>
          <w:sz w:val="18"/>
          <w:szCs w:val="18"/>
        </w:rPr>
        <w:t>O</w:t>
      </w:r>
      <w:r w:rsidRPr="007456D5" w:rsidR="004D67B4">
        <w:rPr>
          <w:rFonts w:ascii="Verdana" w:hAnsi="Verdana" w:cs="Arial"/>
          <w:sz w:val="18"/>
          <w:szCs w:val="18"/>
        </w:rPr>
        <w:t xml:space="preserve">ndernemingen </w:t>
      </w:r>
      <w:r w:rsidRPr="007456D5" w:rsidR="00AD2816">
        <w:rPr>
          <w:rFonts w:ascii="Verdana" w:hAnsi="Verdana" w:cs="Arial"/>
          <w:sz w:val="18"/>
          <w:szCs w:val="18"/>
        </w:rPr>
        <w:t>kunnen wel vrijwillig de</w:t>
      </w:r>
      <w:r w:rsidRPr="007456D5" w:rsidR="004D67B4">
        <w:rPr>
          <w:rFonts w:ascii="Verdana" w:hAnsi="Verdana" w:cs="Arial"/>
          <w:sz w:val="18"/>
          <w:szCs w:val="18"/>
        </w:rPr>
        <w:t xml:space="preserve"> informatie met een gekwalificeerd elektronisch zegel aa</w:t>
      </w:r>
      <w:r w:rsidRPr="007456D5" w:rsidR="00AD2816">
        <w:rPr>
          <w:rFonts w:ascii="Verdana" w:hAnsi="Verdana" w:cs="Arial"/>
          <w:sz w:val="18"/>
          <w:szCs w:val="18"/>
        </w:rPr>
        <w:t>n</w:t>
      </w:r>
      <w:r w:rsidRPr="007456D5" w:rsidR="004D67B4">
        <w:rPr>
          <w:rFonts w:ascii="Verdana" w:hAnsi="Verdana" w:cs="Arial"/>
          <w:sz w:val="18"/>
          <w:szCs w:val="18"/>
        </w:rPr>
        <w:t>leveren</w:t>
      </w:r>
      <w:r w:rsidRPr="007456D5" w:rsidR="00AD2816">
        <w:rPr>
          <w:rFonts w:ascii="Verdana" w:hAnsi="Verdana" w:cs="Arial"/>
          <w:sz w:val="18"/>
          <w:szCs w:val="18"/>
        </w:rPr>
        <w:t xml:space="preserve"> bij</w:t>
      </w:r>
      <w:r w:rsidRPr="007456D5" w:rsidR="001018FC">
        <w:rPr>
          <w:rFonts w:ascii="Verdana" w:hAnsi="Verdana" w:cs="Arial"/>
          <w:sz w:val="18"/>
          <w:szCs w:val="18"/>
        </w:rPr>
        <w:t xml:space="preserve"> </w:t>
      </w:r>
      <w:r w:rsidRPr="007456D5" w:rsidR="00F02F59">
        <w:rPr>
          <w:rFonts w:ascii="Verdana" w:hAnsi="Verdana" w:cs="Arial"/>
          <w:sz w:val="18"/>
          <w:szCs w:val="18"/>
        </w:rPr>
        <w:t xml:space="preserve">de </w:t>
      </w:r>
      <w:r w:rsidRPr="007456D5" w:rsidR="00AD2816">
        <w:rPr>
          <w:rFonts w:ascii="Verdana" w:hAnsi="Verdana" w:cs="Arial"/>
          <w:sz w:val="18"/>
          <w:szCs w:val="18"/>
        </w:rPr>
        <w:t>verzamelende instanties</w:t>
      </w:r>
      <w:r w:rsidRPr="007456D5" w:rsidR="004D67B4">
        <w:rPr>
          <w:rFonts w:ascii="Verdana" w:hAnsi="Verdana" w:cs="Arial"/>
          <w:sz w:val="18"/>
          <w:szCs w:val="18"/>
        </w:rPr>
        <w:t>.</w:t>
      </w:r>
    </w:p>
    <w:p w:rsidRPr="007456D5" w:rsidR="00F02F59" w:rsidP="009C2659" w:rsidRDefault="00F02F59" w14:paraId="76E7BE16" w14:textId="77777777">
      <w:pPr>
        <w:widowControl w:val="0"/>
        <w:tabs>
          <w:tab w:val="num" w:pos="720"/>
        </w:tabs>
        <w:spacing w:line="240" w:lineRule="atLeast"/>
        <w:contextualSpacing/>
        <w:rPr>
          <w:rFonts w:ascii="Verdana" w:hAnsi="Verdana" w:cs="Arial"/>
          <w:sz w:val="18"/>
          <w:szCs w:val="18"/>
        </w:rPr>
      </w:pPr>
    </w:p>
    <w:p w:rsidRPr="007456D5" w:rsidR="00C01752" w:rsidP="009C2659" w:rsidRDefault="00C01752" w14:paraId="1CF95FC3" w14:textId="7A31F93C">
      <w:pPr>
        <w:widowControl w:val="0"/>
        <w:tabs>
          <w:tab w:val="num" w:pos="720"/>
        </w:tabs>
        <w:spacing w:line="240" w:lineRule="atLeast"/>
        <w:contextualSpacing/>
        <w:rPr>
          <w:rFonts w:ascii="Verdana" w:hAnsi="Verdana" w:cs="Arial"/>
          <w:i/>
          <w:iCs/>
          <w:sz w:val="18"/>
          <w:szCs w:val="18"/>
        </w:rPr>
      </w:pPr>
      <w:r w:rsidRPr="007456D5">
        <w:rPr>
          <w:rFonts w:ascii="Verdana" w:hAnsi="Verdana" w:cs="Arial"/>
          <w:i/>
          <w:iCs/>
          <w:sz w:val="18"/>
          <w:szCs w:val="18"/>
        </w:rPr>
        <w:t>§</w:t>
      </w:r>
      <w:r w:rsidR="00874DAE">
        <w:rPr>
          <w:rFonts w:ascii="Verdana" w:hAnsi="Verdana" w:cs="Arial"/>
          <w:i/>
          <w:iCs/>
          <w:sz w:val="18"/>
          <w:szCs w:val="18"/>
        </w:rPr>
        <w:t xml:space="preserve"> </w:t>
      </w:r>
      <w:r w:rsidRPr="007456D5" w:rsidR="00C63604">
        <w:rPr>
          <w:rFonts w:ascii="Verdana" w:hAnsi="Verdana" w:cs="Arial"/>
          <w:i/>
          <w:iCs/>
          <w:sz w:val="18"/>
          <w:szCs w:val="18"/>
        </w:rPr>
        <w:t>4</w:t>
      </w:r>
      <w:r w:rsidRPr="007456D5">
        <w:rPr>
          <w:rFonts w:ascii="Verdana" w:hAnsi="Verdana" w:cs="Arial"/>
          <w:i/>
          <w:iCs/>
          <w:sz w:val="18"/>
          <w:szCs w:val="18"/>
        </w:rPr>
        <w:t>. Gevolgen voor het bedrijfsleven</w:t>
      </w:r>
    </w:p>
    <w:p w:rsidRPr="007456D5" w:rsidR="00E31910" w:rsidP="009C2659" w:rsidRDefault="00E31910" w14:paraId="37420CD9" w14:textId="77777777">
      <w:pPr>
        <w:widowControl w:val="0"/>
        <w:tabs>
          <w:tab w:val="num" w:pos="720"/>
        </w:tabs>
        <w:spacing w:line="240" w:lineRule="atLeast"/>
        <w:contextualSpacing/>
        <w:rPr>
          <w:rFonts w:ascii="Verdana" w:hAnsi="Verdana" w:eastAsia="Calibri"/>
          <w:i/>
          <w:iCs/>
          <w:sz w:val="18"/>
          <w:szCs w:val="18"/>
        </w:rPr>
      </w:pPr>
    </w:p>
    <w:p w:rsidRPr="007456D5" w:rsidR="00F02F59" w:rsidP="009C2659" w:rsidRDefault="00E31910" w14:paraId="3534FEBB" w14:textId="3F47EC3D">
      <w:pPr>
        <w:widowControl w:val="0"/>
        <w:tabs>
          <w:tab w:val="num" w:pos="720"/>
        </w:tabs>
        <w:spacing w:line="240" w:lineRule="atLeast"/>
        <w:contextualSpacing/>
        <w:rPr>
          <w:rFonts w:ascii="Verdana" w:hAnsi="Verdana" w:eastAsia="Calibri"/>
          <w:i/>
          <w:iCs/>
          <w:sz w:val="18"/>
          <w:szCs w:val="18"/>
        </w:rPr>
      </w:pPr>
      <w:r w:rsidRPr="007456D5">
        <w:rPr>
          <w:rFonts w:ascii="Verdana" w:hAnsi="Verdana" w:eastAsia="Calibri"/>
          <w:i/>
          <w:iCs/>
          <w:sz w:val="18"/>
          <w:szCs w:val="18"/>
        </w:rPr>
        <w:t>§ 4.1. Regeldrukgevolgen</w:t>
      </w:r>
    </w:p>
    <w:p w:rsidRPr="007456D5" w:rsidR="00184467" w:rsidP="009C2659" w:rsidRDefault="00184467" w14:paraId="15F3082F" w14:textId="77777777">
      <w:pPr>
        <w:widowControl w:val="0"/>
        <w:tabs>
          <w:tab w:val="num" w:pos="720"/>
        </w:tabs>
        <w:spacing w:line="240" w:lineRule="atLeast"/>
        <w:contextualSpacing/>
        <w:rPr>
          <w:rFonts w:ascii="Verdana" w:hAnsi="Verdana" w:eastAsia="Calibri"/>
          <w:sz w:val="18"/>
          <w:szCs w:val="18"/>
        </w:rPr>
      </w:pPr>
    </w:p>
    <w:p w:rsidRPr="007456D5" w:rsidR="00422153" w:rsidP="009C2659" w:rsidRDefault="00E31910" w14:paraId="0B399FC6" w14:textId="7098188F">
      <w:pPr>
        <w:widowControl w:val="0"/>
        <w:tabs>
          <w:tab w:val="num" w:pos="720"/>
        </w:tabs>
        <w:spacing w:line="240" w:lineRule="atLeast"/>
        <w:contextualSpacing/>
        <w:rPr>
          <w:rFonts w:ascii="Verdana" w:hAnsi="Verdana"/>
          <w:sz w:val="18"/>
          <w:szCs w:val="18"/>
        </w:rPr>
      </w:pPr>
      <w:r w:rsidRPr="007456D5">
        <w:rPr>
          <w:rFonts w:ascii="Verdana" w:hAnsi="Verdana" w:eastAsia="Calibri"/>
          <w:sz w:val="18"/>
          <w:szCs w:val="18"/>
        </w:rPr>
        <w:t xml:space="preserve">In deze paragraaf wordt ingegaan op de onderdelen in het wetsvoorstel die effect hebben op de regeldrukkosten. Onder regeldrukkosten worden verstaan alle investeringen en inspanningen (uitgedrukt in euro's) die burgers, bedrijven of professionals moeten doen en verrichten om te voldoen aan wet- en regelgeving van de Rijksoverheid. Het gaat hierbij om kosten die voortvloeien uit informatieverplichtingen en inhoudelijke verplichtingen, waaronder aan het toezicht gerelateerde verplichtingen op basis van wet- en regelgeving. </w:t>
      </w:r>
      <w:r w:rsidRPr="007456D5">
        <w:rPr>
          <w:rFonts w:ascii="Verdana" w:hAnsi="Verdana"/>
          <w:sz w:val="18"/>
          <w:szCs w:val="18"/>
        </w:rPr>
        <w:t xml:space="preserve">Dit voorstel van wet is </w:t>
      </w:r>
      <w:r w:rsidRPr="007456D5" w:rsidR="00F02F59">
        <w:rPr>
          <w:rFonts w:ascii="Verdana" w:hAnsi="Verdana"/>
          <w:sz w:val="18"/>
          <w:szCs w:val="18"/>
        </w:rPr>
        <w:t xml:space="preserve">onder andere </w:t>
      </w:r>
      <w:r w:rsidRPr="007456D5">
        <w:rPr>
          <w:rFonts w:ascii="Verdana" w:hAnsi="Verdana"/>
          <w:sz w:val="18"/>
          <w:szCs w:val="18"/>
        </w:rPr>
        <w:t xml:space="preserve">van toepassing op </w:t>
      </w:r>
      <w:r w:rsidRPr="007456D5" w:rsidR="00422153">
        <w:rPr>
          <w:rFonts w:ascii="Verdana" w:hAnsi="Verdana"/>
          <w:sz w:val="18"/>
          <w:szCs w:val="18"/>
        </w:rPr>
        <w:t xml:space="preserve">banken, </w:t>
      </w:r>
      <w:r w:rsidRPr="007456D5" w:rsidR="00991748">
        <w:rPr>
          <w:rFonts w:ascii="Verdana" w:hAnsi="Verdana"/>
          <w:sz w:val="18"/>
          <w:szCs w:val="18"/>
        </w:rPr>
        <w:t xml:space="preserve">beheerders van beleggingsinstellingen en </w:t>
      </w:r>
      <w:proofErr w:type="spellStart"/>
      <w:r w:rsidRPr="007456D5" w:rsidR="00991748">
        <w:rPr>
          <w:rFonts w:ascii="Verdana" w:hAnsi="Verdana"/>
          <w:sz w:val="18"/>
          <w:szCs w:val="18"/>
        </w:rPr>
        <w:t>icbe’s</w:t>
      </w:r>
      <w:proofErr w:type="spellEnd"/>
      <w:r w:rsidRPr="007456D5" w:rsidR="00991748">
        <w:rPr>
          <w:rFonts w:ascii="Verdana" w:hAnsi="Verdana"/>
          <w:sz w:val="18"/>
          <w:szCs w:val="18"/>
        </w:rPr>
        <w:t xml:space="preserve">, </w:t>
      </w:r>
      <w:r w:rsidRPr="007456D5" w:rsidR="00657F4F">
        <w:rPr>
          <w:rFonts w:ascii="Verdana" w:hAnsi="Verdana"/>
          <w:sz w:val="18"/>
          <w:szCs w:val="18"/>
        </w:rPr>
        <w:t xml:space="preserve">beleggingsondernemingen, </w:t>
      </w:r>
      <w:r w:rsidRPr="007456D5" w:rsidR="00422153">
        <w:rPr>
          <w:rFonts w:ascii="Verdana" w:hAnsi="Verdana"/>
          <w:sz w:val="18"/>
          <w:szCs w:val="18"/>
        </w:rPr>
        <w:t>verzekeraars</w:t>
      </w:r>
      <w:r w:rsidRPr="007456D5" w:rsidR="00991748">
        <w:rPr>
          <w:rFonts w:ascii="Verdana" w:hAnsi="Verdana"/>
          <w:sz w:val="18"/>
          <w:szCs w:val="18"/>
        </w:rPr>
        <w:t xml:space="preserve"> en uitgevende instellingen</w:t>
      </w:r>
      <w:r w:rsidRPr="007456D5">
        <w:rPr>
          <w:rFonts w:ascii="Verdana" w:hAnsi="Verdana"/>
          <w:sz w:val="18"/>
          <w:szCs w:val="18"/>
        </w:rPr>
        <w:t xml:space="preserve">. De gehanteerde cijfers zijn gebaseerd op gegevens uit de openbare Wft-registers met betrekking tot onder toezicht staande ondernemingen. </w:t>
      </w:r>
      <w:r w:rsidRPr="007456D5" w:rsidR="00991228">
        <w:rPr>
          <w:rFonts w:ascii="Verdana" w:hAnsi="Verdana"/>
          <w:sz w:val="18"/>
          <w:szCs w:val="18"/>
        </w:rPr>
        <w:t>Het gaat om 35 banken, 15 beheerders van een icbe, 5</w:t>
      </w:r>
      <w:r w:rsidRPr="007456D5" w:rsidR="001D695A">
        <w:rPr>
          <w:rFonts w:ascii="Verdana" w:hAnsi="Verdana"/>
          <w:sz w:val="18"/>
          <w:szCs w:val="18"/>
        </w:rPr>
        <w:t>27</w:t>
      </w:r>
      <w:r w:rsidRPr="007456D5" w:rsidR="00991228">
        <w:rPr>
          <w:rFonts w:ascii="Verdana" w:hAnsi="Verdana"/>
          <w:sz w:val="18"/>
          <w:szCs w:val="18"/>
        </w:rPr>
        <w:t xml:space="preserve"> beleggingsondernemingen, </w:t>
      </w:r>
      <w:r w:rsidRPr="007456D5" w:rsidR="001D695A">
        <w:rPr>
          <w:rFonts w:ascii="Verdana" w:hAnsi="Verdana"/>
          <w:sz w:val="18"/>
          <w:szCs w:val="18"/>
        </w:rPr>
        <w:t xml:space="preserve">12 beleggingsondernemingen met SI, 1 marktexploitant met handel in grondstoffenderivaten, emissierechten of van emissierechten afgeleide instrumenten, 6 bieders van een openbaar bod, 12 entiteiten als bedoeld in artikel 3A:63a, eerste lid, Wft, </w:t>
      </w:r>
      <w:r w:rsidRPr="007456D5" w:rsidR="00991228">
        <w:rPr>
          <w:rFonts w:ascii="Verdana" w:hAnsi="Verdana"/>
          <w:sz w:val="18"/>
          <w:szCs w:val="18"/>
        </w:rPr>
        <w:t>1</w:t>
      </w:r>
      <w:r w:rsidRPr="007456D5" w:rsidR="001D695A">
        <w:rPr>
          <w:rFonts w:ascii="Verdana" w:hAnsi="Verdana"/>
          <w:sz w:val="18"/>
          <w:szCs w:val="18"/>
        </w:rPr>
        <w:t>2</w:t>
      </w:r>
      <w:r w:rsidRPr="007456D5" w:rsidR="00991228">
        <w:rPr>
          <w:rFonts w:ascii="Verdana" w:hAnsi="Verdana"/>
          <w:sz w:val="18"/>
          <w:szCs w:val="18"/>
        </w:rPr>
        <w:t xml:space="preserve"> exploitanten van een handelsplatform, 3 gereglementeerde entiteiten, 199 institutionele beleggers en vermogensbeheerders</w:t>
      </w:r>
      <w:r w:rsidRPr="007456D5" w:rsidR="00D06D8F">
        <w:rPr>
          <w:rFonts w:ascii="Verdana" w:hAnsi="Verdana"/>
          <w:sz w:val="18"/>
          <w:szCs w:val="18"/>
        </w:rPr>
        <w:t xml:space="preserve">, 68 marketmakers, </w:t>
      </w:r>
      <w:r w:rsidRPr="007456D5" w:rsidR="001D695A">
        <w:rPr>
          <w:rFonts w:ascii="Verdana" w:hAnsi="Verdana"/>
          <w:sz w:val="18"/>
          <w:szCs w:val="18"/>
        </w:rPr>
        <w:t xml:space="preserve">5 marktexploitanten, </w:t>
      </w:r>
      <w:r w:rsidRPr="007456D5" w:rsidR="00D06D8F">
        <w:rPr>
          <w:rFonts w:ascii="Verdana" w:hAnsi="Verdana"/>
          <w:sz w:val="18"/>
          <w:szCs w:val="18"/>
        </w:rPr>
        <w:t>61 moederondernemingen, 211 verzekeraars en 124 uitgevende instellingen</w:t>
      </w:r>
      <w:r w:rsidRPr="007456D5" w:rsidR="00991228">
        <w:rPr>
          <w:rFonts w:ascii="Verdana" w:hAnsi="Verdana"/>
          <w:sz w:val="18"/>
          <w:szCs w:val="18"/>
        </w:rPr>
        <w:t xml:space="preserve">. </w:t>
      </w:r>
      <w:r w:rsidRPr="007456D5" w:rsidR="00991748">
        <w:rPr>
          <w:rFonts w:ascii="Verdana" w:hAnsi="Verdana"/>
          <w:sz w:val="18"/>
          <w:szCs w:val="18"/>
        </w:rPr>
        <w:t>In totaal gaat het</w:t>
      </w:r>
      <w:r w:rsidRPr="007456D5" w:rsidR="00643D1E">
        <w:rPr>
          <w:rFonts w:ascii="Verdana" w:hAnsi="Verdana"/>
          <w:sz w:val="18"/>
          <w:szCs w:val="18"/>
        </w:rPr>
        <w:t xml:space="preserve"> wat deze categorieën ondernemingen betreft </w:t>
      </w:r>
      <w:r w:rsidRPr="007456D5" w:rsidR="00991748">
        <w:rPr>
          <w:rFonts w:ascii="Verdana" w:hAnsi="Verdana"/>
          <w:sz w:val="18"/>
          <w:szCs w:val="18"/>
        </w:rPr>
        <w:t xml:space="preserve">om </w:t>
      </w:r>
      <w:r w:rsidRPr="007456D5" w:rsidR="00643D1E">
        <w:rPr>
          <w:rFonts w:ascii="Verdana" w:hAnsi="Verdana"/>
          <w:sz w:val="18"/>
          <w:szCs w:val="18"/>
        </w:rPr>
        <w:t xml:space="preserve">ongeveer </w:t>
      </w:r>
      <w:r w:rsidRPr="007456D5" w:rsidR="00991748">
        <w:rPr>
          <w:rFonts w:ascii="Verdana" w:hAnsi="Verdana"/>
          <w:sz w:val="18"/>
          <w:szCs w:val="18"/>
        </w:rPr>
        <w:t>1</w:t>
      </w:r>
      <w:r w:rsidRPr="007456D5" w:rsidR="00B047BD">
        <w:rPr>
          <w:rFonts w:ascii="Verdana" w:hAnsi="Verdana"/>
          <w:sz w:val="18"/>
          <w:szCs w:val="18"/>
        </w:rPr>
        <w:t>.</w:t>
      </w:r>
      <w:r w:rsidRPr="007456D5" w:rsidR="00991748">
        <w:rPr>
          <w:rFonts w:ascii="Verdana" w:hAnsi="Verdana"/>
          <w:sz w:val="18"/>
          <w:szCs w:val="18"/>
        </w:rPr>
        <w:t>2</w:t>
      </w:r>
      <w:r w:rsidRPr="007456D5" w:rsidR="00B047BD">
        <w:rPr>
          <w:rFonts w:ascii="Verdana" w:hAnsi="Verdana"/>
          <w:sz w:val="18"/>
          <w:szCs w:val="18"/>
        </w:rPr>
        <w:t>79</w:t>
      </w:r>
      <w:r w:rsidRPr="007456D5" w:rsidR="00991748">
        <w:rPr>
          <w:rFonts w:ascii="Verdana" w:hAnsi="Verdana"/>
          <w:sz w:val="18"/>
          <w:szCs w:val="18"/>
        </w:rPr>
        <w:t xml:space="preserve"> </w:t>
      </w:r>
      <w:r w:rsidRPr="007456D5" w:rsidR="003866F1">
        <w:rPr>
          <w:rFonts w:ascii="Verdana" w:hAnsi="Verdana"/>
          <w:sz w:val="18"/>
          <w:szCs w:val="18"/>
        </w:rPr>
        <w:t>ondernemingen</w:t>
      </w:r>
      <w:r w:rsidRPr="007456D5" w:rsidR="00991748">
        <w:rPr>
          <w:rFonts w:ascii="Verdana" w:hAnsi="Verdana"/>
          <w:sz w:val="18"/>
          <w:szCs w:val="18"/>
        </w:rPr>
        <w:t>.</w:t>
      </w:r>
    </w:p>
    <w:p w:rsidRPr="007456D5" w:rsidR="00422153" w:rsidP="009C2659" w:rsidRDefault="00422153" w14:paraId="5D73D8A0" w14:textId="789A25CB">
      <w:pPr>
        <w:widowControl w:val="0"/>
        <w:spacing w:line="240" w:lineRule="atLeast"/>
        <w:contextualSpacing/>
        <w:rPr>
          <w:rFonts w:ascii="Verdana" w:hAnsi="Verdana"/>
          <w:sz w:val="18"/>
          <w:szCs w:val="18"/>
        </w:rPr>
      </w:pPr>
    </w:p>
    <w:p w:rsidRPr="007456D5" w:rsidR="00E54F05" w:rsidP="009C2659" w:rsidRDefault="005639D6" w14:paraId="2F0A3AC1" w14:textId="1AC392F9">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Ondernemingen</w:t>
      </w:r>
      <w:r w:rsidRPr="007456D5" w:rsidR="00E31910">
        <w:rPr>
          <w:rFonts w:ascii="Verdana" w:hAnsi="Verdana" w:cs="Arial"/>
          <w:sz w:val="18"/>
          <w:szCs w:val="18"/>
        </w:rPr>
        <w:t xml:space="preserve"> dienen informatie aan te leveren </w:t>
      </w:r>
      <w:r w:rsidRPr="007456D5" w:rsidR="004507C8">
        <w:rPr>
          <w:rFonts w:ascii="Verdana" w:hAnsi="Verdana" w:cs="Arial"/>
          <w:sz w:val="18"/>
          <w:szCs w:val="18"/>
        </w:rPr>
        <w:t>bij de verzamelende instanties</w:t>
      </w:r>
      <w:r w:rsidRPr="007456D5" w:rsidR="00E31910">
        <w:rPr>
          <w:rFonts w:ascii="Verdana" w:hAnsi="Verdana" w:cs="Arial"/>
          <w:sz w:val="18"/>
          <w:szCs w:val="18"/>
        </w:rPr>
        <w:t>.</w:t>
      </w:r>
      <w:r w:rsidRPr="007456D5" w:rsidR="00E54F05">
        <w:rPr>
          <w:rFonts w:ascii="Verdana" w:hAnsi="Verdana" w:cs="Arial"/>
          <w:sz w:val="18"/>
          <w:szCs w:val="18"/>
        </w:rPr>
        <w:t xml:space="preserve"> Aangezien het gaat om het aanleveren van informatie die de onderneming reeds openbaar dient te maken</w:t>
      </w:r>
      <w:r w:rsidRPr="007456D5" w:rsidR="008746D9">
        <w:rPr>
          <w:rFonts w:ascii="Verdana" w:hAnsi="Verdana" w:cs="Arial"/>
          <w:sz w:val="18"/>
          <w:szCs w:val="18"/>
        </w:rPr>
        <w:t>,</w:t>
      </w:r>
      <w:r w:rsidRPr="007456D5" w:rsidR="00E54F05">
        <w:rPr>
          <w:rFonts w:ascii="Verdana" w:hAnsi="Verdana" w:cs="Arial"/>
          <w:sz w:val="18"/>
          <w:szCs w:val="18"/>
        </w:rPr>
        <w:t xml:space="preserve"> zullen de regeldrukkosten beperkt zijn.</w:t>
      </w:r>
      <w:r w:rsidRPr="007456D5" w:rsidR="00E31910">
        <w:rPr>
          <w:rFonts w:ascii="Verdana" w:hAnsi="Verdana" w:cs="Arial"/>
          <w:sz w:val="18"/>
          <w:szCs w:val="18"/>
        </w:rPr>
        <w:t xml:space="preserve"> </w:t>
      </w:r>
      <w:r w:rsidRPr="007456D5" w:rsidR="00E54F05">
        <w:rPr>
          <w:rFonts w:ascii="Verdana" w:hAnsi="Verdana" w:cs="Arial"/>
          <w:sz w:val="18"/>
          <w:szCs w:val="18"/>
        </w:rPr>
        <w:t xml:space="preserve">De jaarlijkse nalevingskosten voor het aanleveren van informatie </w:t>
      </w:r>
      <w:r w:rsidRPr="007456D5" w:rsidR="008746D9">
        <w:rPr>
          <w:rFonts w:ascii="Verdana" w:hAnsi="Verdana" w:cs="Arial"/>
          <w:sz w:val="18"/>
          <w:szCs w:val="18"/>
        </w:rPr>
        <w:t xml:space="preserve">bij de verzamelende instantie </w:t>
      </w:r>
      <w:r w:rsidRPr="007456D5" w:rsidR="00E54F05">
        <w:rPr>
          <w:rFonts w:ascii="Verdana" w:hAnsi="Verdana" w:cs="Arial"/>
          <w:sz w:val="18"/>
          <w:szCs w:val="18"/>
        </w:rPr>
        <w:t xml:space="preserve">worden geschat op € 200 per onderneming. </w:t>
      </w:r>
      <w:r w:rsidRPr="007456D5" w:rsidR="00E31910">
        <w:rPr>
          <w:rFonts w:ascii="Verdana" w:hAnsi="Verdana" w:cs="Arial"/>
          <w:sz w:val="18"/>
          <w:szCs w:val="18"/>
        </w:rPr>
        <w:t xml:space="preserve">Daarnaast dienen ondernemingen </w:t>
      </w:r>
      <w:r w:rsidRPr="007456D5" w:rsidR="004507C8">
        <w:rPr>
          <w:rFonts w:ascii="Verdana" w:hAnsi="Verdana" w:cs="Arial"/>
          <w:sz w:val="18"/>
          <w:szCs w:val="18"/>
        </w:rPr>
        <w:t>een</w:t>
      </w:r>
      <w:r w:rsidRPr="007456D5" w:rsidR="008746D9">
        <w:rPr>
          <w:rFonts w:ascii="Verdana" w:hAnsi="Verdana" w:cs="Arial"/>
          <w:sz w:val="18"/>
          <w:szCs w:val="18"/>
        </w:rPr>
        <w:t xml:space="preserve"> Legal </w:t>
      </w:r>
      <w:proofErr w:type="spellStart"/>
      <w:r w:rsidRPr="007456D5" w:rsidR="008746D9">
        <w:rPr>
          <w:rFonts w:ascii="Verdana" w:hAnsi="Verdana" w:cs="Arial"/>
          <w:sz w:val="18"/>
          <w:szCs w:val="18"/>
        </w:rPr>
        <w:t>Entitiy</w:t>
      </w:r>
      <w:proofErr w:type="spellEnd"/>
      <w:r w:rsidRPr="007456D5" w:rsidR="008746D9">
        <w:rPr>
          <w:rFonts w:ascii="Verdana" w:hAnsi="Verdana" w:cs="Arial"/>
          <w:sz w:val="18"/>
          <w:szCs w:val="18"/>
        </w:rPr>
        <w:t xml:space="preserve"> </w:t>
      </w:r>
      <w:proofErr w:type="spellStart"/>
      <w:r w:rsidRPr="007456D5" w:rsidR="008746D9">
        <w:rPr>
          <w:rFonts w:ascii="Verdana" w:hAnsi="Verdana" w:cs="Arial"/>
          <w:sz w:val="18"/>
          <w:szCs w:val="18"/>
        </w:rPr>
        <w:t>Identifier</w:t>
      </w:r>
      <w:proofErr w:type="spellEnd"/>
      <w:r w:rsidRPr="007456D5" w:rsidR="008746D9">
        <w:rPr>
          <w:rFonts w:ascii="Verdana" w:hAnsi="Verdana" w:cs="Arial"/>
          <w:sz w:val="18"/>
          <w:szCs w:val="18"/>
        </w:rPr>
        <w:t xml:space="preserve"> (</w:t>
      </w:r>
      <w:r w:rsidRPr="007456D5" w:rsidR="004507C8">
        <w:rPr>
          <w:rFonts w:ascii="Verdana" w:hAnsi="Verdana" w:cs="Arial"/>
          <w:sz w:val="18"/>
          <w:szCs w:val="18"/>
        </w:rPr>
        <w:t>LEI</w:t>
      </w:r>
      <w:r w:rsidRPr="007456D5" w:rsidR="008746D9">
        <w:rPr>
          <w:rFonts w:ascii="Verdana" w:hAnsi="Verdana" w:cs="Arial"/>
          <w:sz w:val="18"/>
          <w:szCs w:val="18"/>
        </w:rPr>
        <w:t>)</w:t>
      </w:r>
      <w:r w:rsidRPr="007456D5" w:rsidR="004507C8">
        <w:rPr>
          <w:rFonts w:ascii="Verdana" w:hAnsi="Verdana" w:cs="Arial"/>
          <w:sz w:val="18"/>
          <w:szCs w:val="18"/>
        </w:rPr>
        <w:t xml:space="preserve"> </w:t>
      </w:r>
      <w:r w:rsidRPr="007456D5" w:rsidR="00E31910">
        <w:rPr>
          <w:rFonts w:ascii="Verdana" w:hAnsi="Verdana" w:cs="Arial"/>
          <w:sz w:val="18"/>
          <w:szCs w:val="18"/>
        </w:rPr>
        <w:t>te</w:t>
      </w:r>
      <w:r w:rsidRPr="007456D5" w:rsidR="004507C8">
        <w:rPr>
          <w:rFonts w:ascii="Verdana" w:hAnsi="Verdana" w:cs="Arial"/>
          <w:sz w:val="18"/>
          <w:szCs w:val="18"/>
        </w:rPr>
        <w:t xml:space="preserve"> hebben</w:t>
      </w:r>
      <w:r w:rsidRPr="007456D5" w:rsidR="008746D9">
        <w:rPr>
          <w:rFonts w:ascii="Verdana" w:hAnsi="Verdana" w:cs="Arial"/>
          <w:sz w:val="18"/>
          <w:szCs w:val="18"/>
        </w:rPr>
        <w:t>. De jaarlijkse kos</w:t>
      </w:r>
      <w:r w:rsidRPr="007456D5" w:rsidR="008746D9">
        <w:rPr>
          <w:rFonts w:ascii="Verdana" w:hAnsi="Verdana" w:cs="Arial"/>
          <w:sz w:val="18"/>
          <w:szCs w:val="18"/>
        </w:rPr>
        <w:lastRenderedPageBreak/>
        <w:t>ten voor een LEI bedragen ongeveer € 60 per onderneming.</w:t>
      </w:r>
      <w:r w:rsidRPr="007456D5" w:rsidR="004507C8">
        <w:rPr>
          <w:rFonts w:ascii="Verdana" w:hAnsi="Verdana" w:cs="Arial"/>
          <w:sz w:val="18"/>
          <w:szCs w:val="18"/>
        </w:rPr>
        <w:t xml:space="preserve"> </w:t>
      </w:r>
      <w:r w:rsidRPr="007456D5" w:rsidR="00991748">
        <w:rPr>
          <w:rFonts w:ascii="Verdana" w:hAnsi="Verdana" w:cs="Arial"/>
          <w:sz w:val="18"/>
          <w:szCs w:val="18"/>
        </w:rPr>
        <w:t xml:space="preserve">De </w:t>
      </w:r>
      <w:r w:rsidRPr="007456D5" w:rsidR="00470CAF">
        <w:rPr>
          <w:rFonts w:ascii="Verdana" w:hAnsi="Verdana" w:cs="Arial"/>
          <w:sz w:val="18"/>
          <w:szCs w:val="18"/>
        </w:rPr>
        <w:t>totale structurele regeldrukkosten</w:t>
      </w:r>
      <w:r w:rsidRPr="007456D5" w:rsidR="004507C8">
        <w:rPr>
          <w:rFonts w:ascii="Verdana" w:hAnsi="Verdana" w:cs="Arial"/>
          <w:sz w:val="18"/>
          <w:szCs w:val="18"/>
        </w:rPr>
        <w:t xml:space="preserve"> </w:t>
      </w:r>
      <w:r w:rsidRPr="007456D5" w:rsidR="00470CAF">
        <w:rPr>
          <w:rFonts w:ascii="Verdana" w:hAnsi="Verdana" w:cs="Arial"/>
          <w:sz w:val="18"/>
          <w:szCs w:val="18"/>
        </w:rPr>
        <w:t>per onderneming</w:t>
      </w:r>
      <w:r w:rsidRPr="007456D5" w:rsidR="004507C8">
        <w:rPr>
          <w:rFonts w:ascii="Verdana" w:hAnsi="Verdana" w:cs="Arial"/>
          <w:sz w:val="18"/>
          <w:szCs w:val="18"/>
        </w:rPr>
        <w:t xml:space="preserve"> </w:t>
      </w:r>
      <w:r w:rsidRPr="007456D5" w:rsidR="00991748">
        <w:rPr>
          <w:rFonts w:ascii="Verdana" w:hAnsi="Verdana" w:cs="Arial"/>
          <w:sz w:val="18"/>
          <w:szCs w:val="18"/>
        </w:rPr>
        <w:t xml:space="preserve">worden geschat </w:t>
      </w:r>
      <w:r w:rsidRPr="007456D5" w:rsidR="004507C8">
        <w:rPr>
          <w:rFonts w:ascii="Verdana" w:hAnsi="Verdana" w:cs="Arial"/>
          <w:sz w:val="18"/>
          <w:szCs w:val="18"/>
        </w:rPr>
        <w:t>op ongeveer</w:t>
      </w:r>
      <w:r w:rsidRPr="007456D5" w:rsidR="00E31910">
        <w:rPr>
          <w:rFonts w:ascii="Verdana" w:hAnsi="Verdana" w:cs="Arial"/>
          <w:sz w:val="18"/>
          <w:szCs w:val="18"/>
        </w:rPr>
        <w:t xml:space="preserve"> €</w:t>
      </w:r>
      <w:r w:rsidRPr="007456D5" w:rsidR="004507C8">
        <w:rPr>
          <w:rFonts w:ascii="Verdana" w:hAnsi="Verdana" w:cs="Arial"/>
          <w:sz w:val="18"/>
          <w:szCs w:val="18"/>
        </w:rPr>
        <w:t xml:space="preserve"> </w:t>
      </w:r>
      <w:r w:rsidRPr="007456D5" w:rsidR="00991748">
        <w:rPr>
          <w:rFonts w:ascii="Verdana" w:hAnsi="Verdana" w:cs="Arial"/>
          <w:sz w:val="18"/>
          <w:szCs w:val="18"/>
        </w:rPr>
        <w:t>260</w:t>
      </w:r>
      <w:r w:rsidRPr="007456D5" w:rsidR="00E31910">
        <w:rPr>
          <w:rFonts w:ascii="Verdana" w:hAnsi="Verdana" w:cs="Arial"/>
          <w:sz w:val="18"/>
          <w:szCs w:val="18"/>
        </w:rPr>
        <w:t xml:space="preserve">. </w:t>
      </w:r>
      <w:r w:rsidRPr="007456D5" w:rsidR="00470CAF">
        <w:rPr>
          <w:rFonts w:ascii="Verdana" w:hAnsi="Verdana" w:cs="Arial"/>
          <w:sz w:val="18"/>
          <w:szCs w:val="18"/>
        </w:rPr>
        <w:t xml:space="preserve">De totale structurele regeldrukkosten </w:t>
      </w:r>
      <w:r w:rsidRPr="007456D5" w:rsidR="000C4936">
        <w:rPr>
          <w:rFonts w:ascii="Verdana" w:hAnsi="Verdana" w:cs="Arial"/>
          <w:sz w:val="18"/>
          <w:szCs w:val="18"/>
        </w:rPr>
        <w:t xml:space="preserve">van onder toezicht staande instellingen bij DNB en de AFM </w:t>
      </w:r>
      <w:r w:rsidRPr="007456D5" w:rsidR="00470CAF">
        <w:rPr>
          <w:rFonts w:ascii="Verdana" w:hAnsi="Verdana" w:cs="Arial"/>
          <w:sz w:val="18"/>
          <w:szCs w:val="18"/>
        </w:rPr>
        <w:t xml:space="preserve">zullen naar verwachting </w:t>
      </w:r>
      <w:r w:rsidRPr="007456D5" w:rsidR="0062279E">
        <w:rPr>
          <w:rFonts w:ascii="Verdana" w:hAnsi="Verdana" w:cs="Arial"/>
          <w:sz w:val="18"/>
          <w:szCs w:val="18"/>
        </w:rPr>
        <w:t>1.2</w:t>
      </w:r>
      <w:r w:rsidRPr="007456D5" w:rsidR="00B047BD">
        <w:rPr>
          <w:rFonts w:ascii="Verdana" w:hAnsi="Verdana" w:cs="Arial"/>
          <w:sz w:val="18"/>
          <w:szCs w:val="18"/>
        </w:rPr>
        <w:t>79</w:t>
      </w:r>
      <w:r w:rsidRPr="007456D5" w:rsidR="0062279E">
        <w:rPr>
          <w:rFonts w:ascii="Verdana" w:hAnsi="Verdana" w:cs="Arial"/>
          <w:sz w:val="18"/>
          <w:szCs w:val="18"/>
        </w:rPr>
        <w:t xml:space="preserve"> </w:t>
      </w:r>
      <w:r w:rsidRPr="007456D5" w:rsidR="00470CAF">
        <w:rPr>
          <w:rFonts w:ascii="Verdana" w:hAnsi="Verdana" w:cs="Arial"/>
          <w:sz w:val="18"/>
          <w:szCs w:val="18"/>
        </w:rPr>
        <w:t xml:space="preserve">* € </w:t>
      </w:r>
      <w:r w:rsidRPr="007456D5" w:rsidR="0062279E">
        <w:rPr>
          <w:rFonts w:ascii="Verdana" w:hAnsi="Verdana" w:cs="Arial"/>
          <w:sz w:val="18"/>
          <w:szCs w:val="18"/>
        </w:rPr>
        <w:t>260 = €</w:t>
      </w:r>
      <w:r w:rsidRPr="007456D5" w:rsidR="00D06D8F">
        <w:rPr>
          <w:rFonts w:ascii="Verdana" w:hAnsi="Verdana" w:cs="Arial"/>
          <w:sz w:val="18"/>
          <w:szCs w:val="18"/>
        </w:rPr>
        <w:t xml:space="preserve"> </w:t>
      </w:r>
      <w:r w:rsidRPr="007456D5" w:rsidR="0062279E">
        <w:rPr>
          <w:rFonts w:ascii="Verdana" w:hAnsi="Verdana" w:cs="Arial"/>
          <w:sz w:val="18"/>
          <w:szCs w:val="18"/>
        </w:rPr>
        <w:t>33</w:t>
      </w:r>
      <w:r w:rsidRPr="007456D5" w:rsidR="00B047BD">
        <w:rPr>
          <w:rFonts w:ascii="Verdana" w:hAnsi="Verdana" w:cs="Arial"/>
          <w:sz w:val="18"/>
          <w:szCs w:val="18"/>
        </w:rPr>
        <w:t>2</w:t>
      </w:r>
      <w:r w:rsidRPr="007456D5" w:rsidR="0062279E">
        <w:rPr>
          <w:rFonts w:ascii="Verdana" w:hAnsi="Verdana" w:cs="Arial"/>
          <w:sz w:val="18"/>
          <w:szCs w:val="18"/>
        </w:rPr>
        <w:t>.</w:t>
      </w:r>
      <w:r w:rsidRPr="007456D5" w:rsidR="00B047BD">
        <w:rPr>
          <w:rFonts w:ascii="Verdana" w:hAnsi="Verdana" w:cs="Arial"/>
          <w:sz w:val="18"/>
          <w:szCs w:val="18"/>
        </w:rPr>
        <w:t>540</w:t>
      </w:r>
      <w:r w:rsidRPr="007456D5" w:rsidR="0062279E">
        <w:rPr>
          <w:rFonts w:ascii="Verdana" w:hAnsi="Verdana" w:cs="Arial"/>
          <w:sz w:val="18"/>
          <w:szCs w:val="18"/>
        </w:rPr>
        <w:t xml:space="preserve"> </w:t>
      </w:r>
      <w:r w:rsidRPr="007456D5" w:rsidR="00470CAF">
        <w:rPr>
          <w:rFonts w:ascii="Verdana" w:hAnsi="Verdana" w:cs="Arial"/>
          <w:sz w:val="18"/>
          <w:szCs w:val="18"/>
        </w:rPr>
        <w:t>bedragen.</w:t>
      </w:r>
    </w:p>
    <w:p w:rsidRPr="007456D5" w:rsidR="00BC0F16" w:rsidP="009C2659" w:rsidRDefault="00BC0F16" w14:paraId="047B2588" w14:textId="77777777">
      <w:pPr>
        <w:widowControl w:val="0"/>
        <w:tabs>
          <w:tab w:val="num" w:pos="720"/>
        </w:tabs>
        <w:spacing w:line="240" w:lineRule="atLeast"/>
        <w:contextualSpacing/>
        <w:rPr>
          <w:rFonts w:ascii="Verdana" w:hAnsi="Verdana" w:cs="Arial"/>
          <w:sz w:val="18"/>
          <w:szCs w:val="18"/>
        </w:rPr>
      </w:pPr>
    </w:p>
    <w:p w:rsidRPr="007456D5" w:rsidR="000C4936" w:rsidP="009C2659" w:rsidRDefault="00BC0F16" w14:paraId="04AF548D" w14:textId="5A707BC4">
      <w:pPr>
        <w:widowControl w:val="0"/>
        <w:tabs>
          <w:tab w:val="num" w:pos="720"/>
        </w:tabs>
        <w:spacing w:line="240" w:lineRule="atLeast"/>
        <w:contextualSpacing/>
        <w:rPr>
          <w:rFonts w:ascii="Verdana" w:hAnsi="Verdana"/>
          <w:sz w:val="18"/>
          <w:szCs w:val="18"/>
        </w:rPr>
      </w:pPr>
      <w:r w:rsidRPr="007456D5">
        <w:rPr>
          <w:rFonts w:ascii="Verdana" w:hAnsi="Verdana" w:cs="Arial"/>
          <w:sz w:val="18"/>
          <w:szCs w:val="18"/>
        </w:rPr>
        <w:t xml:space="preserve">Op grond van artikel 33 bis van de richtlijn jaarrekening (artikel 9 </w:t>
      </w:r>
      <w:r w:rsidR="00A65911">
        <w:rPr>
          <w:rFonts w:ascii="Verdana" w:hAnsi="Verdana" w:cs="Arial"/>
          <w:sz w:val="18"/>
          <w:szCs w:val="18"/>
        </w:rPr>
        <w:t>richtlijn ESAP</w:t>
      </w:r>
      <w:r w:rsidRPr="007456D5">
        <w:rPr>
          <w:rFonts w:ascii="Verdana" w:hAnsi="Verdana" w:cs="Arial"/>
          <w:sz w:val="18"/>
          <w:szCs w:val="18"/>
        </w:rPr>
        <w:t xml:space="preserve">) moet ook bepaalde </w:t>
      </w:r>
      <w:r w:rsidRPr="007456D5" w:rsidR="00CC71D1">
        <w:rPr>
          <w:rFonts w:ascii="Verdana" w:hAnsi="Verdana" w:cs="Arial"/>
          <w:sz w:val="18"/>
          <w:szCs w:val="18"/>
        </w:rPr>
        <w:t>jaar</w:t>
      </w:r>
      <w:r w:rsidRPr="007456D5">
        <w:rPr>
          <w:rFonts w:ascii="Verdana" w:hAnsi="Verdana" w:cs="Arial"/>
          <w:sz w:val="18"/>
          <w:szCs w:val="18"/>
        </w:rPr>
        <w:t xml:space="preserve">verslaggeving </w:t>
      </w:r>
      <w:r w:rsidRPr="007456D5" w:rsidR="00CC71D1">
        <w:rPr>
          <w:rFonts w:ascii="Verdana" w:hAnsi="Verdana" w:cs="Arial"/>
          <w:sz w:val="18"/>
          <w:szCs w:val="18"/>
        </w:rPr>
        <w:t xml:space="preserve">van beursvennootschappen en bepaalde grote ondernemingen </w:t>
      </w:r>
      <w:r w:rsidRPr="007456D5">
        <w:rPr>
          <w:rFonts w:ascii="Verdana" w:hAnsi="Verdana" w:cs="Arial"/>
          <w:sz w:val="18"/>
          <w:szCs w:val="18"/>
        </w:rPr>
        <w:t xml:space="preserve">op </w:t>
      </w:r>
      <w:r w:rsidR="00B9660D">
        <w:rPr>
          <w:rFonts w:ascii="Verdana" w:hAnsi="Verdana" w:cs="Arial"/>
          <w:sz w:val="18"/>
          <w:szCs w:val="18"/>
        </w:rPr>
        <w:t xml:space="preserve">het </w:t>
      </w:r>
      <w:r w:rsidRPr="007456D5">
        <w:rPr>
          <w:rFonts w:ascii="Verdana" w:hAnsi="Verdana" w:cs="Arial"/>
          <w:sz w:val="18"/>
          <w:szCs w:val="18"/>
        </w:rPr>
        <w:t xml:space="preserve">ESAP terecht komen. Het gaat onder andere om de jaarrekening, het bestuursverslag, </w:t>
      </w:r>
      <w:r w:rsidRPr="007456D5" w:rsidR="00184EA4">
        <w:rPr>
          <w:rFonts w:ascii="Verdana" w:hAnsi="Verdana" w:cs="Arial"/>
          <w:sz w:val="18"/>
          <w:szCs w:val="18"/>
        </w:rPr>
        <w:t>de duurzaamheidsrapportering</w:t>
      </w:r>
      <w:r w:rsidRPr="007456D5">
        <w:rPr>
          <w:rFonts w:ascii="Verdana" w:hAnsi="Verdana" w:cs="Arial"/>
          <w:sz w:val="18"/>
          <w:szCs w:val="18"/>
        </w:rPr>
        <w:t xml:space="preserve"> en </w:t>
      </w:r>
      <w:r w:rsidR="00207122">
        <w:rPr>
          <w:rFonts w:ascii="Verdana" w:hAnsi="Verdana" w:cs="Arial"/>
          <w:sz w:val="18"/>
          <w:szCs w:val="18"/>
        </w:rPr>
        <w:t xml:space="preserve">daaraan </w:t>
      </w:r>
      <w:r w:rsidRPr="007456D5">
        <w:rPr>
          <w:rFonts w:ascii="Verdana" w:hAnsi="Verdana" w:cs="Arial"/>
          <w:sz w:val="18"/>
          <w:szCs w:val="18"/>
        </w:rPr>
        <w:t xml:space="preserve">gerelateerde accountantsverklaringen. In dit wetsvoorstel wordt de </w:t>
      </w:r>
      <w:r w:rsidR="006E4557">
        <w:rPr>
          <w:rFonts w:ascii="Verdana" w:hAnsi="Verdana" w:cs="Arial"/>
          <w:sz w:val="18"/>
          <w:szCs w:val="18"/>
        </w:rPr>
        <w:t>KvK</w:t>
      </w:r>
      <w:r w:rsidRPr="007456D5">
        <w:rPr>
          <w:rFonts w:ascii="Verdana" w:hAnsi="Verdana" w:cs="Arial"/>
          <w:sz w:val="18"/>
          <w:szCs w:val="18"/>
        </w:rPr>
        <w:t xml:space="preserve"> aangemerkt als verzamelende instantie voor die informatie</w:t>
      </w:r>
      <w:r w:rsidRPr="007456D5" w:rsidR="00247BAB">
        <w:rPr>
          <w:rFonts w:ascii="Verdana" w:hAnsi="Verdana" w:cs="Arial"/>
          <w:sz w:val="18"/>
          <w:szCs w:val="18"/>
        </w:rPr>
        <w:t>, met uitzondering van informatie die op grond van artikel 4:52 van de Wft naar de AFM is gestuurd</w:t>
      </w:r>
      <w:r w:rsidRPr="007456D5">
        <w:rPr>
          <w:rFonts w:ascii="Verdana" w:hAnsi="Verdana" w:cs="Arial"/>
          <w:sz w:val="18"/>
          <w:szCs w:val="18"/>
        </w:rPr>
        <w:t>. De</w:t>
      </w:r>
      <w:r w:rsidRPr="007456D5" w:rsidR="00184EA4">
        <w:rPr>
          <w:rFonts w:ascii="Verdana" w:hAnsi="Verdana" w:cs="Arial"/>
          <w:sz w:val="18"/>
          <w:szCs w:val="18"/>
        </w:rPr>
        <w:t xml:space="preserve"> ESAP-</w:t>
      </w:r>
      <w:r w:rsidRPr="007456D5">
        <w:rPr>
          <w:rFonts w:ascii="Verdana" w:hAnsi="Verdana" w:cs="Arial"/>
          <w:sz w:val="18"/>
          <w:szCs w:val="18"/>
        </w:rPr>
        <w:t xml:space="preserve">verplichting geldt voor ondernemingen die </w:t>
      </w:r>
      <w:r w:rsidRPr="00207122" w:rsidR="00207122">
        <w:rPr>
          <w:rFonts w:ascii="Verdana" w:hAnsi="Verdana" w:cs="Arial"/>
          <w:sz w:val="18"/>
          <w:szCs w:val="18"/>
        </w:rPr>
        <w:t xml:space="preserve">op basis van de </w:t>
      </w:r>
      <w:r w:rsidR="0027157C">
        <w:rPr>
          <w:rFonts w:ascii="Verdana" w:hAnsi="Verdana" w:cs="Arial"/>
          <w:sz w:val="18"/>
          <w:szCs w:val="18"/>
        </w:rPr>
        <w:t>r</w:t>
      </w:r>
      <w:r w:rsidRPr="00207122" w:rsidR="00207122">
        <w:rPr>
          <w:rFonts w:ascii="Verdana" w:hAnsi="Verdana" w:cs="Arial"/>
          <w:sz w:val="18"/>
          <w:szCs w:val="18"/>
        </w:rPr>
        <w:t xml:space="preserve">ichtlijn </w:t>
      </w:r>
      <w:r w:rsidR="0027157C">
        <w:rPr>
          <w:rFonts w:ascii="Verdana" w:hAnsi="Verdana" w:cs="Arial"/>
          <w:sz w:val="18"/>
          <w:szCs w:val="18"/>
        </w:rPr>
        <w:t>d</w:t>
      </w:r>
      <w:r w:rsidRPr="00207122" w:rsidR="00207122">
        <w:rPr>
          <w:rFonts w:ascii="Verdana" w:hAnsi="Verdana" w:cs="Arial"/>
          <w:sz w:val="18"/>
          <w:szCs w:val="18"/>
        </w:rPr>
        <w:t>uurzaamheidsrapportering (</w:t>
      </w:r>
      <w:r w:rsidR="00432F45">
        <w:rPr>
          <w:rFonts w:ascii="Verdana" w:hAnsi="Verdana" w:cs="Arial"/>
          <w:sz w:val="18"/>
          <w:szCs w:val="18"/>
        </w:rPr>
        <w:t xml:space="preserve">hierna: </w:t>
      </w:r>
      <w:r w:rsidRPr="00207122" w:rsidR="00207122">
        <w:rPr>
          <w:rFonts w:ascii="Verdana" w:hAnsi="Verdana" w:cs="Arial"/>
          <w:sz w:val="18"/>
          <w:szCs w:val="18"/>
        </w:rPr>
        <w:t>CSRD)</w:t>
      </w:r>
      <w:r w:rsidRPr="00207122" w:rsidR="00207122">
        <w:rPr>
          <w:rFonts w:ascii="Verdana" w:hAnsi="Verdana" w:cs="Arial"/>
          <w:sz w:val="18"/>
          <w:szCs w:val="18"/>
          <w:vertAlign w:val="superscript"/>
        </w:rPr>
        <w:footnoteReference w:id="5"/>
      </w:r>
      <w:r w:rsidR="00207122">
        <w:rPr>
          <w:rFonts w:ascii="Verdana" w:hAnsi="Verdana" w:cs="Arial"/>
          <w:sz w:val="18"/>
          <w:szCs w:val="18"/>
        </w:rPr>
        <w:t xml:space="preserve"> </w:t>
      </w:r>
      <w:r w:rsidRPr="007456D5">
        <w:rPr>
          <w:rFonts w:ascii="Verdana" w:hAnsi="Verdana" w:cs="Arial"/>
          <w:sz w:val="18"/>
          <w:szCs w:val="18"/>
        </w:rPr>
        <w:t xml:space="preserve">verplicht zijn </w:t>
      </w:r>
      <w:r w:rsidRPr="007456D5">
        <w:rPr>
          <w:rFonts w:ascii="Verdana" w:hAnsi="Verdana"/>
          <w:sz w:val="18"/>
          <w:szCs w:val="18"/>
        </w:rPr>
        <w:t>tot openbaarmaking van een duurzaamheidsrapportering of een verslag inzake de duurzaamheid</w:t>
      </w:r>
      <w:r w:rsidRPr="007456D5" w:rsidR="000C4936">
        <w:rPr>
          <w:rFonts w:ascii="Verdana" w:hAnsi="Verdana"/>
          <w:sz w:val="18"/>
          <w:szCs w:val="18"/>
        </w:rPr>
        <w:t xml:space="preserve">. </w:t>
      </w:r>
      <w:r w:rsidR="00146025">
        <w:rPr>
          <w:rFonts w:ascii="Verdana" w:hAnsi="Verdana"/>
          <w:sz w:val="18"/>
          <w:szCs w:val="18"/>
        </w:rPr>
        <w:t>De CSRD is recent gewijzigd door de Wijzigingsrichtlijn.</w:t>
      </w:r>
      <w:r w:rsidRPr="0027157C" w:rsidR="00BF5990">
        <w:rPr>
          <w:rStyle w:val="Voetnootmarkering"/>
          <w:rFonts w:ascii="Verdana" w:hAnsi="Verdana"/>
          <w:sz w:val="18"/>
          <w:szCs w:val="18"/>
        </w:rPr>
        <w:footnoteReference w:id="6"/>
      </w:r>
      <w:r w:rsidRPr="007456D5" w:rsidR="000C4936">
        <w:rPr>
          <w:rFonts w:ascii="Verdana" w:hAnsi="Verdana"/>
          <w:sz w:val="18"/>
          <w:szCs w:val="18"/>
        </w:rPr>
        <w:t xml:space="preserve"> Met name het toepassingsbereik van de verplichting tot duurzaamheidsrapportering </w:t>
      </w:r>
      <w:r w:rsidR="00513F2F">
        <w:rPr>
          <w:rFonts w:ascii="Verdana" w:hAnsi="Verdana"/>
          <w:sz w:val="18"/>
          <w:szCs w:val="18"/>
        </w:rPr>
        <w:t>is</w:t>
      </w:r>
      <w:r w:rsidRPr="007456D5" w:rsidR="000C4936">
        <w:rPr>
          <w:rFonts w:ascii="Verdana" w:hAnsi="Verdana"/>
          <w:sz w:val="18"/>
          <w:szCs w:val="18"/>
        </w:rPr>
        <w:t xml:space="preserve"> ingeperkt</w:t>
      </w:r>
      <w:r w:rsidR="00513F2F">
        <w:rPr>
          <w:rFonts w:ascii="Verdana" w:hAnsi="Verdana"/>
          <w:sz w:val="18"/>
          <w:szCs w:val="18"/>
        </w:rPr>
        <w:t xml:space="preserve">: deze verplichting geldt nu voor </w:t>
      </w:r>
      <w:r w:rsidR="00C57797">
        <w:rPr>
          <w:rFonts w:ascii="Verdana" w:hAnsi="Verdana"/>
          <w:sz w:val="18"/>
          <w:szCs w:val="18"/>
        </w:rPr>
        <w:t>vennootschappen</w:t>
      </w:r>
      <w:r w:rsidR="00513F2F">
        <w:rPr>
          <w:rFonts w:ascii="Verdana" w:hAnsi="Verdana"/>
          <w:sz w:val="18"/>
          <w:szCs w:val="18"/>
        </w:rPr>
        <w:t xml:space="preserve"> met</w:t>
      </w:r>
      <w:r w:rsidR="00C57797">
        <w:rPr>
          <w:rFonts w:ascii="Verdana" w:hAnsi="Verdana"/>
          <w:sz w:val="18"/>
          <w:szCs w:val="18"/>
        </w:rPr>
        <w:t xml:space="preserve"> een netto-omzet van meer dan € </w:t>
      </w:r>
      <w:r w:rsidRPr="007456D5" w:rsidR="00C57797">
        <w:rPr>
          <w:rFonts w:ascii="Verdana" w:hAnsi="Verdana"/>
          <w:sz w:val="18"/>
          <w:szCs w:val="18"/>
        </w:rPr>
        <w:t>450 miljoen</w:t>
      </w:r>
      <w:r w:rsidR="00C57797">
        <w:rPr>
          <w:rFonts w:ascii="Verdana" w:hAnsi="Verdana"/>
          <w:sz w:val="18"/>
          <w:szCs w:val="18"/>
        </w:rPr>
        <w:t xml:space="preserve"> en </w:t>
      </w:r>
      <w:r w:rsidRPr="007456D5" w:rsidR="000C4936">
        <w:rPr>
          <w:rFonts w:ascii="Verdana" w:hAnsi="Verdana"/>
          <w:sz w:val="18"/>
          <w:szCs w:val="18"/>
        </w:rPr>
        <w:t xml:space="preserve">meer dan </w:t>
      </w:r>
      <w:r w:rsidR="00207122">
        <w:rPr>
          <w:rFonts w:ascii="Verdana" w:hAnsi="Verdana"/>
          <w:sz w:val="18"/>
          <w:szCs w:val="18"/>
        </w:rPr>
        <w:t xml:space="preserve">duizend </w:t>
      </w:r>
      <w:r w:rsidRPr="007456D5" w:rsidR="000C4936">
        <w:rPr>
          <w:rFonts w:ascii="Verdana" w:hAnsi="Verdana"/>
          <w:sz w:val="18"/>
          <w:szCs w:val="18"/>
        </w:rPr>
        <w:t>werknemers</w:t>
      </w:r>
      <w:r w:rsidR="00731CE3">
        <w:rPr>
          <w:rFonts w:ascii="Verdana" w:hAnsi="Verdana"/>
          <w:sz w:val="18"/>
          <w:szCs w:val="18"/>
        </w:rPr>
        <w:t xml:space="preserve">, moedermaatschappijen van groepen die geconsolideerd aan diezelfde criteria voldoen en dochtermaatschappijen (en bijkantoren) met een netto-omzet van € 200 miljoen, die dochter zijn van buiten de EU en EER gevestigde ondernemingen die in de EU een netto-omzet van 450 miljoen hebben. De eerste en tweede categorie vennootschappen komen neer </w:t>
      </w:r>
      <w:r w:rsidR="00513F2F">
        <w:rPr>
          <w:rFonts w:ascii="Verdana" w:hAnsi="Verdana"/>
          <w:sz w:val="18"/>
          <w:szCs w:val="18"/>
        </w:rPr>
        <w:t xml:space="preserve">op </w:t>
      </w:r>
      <w:r w:rsidRPr="007456D5" w:rsidR="000C4936">
        <w:rPr>
          <w:rFonts w:ascii="Verdana" w:hAnsi="Verdana"/>
          <w:sz w:val="18"/>
          <w:szCs w:val="18"/>
        </w:rPr>
        <w:t xml:space="preserve">ongeveer </w:t>
      </w:r>
      <w:r w:rsidR="00731CE3">
        <w:rPr>
          <w:rFonts w:ascii="Verdana" w:hAnsi="Verdana"/>
          <w:sz w:val="18"/>
          <w:szCs w:val="18"/>
        </w:rPr>
        <w:t>220</w:t>
      </w:r>
      <w:r w:rsidRPr="007456D5" w:rsidR="000C4936">
        <w:rPr>
          <w:rFonts w:ascii="Verdana" w:hAnsi="Verdana"/>
          <w:sz w:val="18"/>
          <w:szCs w:val="18"/>
        </w:rPr>
        <w:t xml:space="preserve"> ondernemingen.</w:t>
      </w:r>
      <w:r w:rsidRPr="00731CE3" w:rsidR="00731CE3">
        <w:rPr>
          <w:rFonts w:ascii="Verdana" w:hAnsi="Verdana"/>
          <w:sz w:val="18"/>
          <w:szCs w:val="18"/>
        </w:rPr>
        <w:t xml:space="preserve"> </w:t>
      </w:r>
      <w:r w:rsidR="00731CE3">
        <w:rPr>
          <w:rFonts w:ascii="Verdana" w:hAnsi="Verdana"/>
          <w:sz w:val="18"/>
          <w:szCs w:val="18"/>
        </w:rPr>
        <w:t xml:space="preserve">De omvang van de derde categorie is niet in te schatten, vooral omdat de omzet van internationale concerns in de EU niet bekend is en omdat het bijvoorbeeld ook mogelijk is dat een dochtervennootschap in een andere EU-lidstaat de taak heeft om voor de hele EU dat verslag inzake duurzaamheid openbaar te maken. </w:t>
      </w:r>
      <w:r w:rsidRPr="007456D5" w:rsidR="000C4936">
        <w:rPr>
          <w:rFonts w:ascii="Verdana" w:hAnsi="Verdana"/>
          <w:sz w:val="18"/>
          <w:szCs w:val="18"/>
        </w:rPr>
        <w:t>De totale structurele regeldrukkosten</w:t>
      </w:r>
      <w:r w:rsidR="0027157C">
        <w:rPr>
          <w:rFonts w:ascii="Verdana" w:hAnsi="Verdana"/>
          <w:sz w:val="18"/>
          <w:szCs w:val="18"/>
        </w:rPr>
        <w:t xml:space="preserve"> voor de</w:t>
      </w:r>
      <w:r w:rsidR="00731CE3">
        <w:rPr>
          <w:rFonts w:ascii="Verdana" w:hAnsi="Verdana"/>
          <w:sz w:val="18"/>
          <w:szCs w:val="18"/>
        </w:rPr>
        <w:t xml:space="preserve"> eerste en tweede categorie vennootschappen</w:t>
      </w:r>
      <w:r w:rsidR="0027157C">
        <w:rPr>
          <w:rFonts w:ascii="Verdana" w:hAnsi="Verdana"/>
          <w:sz w:val="18"/>
          <w:szCs w:val="18"/>
        </w:rPr>
        <w:t xml:space="preserve"> </w:t>
      </w:r>
      <w:r w:rsidR="00EA7D4B">
        <w:rPr>
          <w:rFonts w:ascii="Verdana" w:hAnsi="Verdana"/>
          <w:sz w:val="18"/>
          <w:szCs w:val="18"/>
        </w:rPr>
        <w:t>zullen daarom</w:t>
      </w:r>
      <w:r w:rsidR="0027157C">
        <w:rPr>
          <w:rFonts w:ascii="Verdana" w:hAnsi="Verdana"/>
          <w:sz w:val="18"/>
          <w:szCs w:val="18"/>
        </w:rPr>
        <w:t xml:space="preserve"> </w:t>
      </w:r>
      <w:r w:rsidRPr="007456D5" w:rsidR="000C4936">
        <w:rPr>
          <w:rFonts w:ascii="Verdana" w:hAnsi="Verdana"/>
          <w:sz w:val="18"/>
          <w:szCs w:val="18"/>
        </w:rPr>
        <w:t xml:space="preserve">ongeveer </w:t>
      </w:r>
      <w:r w:rsidR="00731CE3">
        <w:rPr>
          <w:rFonts w:ascii="Verdana" w:hAnsi="Verdana"/>
          <w:sz w:val="18"/>
          <w:szCs w:val="18"/>
        </w:rPr>
        <w:t>220</w:t>
      </w:r>
      <w:r w:rsidRPr="007456D5" w:rsidR="000C4936">
        <w:rPr>
          <w:rFonts w:ascii="Verdana" w:hAnsi="Verdana"/>
          <w:sz w:val="18"/>
          <w:szCs w:val="18"/>
        </w:rPr>
        <w:t xml:space="preserve"> * € 260 = €</w:t>
      </w:r>
      <w:r w:rsidR="00731CE3">
        <w:rPr>
          <w:rFonts w:ascii="Verdana" w:hAnsi="Verdana"/>
          <w:sz w:val="18"/>
          <w:szCs w:val="18"/>
        </w:rPr>
        <w:t xml:space="preserve"> 57.200</w:t>
      </w:r>
      <w:r w:rsidR="00EA7D4B">
        <w:rPr>
          <w:rFonts w:ascii="Verdana" w:hAnsi="Verdana"/>
          <w:sz w:val="18"/>
          <w:szCs w:val="18"/>
        </w:rPr>
        <w:t xml:space="preserve"> bedragen</w:t>
      </w:r>
      <w:r w:rsidRPr="007456D5" w:rsidR="000C4936">
        <w:rPr>
          <w:rFonts w:ascii="Verdana" w:hAnsi="Verdana"/>
          <w:sz w:val="18"/>
          <w:szCs w:val="18"/>
        </w:rPr>
        <w:t>.</w:t>
      </w:r>
      <w:r w:rsidRPr="007456D5" w:rsidR="00B76368">
        <w:rPr>
          <w:rFonts w:ascii="Verdana" w:hAnsi="Verdana"/>
          <w:sz w:val="18"/>
          <w:szCs w:val="18"/>
        </w:rPr>
        <w:t xml:space="preserve"> </w:t>
      </w:r>
      <w:r w:rsidRPr="007456D5" w:rsidR="00B411B1">
        <w:rPr>
          <w:rFonts w:ascii="Verdana" w:hAnsi="Verdana"/>
          <w:sz w:val="18"/>
          <w:szCs w:val="18"/>
        </w:rPr>
        <w:t>Er zit</w:t>
      </w:r>
      <w:r w:rsidRPr="007456D5" w:rsidR="00B76368">
        <w:rPr>
          <w:rFonts w:ascii="Verdana" w:hAnsi="Verdana"/>
          <w:sz w:val="18"/>
          <w:szCs w:val="18"/>
        </w:rPr>
        <w:t xml:space="preserve"> een </w:t>
      </w:r>
      <w:proofErr w:type="spellStart"/>
      <w:r w:rsidRPr="007456D5" w:rsidR="00B76368">
        <w:rPr>
          <w:rFonts w:ascii="Verdana" w:hAnsi="Verdana"/>
          <w:sz w:val="18"/>
          <w:szCs w:val="18"/>
        </w:rPr>
        <w:t>dubbeling</w:t>
      </w:r>
      <w:proofErr w:type="spellEnd"/>
      <w:r w:rsidRPr="007456D5" w:rsidR="00B76368">
        <w:rPr>
          <w:rFonts w:ascii="Verdana" w:hAnsi="Verdana"/>
          <w:sz w:val="18"/>
          <w:szCs w:val="18"/>
        </w:rPr>
        <w:t xml:space="preserve"> </w:t>
      </w:r>
      <w:r w:rsidRPr="007456D5" w:rsidR="00B411B1">
        <w:rPr>
          <w:rFonts w:ascii="Verdana" w:hAnsi="Verdana"/>
          <w:sz w:val="18"/>
          <w:szCs w:val="18"/>
        </w:rPr>
        <w:t>in</w:t>
      </w:r>
      <w:r w:rsidRPr="007456D5" w:rsidR="00B76368">
        <w:rPr>
          <w:rFonts w:ascii="Verdana" w:hAnsi="Verdana"/>
          <w:sz w:val="18"/>
          <w:szCs w:val="18"/>
        </w:rPr>
        <w:t xml:space="preserve"> de cijfers van het aantal onder toezicht staande instellingen bij DNB en de AFM</w:t>
      </w:r>
      <w:r w:rsidR="00230507">
        <w:rPr>
          <w:rFonts w:ascii="Verdana" w:hAnsi="Verdana"/>
          <w:sz w:val="18"/>
          <w:szCs w:val="18"/>
        </w:rPr>
        <w:t>,</w:t>
      </w:r>
      <w:r w:rsidRPr="007456D5" w:rsidR="00B76368">
        <w:rPr>
          <w:rFonts w:ascii="Verdana" w:hAnsi="Verdana"/>
          <w:sz w:val="18"/>
          <w:szCs w:val="18"/>
        </w:rPr>
        <w:t xml:space="preserve"> en </w:t>
      </w:r>
      <w:r w:rsidR="00230507">
        <w:rPr>
          <w:rFonts w:ascii="Verdana" w:hAnsi="Verdana"/>
          <w:sz w:val="18"/>
          <w:szCs w:val="18"/>
        </w:rPr>
        <w:t xml:space="preserve">de cijfers van het aantal </w:t>
      </w:r>
      <w:r w:rsidRPr="007456D5" w:rsidR="00B411B1">
        <w:rPr>
          <w:rFonts w:ascii="Verdana" w:hAnsi="Verdana"/>
          <w:sz w:val="18"/>
          <w:szCs w:val="18"/>
        </w:rPr>
        <w:t xml:space="preserve">banken, verzekeraars en beursvennootschappen </w:t>
      </w:r>
      <w:r w:rsidRPr="007456D5" w:rsidR="00B76368">
        <w:rPr>
          <w:rFonts w:ascii="Verdana" w:hAnsi="Verdana"/>
          <w:sz w:val="18"/>
          <w:szCs w:val="18"/>
        </w:rPr>
        <w:t xml:space="preserve">die volgens de CSRD verplicht </w:t>
      </w:r>
      <w:r w:rsidRPr="007456D5" w:rsidR="00B411B1">
        <w:rPr>
          <w:rFonts w:ascii="Verdana" w:hAnsi="Verdana"/>
          <w:sz w:val="18"/>
          <w:szCs w:val="18"/>
        </w:rPr>
        <w:t>zijn</w:t>
      </w:r>
      <w:r w:rsidRPr="007456D5" w:rsidR="00B76368">
        <w:rPr>
          <w:rFonts w:ascii="Verdana" w:hAnsi="Verdana"/>
          <w:sz w:val="18"/>
          <w:szCs w:val="18"/>
        </w:rPr>
        <w:t xml:space="preserve"> tot </w:t>
      </w:r>
      <w:r w:rsidRPr="007456D5" w:rsidR="00B411B1">
        <w:rPr>
          <w:rFonts w:ascii="Verdana" w:hAnsi="Verdana"/>
          <w:sz w:val="18"/>
          <w:szCs w:val="18"/>
        </w:rPr>
        <w:t xml:space="preserve">het opstellen van een </w:t>
      </w:r>
      <w:r w:rsidRPr="007456D5" w:rsidR="00B76368">
        <w:rPr>
          <w:rFonts w:ascii="Verdana" w:hAnsi="Verdana"/>
          <w:sz w:val="18"/>
          <w:szCs w:val="18"/>
        </w:rPr>
        <w:t xml:space="preserve">duurzaamheidsrapportering, waardoor de totale regeldrukkosten lager </w:t>
      </w:r>
      <w:r w:rsidRPr="007456D5" w:rsidR="00FB763B">
        <w:rPr>
          <w:rFonts w:ascii="Verdana" w:hAnsi="Verdana"/>
          <w:sz w:val="18"/>
          <w:szCs w:val="18"/>
        </w:rPr>
        <w:t>kunnen</w:t>
      </w:r>
      <w:r w:rsidRPr="007456D5" w:rsidR="00B76368">
        <w:rPr>
          <w:rFonts w:ascii="Verdana" w:hAnsi="Verdana"/>
          <w:sz w:val="18"/>
          <w:szCs w:val="18"/>
        </w:rPr>
        <w:t xml:space="preserve"> uitvallen.</w:t>
      </w:r>
    </w:p>
    <w:p w:rsidRPr="007456D5" w:rsidR="00C5628E" w:rsidP="009C2659" w:rsidRDefault="00C5628E" w14:paraId="375C5804" w14:textId="77777777">
      <w:pPr>
        <w:widowControl w:val="0"/>
        <w:tabs>
          <w:tab w:val="num" w:pos="720"/>
        </w:tabs>
        <w:spacing w:line="240" w:lineRule="atLeast"/>
        <w:contextualSpacing/>
        <w:rPr>
          <w:rFonts w:ascii="Verdana" w:hAnsi="Verdana" w:cs="Arial"/>
          <w:sz w:val="18"/>
          <w:szCs w:val="18"/>
        </w:rPr>
      </w:pPr>
    </w:p>
    <w:p w:rsidRPr="007456D5" w:rsidR="00E31910" w:rsidP="009C2659" w:rsidRDefault="00BC0F16" w14:paraId="77C19F32" w14:textId="6CA24F05">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Verder</w:t>
      </w:r>
      <w:r w:rsidRPr="007456D5" w:rsidR="004507C8">
        <w:rPr>
          <w:rFonts w:ascii="Verdana" w:hAnsi="Verdana" w:cs="Arial"/>
          <w:sz w:val="18"/>
          <w:szCs w:val="18"/>
        </w:rPr>
        <w:t xml:space="preserve"> wordt extra regeldruk verwacht doordat bedrijven informatie in een gestandaardiseerd format moeten aanleveren. </w:t>
      </w:r>
      <w:r w:rsidRPr="007456D5" w:rsidR="00C5628E">
        <w:rPr>
          <w:rFonts w:ascii="Verdana" w:hAnsi="Verdana" w:cs="Arial"/>
          <w:sz w:val="18"/>
          <w:szCs w:val="18"/>
        </w:rPr>
        <w:t xml:space="preserve">De informatie moet namelijk worden aangeleverd bij de verzamelende instantie in een voor data-extractie geschikt format. Het kan daarnaast voor sommige informatie ook verplicht worden om de informatie aan te leveren in een machinaal leesbaar format. </w:t>
      </w:r>
      <w:r w:rsidR="00B9660D">
        <w:rPr>
          <w:rFonts w:ascii="Verdana" w:hAnsi="Verdana" w:cs="Arial"/>
          <w:sz w:val="18"/>
          <w:szCs w:val="18"/>
        </w:rPr>
        <w:t xml:space="preserve">Het </w:t>
      </w:r>
      <w:r w:rsidRPr="007456D5" w:rsidR="00C5628E">
        <w:rPr>
          <w:rFonts w:ascii="Verdana" w:hAnsi="Verdana" w:cs="Arial"/>
          <w:sz w:val="18"/>
          <w:szCs w:val="18"/>
        </w:rPr>
        <w:t xml:space="preserve">ESAP probeert wel zoveel mogelijk aan te sluiten bij de huidige </w:t>
      </w:r>
      <w:r w:rsidRPr="007456D5" w:rsidR="00026CC9">
        <w:rPr>
          <w:rFonts w:ascii="Verdana" w:hAnsi="Verdana" w:cs="Arial"/>
          <w:sz w:val="18"/>
          <w:szCs w:val="18"/>
        </w:rPr>
        <w:t>openbaarmakingsvereisten</w:t>
      </w:r>
      <w:r w:rsidRPr="007456D5" w:rsidR="00C5628E">
        <w:rPr>
          <w:rFonts w:ascii="Verdana" w:hAnsi="Verdana" w:cs="Arial"/>
          <w:sz w:val="18"/>
          <w:szCs w:val="18"/>
        </w:rPr>
        <w:t xml:space="preserve"> en het doel is om extra lasten voor ondernemingen te beperken. Daarom kan het zo zijn dat het format dat normaal gesproken wordt gehanteerd ook voor data extractie geschikt is en daardoor bruikbaar voor het toegankelijk maken van de informatie op het</w:t>
      </w:r>
      <w:r w:rsidR="0027157C">
        <w:rPr>
          <w:rFonts w:ascii="Verdana" w:hAnsi="Verdana" w:cs="Arial"/>
          <w:sz w:val="18"/>
          <w:szCs w:val="18"/>
        </w:rPr>
        <w:t xml:space="preserve"> ESAP</w:t>
      </w:r>
      <w:r w:rsidRPr="007456D5" w:rsidR="00C5628E">
        <w:rPr>
          <w:rFonts w:ascii="Verdana" w:hAnsi="Verdana" w:cs="Arial"/>
          <w:sz w:val="18"/>
          <w:szCs w:val="18"/>
        </w:rPr>
        <w:t xml:space="preserve">. </w:t>
      </w:r>
      <w:r w:rsidRPr="007456D5" w:rsidR="004507C8">
        <w:rPr>
          <w:rFonts w:ascii="Verdana" w:hAnsi="Verdana" w:cs="Arial"/>
          <w:sz w:val="18"/>
          <w:szCs w:val="18"/>
        </w:rPr>
        <w:t xml:space="preserve">De exacte kosten </w:t>
      </w:r>
      <w:r w:rsidRPr="007456D5" w:rsidR="005E2495">
        <w:rPr>
          <w:rFonts w:ascii="Verdana" w:hAnsi="Verdana" w:cs="Arial"/>
          <w:sz w:val="18"/>
          <w:szCs w:val="18"/>
        </w:rPr>
        <w:t>van het aanleveren van de informatie in een voor data-extractie geschikte format</w:t>
      </w:r>
      <w:r w:rsidRPr="007456D5" w:rsidR="00C5628E">
        <w:rPr>
          <w:rFonts w:ascii="Verdana" w:hAnsi="Verdana" w:cs="Arial"/>
          <w:sz w:val="18"/>
          <w:szCs w:val="18"/>
        </w:rPr>
        <w:t xml:space="preserve"> </w:t>
      </w:r>
      <w:r w:rsidRPr="007456D5" w:rsidR="004507C8">
        <w:rPr>
          <w:rFonts w:ascii="Verdana" w:hAnsi="Verdana" w:cs="Arial"/>
          <w:sz w:val="18"/>
          <w:szCs w:val="18"/>
        </w:rPr>
        <w:t xml:space="preserve">zijn </w:t>
      </w:r>
      <w:r w:rsidRPr="007456D5" w:rsidR="005E2495">
        <w:rPr>
          <w:rFonts w:ascii="Verdana" w:hAnsi="Verdana" w:cs="Arial"/>
          <w:sz w:val="18"/>
          <w:szCs w:val="18"/>
        </w:rPr>
        <w:t xml:space="preserve">daarom </w:t>
      </w:r>
      <w:r w:rsidRPr="007456D5" w:rsidR="004507C8">
        <w:rPr>
          <w:rFonts w:ascii="Verdana" w:hAnsi="Verdana" w:cs="Arial"/>
          <w:sz w:val="18"/>
          <w:szCs w:val="18"/>
        </w:rPr>
        <w:t>nu nog moeilijk in te schatten</w:t>
      </w:r>
      <w:r w:rsidRPr="007456D5" w:rsidR="00C5628E">
        <w:rPr>
          <w:rFonts w:ascii="Verdana" w:hAnsi="Verdana" w:cs="Arial"/>
          <w:sz w:val="18"/>
          <w:szCs w:val="18"/>
        </w:rPr>
        <w:t xml:space="preserve">. </w:t>
      </w:r>
    </w:p>
    <w:p w:rsidR="0027157C" w:rsidP="009C2659" w:rsidRDefault="0027157C" w14:paraId="2EB2B4A2" w14:textId="77777777">
      <w:pPr>
        <w:widowControl w:val="0"/>
        <w:tabs>
          <w:tab w:val="num" w:pos="720"/>
        </w:tabs>
        <w:spacing w:line="240" w:lineRule="atLeast"/>
        <w:rPr>
          <w:rFonts w:ascii="Verdana" w:hAnsi="Verdana" w:eastAsia="Calibri"/>
          <w:i/>
          <w:iCs/>
          <w:sz w:val="18"/>
          <w:szCs w:val="18"/>
        </w:rPr>
      </w:pPr>
    </w:p>
    <w:p w:rsidRPr="00FC2510" w:rsidR="00694A29" w:rsidP="009C2659" w:rsidRDefault="00694A29" w14:paraId="04D49B42" w14:textId="67D9EF00">
      <w:pPr>
        <w:widowControl w:val="0"/>
        <w:tabs>
          <w:tab w:val="num" w:pos="720"/>
        </w:tabs>
        <w:spacing w:line="240" w:lineRule="atLeast"/>
        <w:rPr>
          <w:rFonts w:ascii="Verdana" w:hAnsi="Verdana" w:eastAsia="Calibri"/>
          <w:i/>
          <w:iCs/>
          <w:sz w:val="18"/>
          <w:szCs w:val="18"/>
        </w:rPr>
      </w:pPr>
      <w:r w:rsidRPr="00FC2510">
        <w:rPr>
          <w:rFonts w:ascii="Verdana" w:hAnsi="Verdana" w:eastAsia="Calibri"/>
          <w:i/>
          <w:iCs/>
          <w:sz w:val="18"/>
          <w:szCs w:val="18"/>
        </w:rPr>
        <w:lastRenderedPageBreak/>
        <w:t xml:space="preserve">§ </w:t>
      </w:r>
      <w:r>
        <w:rPr>
          <w:rFonts w:ascii="Verdana" w:hAnsi="Verdana" w:eastAsia="Calibri"/>
          <w:i/>
          <w:iCs/>
          <w:sz w:val="18"/>
          <w:szCs w:val="18"/>
        </w:rPr>
        <w:t>4</w:t>
      </w:r>
      <w:r w:rsidRPr="00FC2510">
        <w:rPr>
          <w:rFonts w:ascii="Verdana" w:hAnsi="Verdana" w:eastAsia="Calibri"/>
          <w:i/>
          <w:iCs/>
          <w:sz w:val="18"/>
          <w:szCs w:val="18"/>
        </w:rPr>
        <w:t>.</w:t>
      </w:r>
      <w:r w:rsidR="00215BFE">
        <w:rPr>
          <w:rFonts w:ascii="Verdana" w:hAnsi="Verdana" w:eastAsia="Calibri"/>
          <w:i/>
          <w:iCs/>
          <w:sz w:val="18"/>
          <w:szCs w:val="18"/>
        </w:rPr>
        <w:t>2</w:t>
      </w:r>
      <w:r w:rsidRPr="00FC2510">
        <w:rPr>
          <w:rFonts w:ascii="Verdana" w:hAnsi="Verdana" w:eastAsia="Calibri"/>
          <w:i/>
          <w:iCs/>
          <w:sz w:val="18"/>
          <w:szCs w:val="18"/>
        </w:rPr>
        <w:t>. Adviescollege toetsing regeldruk (ATR)</w:t>
      </w:r>
    </w:p>
    <w:p w:rsidR="002054F2" w:rsidP="009C2659" w:rsidRDefault="002054F2" w14:paraId="525C2429" w14:textId="77777777">
      <w:pPr>
        <w:spacing w:line="240" w:lineRule="atLeast"/>
        <w:rPr>
          <w:rFonts w:ascii="Verdana" w:hAnsi="Verdana" w:cs="Arial"/>
          <w:sz w:val="18"/>
          <w:szCs w:val="18"/>
        </w:rPr>
      </w:pPr>
    </w:p>
    <w:p w:rsidRPr="00215BFE" w:rsidR="000E0669" w:rsidP="009C2659" w:rsidRDefault="00694A29" w14:paraId="5ED67A70" w14:textId="39E4874C">
      <w:pPr>
        <w:spacing w:line="240" w:lineRule="atLeast"/>
        <w:rPr>
          <w:rFonts w:ascii="Verdana" w:hAnsi="Verdana" w:cs="Arial"/>
          <w:sz w:val="18"/>
          <w:szCs w:val="18"/>
        </w:rPr>
      </w:pPr>
      <w:r w:rsidRPr="002054F2">
        <w:rPr>
          <w:rFonts w:ascii="Verdana" w:hAnsi="Verdana" w:cs="Arial"/>
          <w:sz w:val="18"/>
          <w:szCs w:val="18"/>
        </w:rPr>
        <w:t>Het wetsvoorstel is voor advies voorgelegd aan het Adviescollege toetsing regeldruk (ATR). De ATR heeft geen opmerkingen bij nut en noodzaak van het wetsvoorstel.</w:t>
      </w:r>
      <w:r w:rsidRPr="00215BFE">
        <w:rPr>
          <w:rFonts w:ascii="Verdana" w:hAnsi="Verdana" w:cs="Arial"/>
          <w:sz w:val="18"/>
          <w:szCs w:val="18"/>
        </w:rPr>
        <w:t xml:space="preserve"> </w:t>
      </w:r>
      <w:r w:rsidRPr="002054F2">
        <w:rPr>
          <w:rFonts w:ascii="Verdana" w:hAnsi="Verdana" w:cs="Arial"/>
          <w:sz w:val="18"/>
          <w:szCs w:val="18"/>
        </w:rPr>
        <w:t>Zij geeft in overweging om v</w:t>
      </w:r>
      <w:r w:rsidRPr="00215BFE">
        <w:rPr>
          <w:rFonts w:ascii="Verdana" w:hAnsi="Verdana" w:cs="Arial"/>
          <w:sz w:val="18"/>
          <w:szCs w:val="18"/>
        </w:rPr>
        <w:t>oorafgaand aan de start van de verplichting om de informatie bij DNB, AFM respectievelijk KvK aan te leveren, op een voor ondernemingen eenvoudig kenbare wijze informatie over laagdrempelige bijstandverlening beschikbaar te stellen. Over de wijze van informeren</w:t>
      </w:r>
      <w:r w:rsidRPr="002054F2" w:rsidR="00E13FF4">
        <w:rPr>
          <w:rFonts w:ascii="Verdana" w:hAnsi="Verdana" w:cs="Arial"/>
          <w:sz w:val="18"/>
          <w:szCs w:val="18"/>
        </w:rPr>
        <w:t xml:space="preserve"> van ondernemingen </w:t>
      </w:r>
      <w:r w:rsidR="00215BFE">
        <w:rPr>
          <w:rFonts w:ascii="Verdana" w:hAnsi="Verdana" w:cs="Arial"/>
          <w:sz w:val="18"/>
          <w:szCs w:val="18"/>
        </w:rPr>
        <w:t xml:space="preserve">en </w:t>
      </w:r>
      <w:r w:rsidRPr="002054F2" w:rsidR="00E13FF4">
        <w:rPr>
          <w:rFonts w:ascii="Verdana" w:hAnsi="Verdana" w:cs="Arial"/>
          <w:sz w:val="18"/>
          <w:szCs w:val="18"/>
        </w:rPr>
        <w:t>over de mogelijkheid tot bijstandverlening</w:t>
      </w:r>
      <w:r w:rsidRPr="00215BFE">
        <w:rPr>
          <w:rFonts w:ascii="Verdana" w:hAnsi="Verdana" w:cs="Arial"/>
          <w:sz w:val="18"/>
          <w:szCs w:val="18"/>
        </w:rPr>
        <w:t xml:space="preserve"> zal overleg worden gevoerd met DNB, </w:t>
      </w:r>
      <w:r w:rsidR="00215BFE">
        <w:rPr>
          <w:rFonts w:ascii="Verdana" w:hAnsi="Verdana" w:cs="Arial"/>
          <w:sz w:val="18"/>
          <w:szCs w:val="18"/>
        </w:rPr>
        <w:t xml:space="preserve">de </w:t>
      </w:r>
      <w:r w:rsidRPr="00215BFE">
        <w:rPr>
          <w:rFonts w:ascii="Verdana" w:hAnsi="Verdana" w:cs="Arial"/>
          <w:sz w:val="18"/>
          <w:szCs w:val="18"/>
        </w:rPr>
        <w:t xml:space="preserve">AFM, en de KvK. </w:t>
      </w:r>
      <w:r w:rsidRPr="002054F2" w:rsidR="000E0669">
        <w:rPr>
          <w:rFonts w:ascii="Verdana" w:hAnsi="Verdana" w:cs="Arial"/>
          <w:sz w:val="18"/>
          <w:szCs w:val="18"/>
        </w:rPr>
        <w:t xml:space="preserve">Ten slotte verzoekt de ATR </w:t>
      </w:r>
      <w:r w:rsidRPr="00215BFE" w:rsidR="000E0669">
        <w:rPr>
          <w:rFonts w:ascii="Verdana" w:hAnsi="Verdana" w:cs="Arial"/>
          <w:sz w:val="18"/>
          <w:szCs w:val="18"/>
        </w:rPr>
        <w:t xml:space="preserve">in de memorie van toelichting in te gaan op het voorkomen van dubbele informatieverstrekking door ondernemingen. </w:t>
      </w:r>
      <w:r w:rsidR="00721A26">
        <w:rPr>
          <w:rFonts w:ascii="Verdana" w:hAnsi="Verdana" w:cs="Arial"/>
          <w:sz w:val="18"/>
          <w:szCs w:val="18"/>
        </w:rPr>
        <w:t xml:space="preserve">Er wordt op meerdere plekken in het wetsvoorstel </w:t>
      </w:r>
      <w:r w:rsidR="00EC1002">
        <w:rPr>
          <w:rFonts w:ascii="Verdana" w:hAnsi="Verdana" w:cs="Arial"/>
          <w:sz w:val="18"/>
          <w:szCs w:val="18"/>
        </w:rPr>
        <w:t xml:space="preserve">aandacht besteed aan </w:t>
      </w:r>
      <w:r w:rsidR="00721A26">
        <w:rPr>
          <w:rFonts w:ascii="Verdana" w:hAnsi="Verdana" w:cs="Arial"/>
          <w:sz w:val="18"/>
          <w:szCs w:val="18"/>
        </w:rPr>
        <w:t>het voorkomen van dubbele verplichtingen, bijvoorbeeld in</w:t>
      </w:r>
      <w:r w:rsidR="00EC1002">
        <w:rPr>
          <w:rFonts w:ascii="Verdana" w:hAnsi="Verdana" w:cs="Arial"/>
          <w:sz w:val="18"/>
          <w:szCs w:val="18"/>
        </w:rPr>
        <w:t xml:space="preserve"> de</w:t>
      </w:r>
      <w:r w:rsidR="00721A26">
        <w:rPr>
          <w:rFonts w:ascii="Verdana" w:hAnsi="Verdana" w:cs="Arial"/>
          <w:sz w:val="18"/>
          <w:szCs w:val="18"/>
        </w:rPr>
        <w:t xml:space="preserve"> artikelen 4:52 en 5:32g van de Wft. </w:t>
      </w:r>
      <w:r w:rsidR="00E806C8">
        <w:rPr>
          <w:rFonts w:ascii="Verdana" w:hAnsi="Verdana" w:cs="Arial"/>
          <w:sz w:val="18"/>
          <w:szCs w:val="18"/>
        </w:rPr>
        <w:t>Onder andere naar</w:t>
      </w:r>
      <w:r w:rsidRPr="00215BFE" w:rsidR="000E0669">
        <w:rPr>
          <w:rFonts w:ascii="Verdana" w:hAnsi="Verdana" w:cs="Arial"/>
          <w:sz w:val="18"/>
          <w:szCs w:val="18"/>
        </w:rPr>
        <w:t xml:space="preserve"> aanleiding van </w:t>
      </w:r>
      <w:r w:rsidR="00721A26">
        <w:rPr>
          <w:rFonts w:ascii="Verdana" w:hAnsi="Verdana" w:cs="Arial"/>
          <w:sz w:val="18"/>
          <w:szCs w:val="18"/>
        </w:rPr>
        <w:t>het</w:t>
      </w:r>
      <w:r w:rsidRPr="00215BFE" w:rsidR="000E0669">
        <w:rPr>
          <w:rFonts w:ascii="Verdana" w:hAnsi="Verdana" w:cs="Arial"/>
          <w:sz w:val="18"/>
          <w:szCs w:val="18"/>
        </w:rPr>
        <w:t xml:space="preserve"> verzoek van de ATR </w:t>
      </w:r>
      <w:r w:rsidRPr="00215BFE" w:rsidR="009D6FDE">
        <w:rPr>
          <w:rFonts w:ascii="Verdana" w:hAnsi="Verdana" w:cs="Arial"/>
          <w:sz w:val="18"/>
          <w:szCs w:val="18"/>
        </w:rPr>
        <w:t>is de memorie van toelichting op dit punt verduidelijkt</w:t>
      </w:r>
      <w:r w:rsidR="00E806C8">
        <w:rPr>
          <w:rFonts w:ascii="Verdana" w:hAnsi="Verdana" w:cs="Arial"/>
          <w:sz w:val="18"/>
          <w:szCs w:val="18"/>
        </w:rPr>
        <w:t xml:space="preserve">, bijvoorbeeld in paragraaf 3.2 over de informatieverstrekking en in de artikelsgewijze toelichting bij de onderdelen </w:t>
      </w:r>
      <w:r w:rsidRPr="00E806C8" w:rsidR="00E806C8">
        <w:rPr>
          <w:rFonts w:ascii="Verdana" w:hAnsi="Verdana" w:cs="Arial"/>
          <w:sz w:val="18"/>
          <w:szCs w:val="18"/>
        </w:rPr>
        <w:t>H t/m AE</w:t>
      </w:r>
      <w:r w:rsidR="00E806C8">
        <w:rPr>
          <w:rFonts w:ascii="Verdana" w:hAnsi="Verdana" w:cs="Arial"/>
          <w:sz w:val="18"/>
          <w:szCs w:val="18"/>
        </w:rPr>
        <w:t>.</w:t>
      </w:r>
      <w:r w:rsidR="00BE1539">
        <w:rPr>
          <w:rFonts w:ascii="Verdana" w:hAnsi="Verdana" w:cs="Arial"/>
          <w:sz w:val="18"/>
          <w:szCs w:val="18"/>
        </w:rPr>
        <w:t xml:space="preserve"> Het uitgangspunt blijft dat het ESAP geen dubbele informatieverplichtingen in het leven roept.</w:t>
      </w:r>
    </w:p>
    <w:p w:rsidRPr="002054F2" w:rsidR="00694A29" w:rsidP="009C2659" w:rsidRDefault="00694A29" w14:paraId="29AED1E0" w14:textId="6523F14D">
      <w:pPr>
        <w:widowControl w:val="0"/>
        <w:spacing w:line="240" w:lineRule="atLeast"/>
        <w:contextualSpacing/>
        <w:rPr>
          <w:rFonts w:ascii="Verdana" w:hAnsi="Verdana" w:cs="Arial"/>
          <w:sz w:val="18"/>
          <w:szCs w:val="18"/>
        </w:rPr>
      </w:pPr>
    </w:p>
    <w:p w:rsidRPr="00FC2510" w:rsidR="00215BFE" w:rsidP="009C2659" w:rsidRDefault="00215BFE" w14:paraId="15D36844" w14:textId="5406BF06">
      <w:pPr>
        <w:widowControl w:val="0"/>
        <w:tabs>
          <w:tab w:val="num" w:pos="720"/>
        </w:tabs>
        <w:spacing w:line="240" w:lineRule="atLeast"/>
        <w:rPr>
          <w:rFonts w:ascii="Verdana" w:hAnsi="Verdana" w:eastAsia="Calibri"/>
          <w:i/>
          <w:iCs/>
          <w:sz w:val="18"/>
          <w:szCs w:val="18"/>
        </w:rPr>
      </w:pPr>
      <w:r w:rsidRPr="00FC2510">
        <w:rPr>
          <w:rFonts w:ascii="Verdana" w:hAnsi="Verdana" w:eastAsia="Calibri"/>
          <w:i/>
          <w:iCs/>
          <w:sz w:val="18"/>
          <w:szCs w:val="18"/>
        </w:rPr>
        <w:t xml:space="preserve">§ </w:t>
      </w:r>
      <w:r>
        <w:rPr>
          <w:rFonts w:ascii="Verdana" w:hAnsi="Verdana" w:eastAsia="Calibri"/>
          <w:i/>
          <w:iCs/>
          <w:sz w:val="18"/>
          <w:szCs w:val="18"/>
        </w:rPr>
        <w:t>4</w:t>
      </w:r>
      <w:r w:rsidRPr="00FC2510">
        <w:rPr>
          <w:rFonts w:ascii="Verdana" w:hAnsi="Verdana" w:eastAsia="Calibri"/>
          <w:i/>
          <w:iCs/>
          <w:sz w:val="18"/>
          <w:szCs w:val="18"/>
        </w:rPr>
        <w:t>.</w:t>
      </w:r>
      <w:r>
        <w:rPr>
          <w:rFonts w:ascii="Verdana" w:hAnsi="Verdana" w:eastAsia="Calibri"/>
          <w:i/>
          <w:iCs/>
          <w:sz w:val="18"/>
          <w:szCs w:val="18"/>
        </w:rPr>
        <w:t>3</w:t>
      </w:r>
      <w:r w:rsidRPr="00FC2510">
        <w:rPr>
          <w:rFonts w:ascii="Verdana" w:hAnsi="Verdana" w:eastAsia="Calibri"/>
          <w:i/>
          <w:iCs/>
          <w:sz w:val="18"/>
          <w:szCs w:val="18"/>
        </w:rPr>
        <w:t xml:space="preserve">. </w:t>
      </w:r>
      <w:r>
        <w:rPr>
          <w:rFonts w:ascii="Verdana" w:hAnsi="Verdana" w:eastAsia="Calibri"/>
          <w:i/>
          <w:iCs/>
          <w:sz w:val="18"/>
          <w:szCs w:val="18"/>
        </w:rPr>
        <w:t>Uitvoeringstoetsen DNB, AFM en KvK</w:t>
      </w:r>
    </w:p>
    <w:p w:rsidRPr="007456D5" w:rsidR="006E5A3F" w:rsidP="009C2659" w:rsidRDefault="006E5A3F" w14:paraId="0B90CC2B" w14:textId="77777777">
      <w:pPr>
        <w:widowControl w:val="0"/>
        <w:spacing w:line="240" w:lineRule="atLeast"/>
        <w:contextualSpacing/>
        <w:rPr>
          <w:rFonts w:ascii="Verdana" w:hAnsi="Verdana"/>
          <w:sz w:val="18"/>
          <w:szCs w:val="18"/>
        </w:rPr>
      </w:pPr>
    </w:p>
    <w:p w:rsidR="00215BFE" w:rsidP="009C2659" w:rsidRDefault="00E13FF4" w14:paraId="5BC49C5E" w14:textId="6746CD1D">
      <w:pPr>
        <w:pStyle w:val="Default"/>
        <w:widowControl w:val="0"/>
        <w:spacing w:line="240" w:lineRule="atLeast"/>
        <w:rPr>
          <w:rFonts w:ascii="Verdana" w:hAnsi="Verdana"/>
          <w:sz w:val="18"/>
          <w:szCs w:val="18"/>
        </w:rPr>
      </w:pPr>
      <w:r w:rsidRPr="00FC2510">
        <w:rPr>
          <w:rFonts w:ascii="Verdana" w:hAnsi="Verdana"/>
          <w:color w:val="auto"/>
          <w:sz w:val="18"/>
          <w:szCs w:val="18"/>
        </w:rPr>
        <w:t>Het wetsvoorstel is voor een uitvoeringstoets voorgelegd aan de AFM</w:t>
      </w:r>
      <w:r>
        <w:rPr>
          <w:rFonts w:ascii="Verdana" w:hAnsi="Verdana"/>
          <w:color w:val="auto"/>
          <w:sz w:val="18"/>
          <w:szCs w:val="18"/>
        </w:rPr>
        <w:t>, DNB en de KvK</w:t>
      </w:r>
      <w:r w:rsidRPr="00FC2510">
        <w:rPr>
          <w:rFonts w:ascii="Verdana" w:hAnsi="Verdana"/>
          <w:color w:val="auto"/>
          <w:sz w:val="18"/>
          <w:szCs w:val="18"/>
        </w:rPr>
        <w:t>.</w:t>
      </w:r>
      <w:r w:rsidRPr="00FC2510">
        <w:rPr>
          <w:rFonts w:ascii="Verdana" w:hAnsi="Verdana"/>
          <w:sz w:val="18"/>
          <w:szCs w:val="18"/>
        </w:rPr>
        <w:t xml:space="preserve"> </w:t>
      </w:r>
      <w:r w:rsidR="00215BFE">
        <w:rPr>
          <w:rFonts w:ascii="Verdana" w:hAnsi="Verdana"/>
          <w:sz w:val="18"/>
          <w:szCs w:val="18"/>
        </w:rPr>
        <w:t xml:space="preserve">Alle drie de uitvoeringstoetsen concluderen dat het wetsvoorstel in principe uitvoerbaar is. </w:t>
      </w:r>
      <w:r w:rsidR="00703C40">
        <w:rPr>
          <w:rFonts w:ascii="Verdana" w:hAnsi="Verdana"/>
          <w:sz w:val="18"/>
          <w:szCs w:val="18"/>
        </w:rPr>
        <w:t>Voor alle drie de verzamelende instanties geldt dat de uitvoering wel afhankelijk is van voldoende middelen.</w:t>
      </w:r>
    </w:p>
    <w:p w:rsidR="00215BFE" w:rsidP="009C2659" w:rsidRDefault="00215BFE" w14:paraId="34A32C96" w14:textId="77777777">
      <w:pPr>
        <w:pStyle w:val="Default"/>
        <w:widowControl w:val="0"/>
        <w:spacing w:line="240" w:lineRule="atLeast"/>
        <w:rPr>
          <w:rFonts w:ascii="Verdana" w:hAnsi="Verdana"/>
          <w:sz w:val="18"/>
          <w:szCs w:val="18"/>
        </w:rPr>
      </w:pPr>
    </w:p>
    <w:p w:rsidR="00E13FF4" w:rsidP="009C2659" w:rsidRDefault="00E13FF4" w14:paraId="4FB8AF45" w14:textId="61C564F5">
      <w:pPr>
        <w:pStyle w:val="Default"/>
        <w:widowControl w:val="0"/>
        <w:spacing w:line="240" w:lineRule="atLeast"/>
        <w:rPr>
          <w:rFonts w:ascii="Verdana" w:hAnsi="Verdana"/>
          <w:sz w:val="18"/>
          <w:szCs w:val="18"/>
        </w:rPr>
      </w:pPr>
      <w:r w:rsidRPr="00FC2510">
        <w:rPr>
          <w:rFonts w:ascii="Verdana" w:hAnsi="Verdana"/>
          <w:sz w:val="18"/>
          <w:szCs w:val="18"/>
        </w:rPr>
        <w:t>De uitvoeringstoets</w:t>
      </w:r>
      <w:r>
        <w:rPr>
          <w:rFonts w:ascii="Verdana" w:hAnsi="Verdana"/>
          <w:sz w:val="18"/>
          <w:szCs w:val="18"/>
        </w:rPr>
        <w:t xml:space="preserve"> van de AFM</w:t>
      </w:r>
      <w:r w:rsidRPr="00FC2510">
        <w:rPr>
          <w:rFonts w:ascii="Verdana" w:hAnsi="Verdana"/>
          <w:sz w:val="18"/>
          <w:szCs w:val="18"/>
        </w:rPr>
        <w:t xml:space="preserve"> heeft</w:t>
      </w:r>
      <w:r>
        <w:rPr>
          <w:rFonts w:ascii="Verdana" w:hAnsi="Verdana"/>
          <w:sz w:val="18"/>
          <w:szCs w:val="18"/>
        </w:rPr>
        <w:t xml:space="preserve"> </w:t>
      </w:r>
      <w:r w:rsidRPr="00FC2510">
        <w:rPr>
          <w:rFonts w:ascii="Verdana" w:hAnsi="Verdana"/>
          <w:sz w:val="18"/>
          <w:szCs w:val="18"/>
        </w:rPr>
        <w:t xml:space="preserve">aanleiding gegeven om </w:t>
      </w:r>
      <w:r>
        <w:rPr>
          <w:rFonts w:ascii="Verdana" w:hAnsi="Verdana"/>
          <w:sz w:val="18"/>
          <w:szCs w:val="18"/>
        </w:rPr>
        <w:t xml:space="preserve">artikel 1:110, tweede lid, </w:t>
      </w:r>
      <w:r w:rsidR="008949D2">
        <w:rPr>
          <w:rFonts w:ascii="Verdana" w:hAnsi="Verdana"/>
          <w:sz w:val="18"/>
          <w:szCs w:val="18"/>
        </w:rPr>
        <w:t xml:space="preserve">van de Wft </w:t>
      </w:r>
      <w:r>
        <w:rPr>
          <w:rFonts w:ascii="Verdana" w:hAnsi="Verdana"/>
          <w:sz w:val="18"/>
          <w:szCs w:val="18"/>
        </w:rPr>
        <w:t>aan te passen zodat duidelijk is dat informatie die door de AFM en DNB zelf wordt gegenereerd en openbaar gemaakt (zoals bestuurlijke boetes)</w:t>
      </w:r>
      <w:r w:rsidRPr="00E13FF4">
        <w:rPr>
          <w:rFonts w:ascii="Verdana" w:hAnsi="Verdana"/>
          <w:sz w:val="18"/>
          <w:szCs w:val="18"/>
        </w:rPr>
        <w:t xml:space="preserve"> </w:t>
      </w:r>
      <w:r>
        <w:rPr>
          <w:rFonts w:ascii="Verdana" w:hAnsi="Verdana"/>
          <w:sz w:val="18"/>
          <w:szCs w:val="18"/>
        </w:rPr>
        <w:t>dien</w:t>
      </w:r>
      <w:r w:rsidR="000E0669">
        <w:rPr>
          <w:rFonts w:ascii="Verdana" w:hAnsi="Verdana"/>
          <w:sz w:val="18"/>
          <w:szCs w:val="18"/>
        </w:rPr>
        <w:t>t</w:t>
      </w:r>
      <w:r>
        <w:rPr>
          <w:rFonts w:ascii="Verdana" w:hAnsi="Verdana"/>
          <w:sz w:val="18"/>
          <w:szCs w:val="18"/>
        </w:rPr>
        <w:t xml:space="preserve"> te</w:t>
      </w:r>
      <w:r w:rsidR="000E0669">
        <w:rPr>
          <w:rFonts w:ascii="Verdana" w:hAnsi="Verdana"/>
          <w:sz w:val="18"/>
          <w:szCs w:val="18"/>
        </w:rPr>
        <w:t xml:space="preserve"> worden</w:t>
      </w:r>
      <w:r>
        <w:rPr>
          <w:rFonts w:ascii="Verdana" w:hAnsi="Verdana"/>
          <w:sz w:val="18"/>
          <w:szCs w:val="18"/>
        </w:rPr>
        <w:t xml:space="preserve"> verstrek</w:t>
      </w:r>
      <w:r w:rsidR="000E0669">
        <w:rPr>
          <w:rFonts w:ascii="Verdana" w:hAnsi="Verdana"/>
          <w:sz w:val="18"/>
          <w:szCs w:val="18"/>
        </w:rPr>
        <w:t>t</w:t>
      </w:r>
      <w:r>
        <w:rPr>
          <w:rFonts w:ascii="Verdana" w:hAnsi="Verdana"/>
          <w:sz w:val="18"/>
          <w:szCs w:val="18"/>
        </w:rPr>
        <w:t xml:space="preserve"> aan het</w:t>
      </w:r>
      <w:r w:rsidR="000E0669">
        <w:rPr>
          <w:rFonts w:ascii="Verdana" w:hAnsi="Verdana"/>
          <w:sz w:val="18"/>
          <w:szCs w:val="18"/>
        </w:rPr>
        <w:t xml:space="preserve"> ESAP</w:t>
      </w:r>
      <w:r>
        <w:rPr>
          <w:rFonts w:ascii="Verdana" w:hAnsi="Verdana"/>
          <w:sz w:val="18"/>
          <w:szCs w:val="18"/>
        </w:rPr>
        <w:t xml:space="preserve">, met inachtneming van de vereisten uit artikel 5 van de verordening oprichting ESAP. </w:t>
      </w:r>
      <w:r w:rsidRPr="00215BFE" w:rsidR="000E0669">
        <w:rPr>
          <w:rFonts w:ascii="Verdana" w:hAnsi="Verdana"/>
          <w:sz w:val="18"/>
          <w:szCs w:val="18"/>
        </w:rPr>
        <w:t xml:space="preserve">Voorts is naar aanleiding van de uitvoeringstoets door de AFM in de artikelsgewijze toelichting </w:t>
      </w:r>
      <w:r w:rsidR="00EC1002">
        <w:rPr>
          <w:rFonts w:ascii="Verdana" w:hAnsi="Verdana"/>
          <w:sz w:val="18"/>
          <w:szCs w:val="18"/>
        </w:rPr>
        <w:t>bij</w:t>
      </w:r>
      <w:r w:rsidR="008949D2">
        <w:rPr>
          <w:rFonts w:ascii="Verdana" w:hAnsi="Verdana"/>
          <w:sz w:val="18"/>
          <w:szCs w:val="18"/>
        </w:rPr>
        <w:t xml:space="preserve"> de bijlagen bij</w:t>
      </w:r>
      <w:r w:rsidR="00EC1002">
        <w:rPr>
          <w:rFonts w:ascii="Verdana" w:hAnsi="Verdana"/>
          <w:sz w:val="18"/>
          <w:szCs w:val="18"/>
        </w:rPr>
        <w:t xml:space="preserve"> de</w:t>
      </w:r>
      <w:r w:rsidR="008949D2">
        <w:rPr>
          <w:rFonts w:ascii="Verdana" w:hAnsi="Verdana"/>
          <w:sz w:val="18"/>
          <w:szCs w:val="18"/>
        </w:rPr>
        <w:t xml:space="preserve"> artikelen 1:79 en 1:80 van de Wft </w:t>
      </w:r>
      <w:r w:rsidRPr="00215BFE" w:rsidR="000E0669">
        <w:rPr>
          <w:rFonts w:ascii="Verdana" w:hAnsi="Verdana"/>
          <w:sz w:val="18"/>
          <w:szCs w:val="18"/>
        </w:rPr>
        <w:t>verduidelijkt wanneer de AFM bestuursrechtelijk kan handhaven.</w:t>
      </w:r>
    </w:p>
    <w:p w:rsidR="00215BFE" w:rsidP="009C2659" w:rsidRDefault="00215BFE" w14:paraId="3E20CD67" w14:textId="77777777">
      <w:pPr>
        <w:pStyle w:val="Default"/>
        <w:widowControl w:val="0"/>
        <w:spacing w:line="240" w:lineRule="atLeast"/>
        <w:rPr>
          <w:rFonts w:ascii="Verdana" w:hAnsi="Verdana"/>
          <w:sz w:val="18"/>
          <w:szCs w:val="18"/>
        </w:rPr>
      </w:pPr>
    </w:p>
    <w:p w:rsidR="00215BFE" w:rsidP="009C2659" w:rsidRDefault="00215BFE" w14:paraId="48594D6B" w14:textId="5C30217B">
      <w:pPr>
        <w:pStyle w:val="Default"/>
        <w:widowControl w:val="0"/>
        <w:spacing w:line="240" w:lineRule="atLeast"/>
        <w:rPr>
          <w:rFonts w:ascii="Verdana" w:hAnsi="Verdana"/>
          <w:sz w:val="18"/>
          <w:szCs w:val="18"/>
        </w:rPr>
      </w:pPr>
      <w:r>
        <w:rPr>
          <w:rFonts w:ascii="Verdana" w:hAnsi="Verdana"/>
          <w:sz w:val="18"/>
          <w:szCs w:val="18"/>
        </w:rPr>
        <w:t xml:space="preserve">Uit de uitvoeringstoets van de KvK blijkt vooral dat er een aantal afhankelijkheden zijn. Een belangrijke voorwaarde voor de KvK bij de uitvoering van het wetsvoorstel is de uitwerking van (IT)-systemen </w:t>
      </w:r>
      <w:r w:rsidR="007D0DD3">
        <w:rPr>
          <w:rFonts w:ascii="Verdana" w:hAnsi="Verdana"/>
          <w:sz w:val="18"/>
          <w:szCs w:val="18"/>
        </w:rPr>
        <w:t xml:space="preserve">door Logius. </w:t>
      </w:r>
      <w:r w:rsidR="00703C40">
        <w:rPr>
          <w:rFonts w:ascii="Verdana" w:hAnsi="Verdana"/>
          <w:sz w:val="18"/>
          <w:szCs w:val="18"/>
        </w:rPr>
        <w:t xml:space="preserve">Logius zal het portaal beheren waar </w:t>
      </w:r>
      <w:r w:rsidR="00334403">
        <w:rPr>
          <w:rFonts w:ascii="Verdana" w:hAnsi="Verdana"/>
          <w:sz w:val="18"/>
          <w:szCs w:val="18"/>
        </w:rPr>
        <w:t xml:space="preserve">ondernemingen </w:t>
      </w:r>
      <w:r w:rsidR="00703C40">
        <w:rPr>
          <w:rFonts w:ascii="Verdana" w:hAnsi="Verdana"/>
          <w:sz w:val="18"/>
          <w:szCs w:val="18"/>
        </w:rPr>
        <w:t>de informatie naartoe moet</w:t>
      </w:r>
      <w:r w:rsidR="00334403">
        <w:rPr>
          <w:rFonts w:ascii="Verdana" w:hAnsi="Verdana"/>
          <w:sz w:val="18"/>
          <w:szCs w:val="18"/>
        </w:rPr>
        <w:t>en sturen</w:t>
      </w:r>
      <w:r w:rsidR="00703C40">
        <w:rPr>
          <w:rFonts w:ascii="Verdana" w:hAnsi="Verdana"/>
          <w:sz w:val="18"/>
          <w:szCs w:val="18"/>
        </w:rPr>
        <w:t xml:space="preserve"> als </w:t>
      </w:r>
      <w:r w:rsidR="00334403">
        <w:rPr>
          <w:rFonts w:ascii="Verdana" w:hAnsi="Verdana"/>
          <w:sz w:val="18"/>
          <w:szCs w:val="18"/>
        </w:rPr>
        <w:t>zij die</w:t>
      </w:r>
      <w:r w:rsidR="00703C40">
        <w:rPr>
          <w:rFonts w:ascii="Verdana" w:hAnsi="Verdana"/>
          <w:sz w:val="18"/>
          <w:szCs w:val="18"/>
        </w:rPr>
        <w:t xml:space="preserve"> aanleveren bij de KvK en het is niet zeker dat Logius dit op tijd </w:t>
      </w:r>
      <w:r w:rsidR="00334403">
        <w:rPr>
          <w:rFonts w:ascii="Verdana" w:hAnsi="Verdana"/>
          <w:sz w:val="18"/>
          <w:szCs w:val="18"/>
        </w:rPr>
        <w:t>zal kunnen inregelen</w:t>
      </w:r>
      <w:r w:rsidR="00703C40">
        <w:rPr>
          <w:rFonts w:ascii="Verdana" w:hAnsi="Verdana"/>
          <w:sz w:val="18"/>
          <w:szCs w:val="18"/>
        </w:rPr>
        <w:t>. Als dit niet op tijd lukt, zal de KvK andere (handmatige) mogelijkheden verkennen om de informatie te ontvangen en door te sturen naar het ESAP.</w:t>
      </w:r>
    </w:p>
    <w:p w:rsidR="0079610D" w:rsidP="009C2659" w:rsidRDefault="0079610D" w14:paraId="4273CCC3" w14:textId="77777777">
      <w:pPr>
        <w:pStyle w:val="Default"/>
        <w:widowControl w:val="0"/>
        <w:spacing w:line="240" w:lineRule="atLeast"/>
        <w:rPr>
          <w:rFonts w:ascii="Verdana" w:hAnsi="Verdana"/>
          <w:sz w:val="18"/>
          <w:szCs w:val="18"/>
        </w:rPr>
      </w:pPr>
    </w:p>
    <w:p w:rsidRPr="00215BFE" w:rsidR="0079610D" w:rsidP="009C2659" w:rsidRDefault="005770E6" w14:paraId="2D318523" w14:textId="17F55BFB">
      <w:pPr>
        <w:pStyle w:val="Default"/>
        <w:widowControl w:val="0"/>
        <w:spacing w:line="240" w:lineRule="atLeast"/>
        <w:rPr>
          <w:rFonts w:ascii="Verdana" w:hAnsi="Verdana"/>
          <w:sz w:val="18"/>
          <w:szCs w:val="18"/>
        </w:rPr>
      </w:pPr>
      <w:r>
        <w:rPr>
          <w:rFonts w:ascii="Verdana" w:hAnsi="Verdana"/>
          <w:sz w:val="18"/>
          <w:szCs w:val="18"/>
        </w:rPr>
        <w:t>De uitvoeringstoets van DNB heeft geleid tot een verduidelijking in paragraaf 3.3 waar het gaat om vrijwillige informatie door te verwijzen naar relevante artikelen uit de verordening oprichting ESAP. Verder merkt DNB in de uitvoeringstoets op dat het</w:t>
      </w:r>
      <w:r w:rsidRPr="005770E6">
        <w:rPr>
          <w:rFonts w:ascii="Verdana" w:hAnsi="Verdana"/>
          <w:sz w:val="18"/>
          <w:szCs w:val="18"/>
        </w:rPr>
        <w:t xml:space="preserve"> wetsvoorstel bij de aanwijzing als verzamelende instantie</w:t>
      </w:r>
      <w:r>
        <w:rPr>
          <w:rFonts w:ascii="Verdana" w:hAnsi="Verdana"/>
          <w:sz w:val="18"/>
          <w:szCs w:val="18"/>
        </w:rPr>
        <w:t xml:space="preserve"> aansluit</w:t>
      </w:r>
      <w:r w:rsidRPr="005770E6">
        <w:rPr>
          <w:rFonts w:ascii="Verdana" w:hAnsi="Verdana"/>
          <w:sz w:val="18"/>
          <w:szCs w:val="18"/>
        </w:rPr>
        <w:t xml:space="preserve"> bij de huidige taakverdeling tussen de AFM en DNB. De AFM en DNB gaan nog met elkaar in gesprek om ervoor te zorgen dat de lasten voor ondernemingen, en in het bijzonder pensioenuitvoerders en pensioenfondsen, zo veel mogelijk worden beperk</w:t>
      </w:r>
      <w:r>
        <w:rPr>
          <w:rFonts w:ascii="Verdana" w:hAnsi="Verdana"/>
          <w:sz w:val="18"/>
          <w:szCs w:val="18"/>
        </w:rPr>
        <w:t>t.</w:t>
      </w:r>
    </w:p>
    <w:p w:rsidR="00EC1002" w:rsidP="009C2659" w:rsidRDefault="00EC1002" w14:paraId="5097B29A" w14:textId="77777777">
      <w:pPr>
        <w:widowControl w:val="0"/>
        <w:tabs>
          <w:tab w:val="num" w:pos="720"/>
        </w:tabs>
        <w:spacing w:line="240" w:lineRule="atLeast"/>
        <w:contextualSpacing/>
        <w:rPr>
          <w:rFonts w:ascii="Verdana" w:hAnsi="Verdana" w:eastAsia="Calibri"/>
          <w:i/>
          <w:iCs/>
          <w:sz w:val="18"/>
          <w:szCs w:val="18"/>
        </w:rPr>
      </w:pPr>
    </w:p>
    <w:p w:rsidRPr="007456D5" w:rsidR="00215BFE" w:rsidP="009C2659" w:rsidRDefault="00215BFE" w14:paraId="6A6AF94E" w14:textId="1D5B3F4A">
      <w:pPr>
        <w:widowControl w:val="0"/>
        <w:tabs>
          <w:tab w:val="num" w:pos="720"/>
        </w:tabs>
        <w:spacing w:line="240" w:lineRule="atLeast"/>
        <w:contextualSpacing/>
        <w:rPr>
          <w:rFonts w:ascii="Verdana" w:hAnsi="Verdana" w:eastAsia="Calibri"/>
          <w:i/>
          <w:iCs/>
          <w:sz w:val="18"/>
          <w:szCs w:val="18"/>
        </w:rPr>
      </w:pPr>
      <w:r w:rsidRPr="007456D5">
        <w:rPr>
          <w:rFonts w:ascii="Verdana" w:hAnsi="Verdana" w:eastAsia="Calibri"/>
          <w:i/>
          <w:iCs/>
          <w:sz w:val="18"/>
          <w:szCs w:val="18"/>
        </w:rPr>
        <w:t>§ 4.</w:t>
      </w:r>
      <w:r>
        <w:rPr>
          <w:rFonts w:ascii="Verdana" w:hAnsi="Verdana" w:eastAsia="Calibri"/>
          <w:i/>
          <w:iCs/>
          <w:sz w:val="18"/>
          <w:szCs w:val="18"/>
        </w:rPr>
        <w:t>4</w:t>
      </w:r>
      <w:r w:rsidRPr="007456D5">
        <w:rPr>
          <w:rFonts w:ascii="Verdana" w:hAnsi="Verdana" w:eastAsia="Calibri"/>
          <w:i/>
          <w:iCs/>
          <w:sz w:val="18"/>
          <w:szCs w:val="18"/>
        </w:rPr>
        <w:t>. Andere gevolgen</w:t>
      </w:r>
    </w:p>
    <w:p w:rsidRPr="007456D5" w:rsidR="00215BFE" w:rsidP="009C2659" w:rsidRDefault="00215BFE" w14:paraId="24EB12CF" w14:textId="77777777">
      <w:pPr>
        <w:widowControl w:val="0"/>
        <w:spacing w:line="240" w:lineRule="atLeast"/>
        <w:contextualSpacing/>
        <w:rPr>
          <w:rFonts w:ascii="Verdana" w:hAnsi="Verdana"/>
          <w:sz w:val="18"/>
          <w:szCs w:val="18"/>
        </w:rPr>
      </w:pPr>
    </w:p>
    <w:p w:rsidR="00C138FF" w:rsidP="009C2659" w:rsidRDefault="00215BFE" w14:paraId="79A1BEA4" w14:textId="362C0056">
      <w:pPr>
        <w:widowControl w:val="0"/>
        <w:spacing w:line="240" w:lineRule="atLeast"/>
        <w:contextualSpacing/>
        <w:rPr>
          <w:rFonts w:ascii="Verdana" w:hAnsi="Verdana"/>
          <w:sz w:val="18"/>
          <w:szCs w:val="18"/>
        </w:rPr>
      </w:pPr>
      <w:r w:rsidRPr="007456D5">
        <w:rPr>
          <w:rFonts w:ascii="Verdana" w:hAnsi="Verdana"/>
          <w:sz w:val="18"/>
          <w:szCs w:val="18"/>
        </w:rPr>
        <w:t xml:space="preserve">De voorgestelde wijzigingen in dit wetsvoorstel hebben </w:t>
      </w:r>
      <w:r w:rsidR="00C138FF">
        <w:rPr>
          <w:rFonts w:ascii="Verdana" w:hAnsi="Verdana"/>
          <w:sz w:val="18"/>
          <w:szCs w:val="18"/>
        </w:rPr>
        <w:t>beperkte</w:t>
      </w:r>
      <w:r w:rsidRPr="007456D5">
        <w:rPr>
          <w:rFonts w:ascii="Verdana" w:hAnsi="Verdana"/>
          <w:sz w:val="18"/>
          <w:szCs w:val="18"/>
        </w:rPr>
        <w:t xml:space="preserve"> financiële gevolgen voor het Rijk</w:t>
      </w:r>
      <w:r w:rsidR="00C138FF">
        <w:rPr>
          <w:rFonts w:ascii="Verdana" w:hAnsi="Verdana"/>
          <w:sz w:val="18"/>
          <w:szCs w:val="18"/>
        </w:rPr>
        <w:t>. Voor de uitvoering van het wetsvoorstel zal de KvK kos</w:t>
      </w:r>
      <w:r w:rsidR="00C138FF">
        <w:rPr>
          <w:rFonts w:ascii="Verdana" w:hAnsi="Verdana"/>
          <w:sz w:val="18"/>
          <w:szCs w:val="18"/>
        </w:rPr>
        <w:lastRenderedPageBreak/>
        <w:t>ten maken. In de uitvoeringstoets schat de KvK de</w:t>
      </w:r>
      <w:r w:rsidRPr="00C138FF" w:rsidR="00C138FF">
        <w:rPr>
          <w:rFonts w:ascii="Verdana" w:hAnsi="Verdana"/>
          <w:sz w:val="18"/>
          <w:szCs w:val="18"/>
        </w:rPr>
        <w:t xml:space="preserve"> eenmalige kosten </w:t>
      </w:r>
      <w:r w:rsidR="00C138FF">
        <w:rPr>
          <w:rFonts w:ascii="Verdana" w:hAnsi="Verdana"/>
          <w:sz w:val="18"/>
          <w:szCs w:val="18"/>
        </w:rPr>
        <w:t>op ongeveer</w:t>
      </w:r>
      <w:r w:rsidRPr="00C138FF" w:rsidR="00C138FF">
        <w:rPr>
          <w:rFonts w:ascii="Verdana" w:hAnsi="Verdana"/>
          <w:sz w:val="18"/>
          <w:szCs w:val="18"/>
        </w:rPr>
        <w:t xml:space="preserve"> € 747.000,- en de jaarlijkse structurele kosten op € 146.000,-.</w:t>
      </w:r>
      <w:r w:rsidR="00C138FF">
        <w:rPr>
          <w:rFonts w:ascii="Verdana" w:hAnsi="Verdana"/>
          <w:sz w:val="18"/>
          <w:szCs w:val="18"/>
        </w:rPr>
        <w:t xml:space="preserve"> </w:t>
      </w:r>
    </w:p>
    <w:p w:rsidR="00C138FF" w:rsidP="009C2659" w:rsidRDefault="00C138FF" w14:paraId="3663255A" w14:textId="77777777">
      <w:pPr>
        <w:widowControl w:val="0"/>
        <w:spacing w:line="240" w:lineRule="atLeast"/>
        <w:contextualSpacing/>
        <w:rPr>
          <w:rFonts w:ascii="Verdana" w:hAnsi="Verdana"/>
          <w:sz w:val="18"/>
          <w:szCs w:val="18"/>
        </w:rPr>
      </w:pPr>
    </w:p>
    <w:p w:rsidR="00215BFE" w:rsidP="009C2659" w:rsidRDefault="00453E07" w14:paraId="6335848B" w14:textId="74297622">
      <w:pPr>
        <w:widowControl w:val="0"/>
        <w:spacing w:line="240" w:lineRule="atLeast"/>
        <w:contextualSpacing/>
        <w:rPr>
          <w:rFonts w:ascii="Verdana" w:hAnsi="Verdana" w:cs="Arial"/>
          <w:sz w:val="18"/>
          <w:szCs w:val="18"/>
        </w:rPr>
      </w:pPr>
      <w:r>
        <w:rPr>
          <w:rFonts w:ascii="Verdana" w:hAnsi="Verdana"/>
          <w:sz w:val="18"/>
          <w:szCs w:val="18"/>
        </w:rPr>
        <w:t xml:space="preserve">Verder hebben de wijzigingen </w:t>
      </w:r>
      <w:r w:rsidRPr="00453E07">
        <w:rPr>
          <w:rFonts w:ascii="Verdana" w:hAnsi="Verdana"/>
          <w:sz w:val="18"/>
          <w:szCs w:val="18"/>
        </w:rPr>
        <w:t xml:space="preserve">geen gevolgen voor </w:t>
      </w:r>
      <w:r w:rsidR="00C138FF">
        <w:rPr>
          <w:rFonts w:ascii="Verdana" w:hAnsi="Verdana"/>
          <w:sz w:val="18"/>
          <w:szCs w:val="18"/>
        </w:rPr>
        <w:t xml:space="preserve">het doenvermogen van burgers of bedrijven, en </w:t>
      </w:r>
      <w:r w:rsidRPr="00453E07">
        <w:rPr>
          <w:rFonts w:ascii="Verdana" w:hAnsi="Verdana"/>
          <w:sz w:val="18"/>
          <w:szCs w:val="18"/>
        </w:rPr>
        <w:t xml:space="preserve">de innovatieruimte, </w:t>
      </w:r>
      <w:r>
        <w:rPr>
          <w:rFonts w:ascii="Verdana" w:hAnsi="Verdana"/>
          <w:sz w:val="18"/>
          <w:szCs w:val="18"/>
        </w:rPr>
        <w:t>-</w:t>
      </w:r>
      <w:r w:rsidRPr="00453E07">
        <w:rPr>
          <w:rFonts w:ascii="Verdana" w:hAnsi="Verdana"/>
          <w:sz w:val="18"/>
          <w:szCs w:val="18"/>
        </w:rPr>
        <w:t xml:space="preserve">bereidheid en </w:t>
      </w:r>
      <w:r>
        <w:rPr>
          <w:rFonts w:ascii="Verdana" w:hAnsi="Verdana"/>
          <w:sz w:val="18"/>
          <w:szCs w:val="18"/>
        </w:rPr>
        <w:t>-</w:t>
      </w:r>
      <w:r w:rsidRPr="00453E07">
        <w:rPr>
          <w:rFonts w:ascii="Verdana" w:hAnsi="Verdana"/>
          <w:sz w:val="18"/>
          <w:szCs w:val="18"/>
        </w:rPr>
        <w:t>capaciteit van bedrijven. Ook worden geen</w:t>
      </w:r>
      <w:r>
        <w:rPr>
          <w:rFonts w:ascii="Verdana" w:hAnsi="Verdana"/>
          <w:sz w:val="18"/>
          <w:szCs w:val="18"/>
        </w:rPr>
        <w:t xml:space="preserve"> grote interne</w:t>
      </w:r>
      <w:r w:rsidRPr="00453E07">
        <w:rPr>
          <w:rFonts w:ascii="Verdana" w:hAnsi="Verdana"/>
          <w:sz w:val="18"/>
          <w:szCs w:val="18"/>
        </w:rPr>
        <w:t xml:space="preserve"> markteffecten verwacht omdat </w:t>
      </w:r>
      <w:r>
        <w:rPr>
          <w:rFonts w:ascii="Verdana" w:hAnsi="Verdana"/>
          <w:sz w:val="18"/>
          <w:szCs w:val="18"/>
        </w:rPr>
        <w:t>de richtlijn ESAP zeer weinig</w:t>
      </w:r>
      <w:r w:rsidRPr="00453E07">
        <w:rPr>
          <w:rFonts w:ascii="Verdana" w:hAnsi="Verdana"/>
          <w:sz w:val="18"/>
          <w:szCs w:val="18"/>
        </w:rPr>
        <w:t xml:space="preserve"> beleidsruimte bevat. De verplichting heeft ook geen gevolgen voor ZZP’ers, microbedrijven en </w:t>
      </w:r>
      <w:r>
        <w:rPr>
          <w:rFonts w:ascii="Verdana" w:hAnsi="Verdana"/>
          <w:sz w:val="18"/>
          <w:szCs w:val="18"/>
        </w:rPr>
        <w:t xml:space="preserve">een groot deel van </w:t>
      </w:r>
      <w:r w:rsidRPr="00453E07">
        <w:rPr>
          <w:rFonts w:ascii="Verdana" w:hAnsi="Verdana"/>
          <w:sz w:val="18"/>
          <w:szCs w:val="18"/>
        </w:rPr>
        <w:t xml:space="preserve">het MKB omdat </w:t>
      </w:r>
      <w:r>
        <w:rPr>
          <w:rFonts w:ascii="Verdana" w:hAnsi="Verdana"/>
          <w:sz w:val="18"/>
          <w:szCs w:val="18"/>
        </w:rPr>
        <w:t>de regels vooral gaan gelden</w:t>
      </w:r>
      <w:r w:rsidRPr="00453E07">
        <w:rPr>
          <w:rFonts w:ascii="Verdana" w:hAnsi="Verdana"/>
          <w:sz w:val="18"/>
          <w:szCs w:val="18"/>
        </w:rPr>
        <w:t xml:space="preserve"> voor grote bedrijven.</w:t>
      </w:r>
    </w:p>
    <w:p w:rsidRPr="007456D5" w:rsidR="00215BFE" w:rsidP="009C2659" w:rsidRDefault="00215BFE" w14:paraId="3C56DDE1" w14:textId="77777777">
      <w:pPr>
        <w:widowControl w:val="0"/>
        <w:tabs>
          <w:tab w:val="num" w:pos="720"/>
        </w:tabs>
        <w:spacing w:line="240" w:lineRule="atLeast"/>
        <w:contextualSpacing/>
        <w:rPr>
          <w:rFonts w:ascii="Verdana" w:hAnsi="Verdana" w:cs="Arial"/>
          <w:sz w:val="18"/>
          <w:szCs w:val="18"/>
        </w:rPr>
      </w:pPr>
    </w:p>
    <w:p w:rsidRPr="00215BFE" w:rsidR="003E41E6" w:rsidP="009C2659" w:rsidRDefault="003E41E6" w14:paraId="58157A4E" w14:textId="4F471146">
      <w:pPr>
        <w:widowControl w:val="0"/>
        <w:tabs>
          <w:tab w:val="num" w:pos="720"/>
        </w:tabs>
        <w:spacing w:line="240" w:lineRule="atLeast"/>
        <w:contextualSpacing/>
        <w:rPr>
          <w:rFonts w:ascii="Verdana" w:hAnsi="Verdana" w:cs="Arial"/>
          <w:i/>
          <w:iCs/>
          <w:sz w:val="18"/>
          <w:szCs w:val="18"/>
        </w:rPr>
      </w:pPr>
      <w:bookmarkStart w:name="_Hlk213924235" w:id="5"/>
      <w:r w:rsidRPr="007456D5">
        <w:rPr>
          <w:rFonts w:ascii="Verdana" w:hAnsi="Verdana" w:cs="Arial"/>
          <w:i/>
          <w:iCs/>
          <w:sz w:val="18"/>
          <w:szCs w:val="18"/>
        </w:rPr>
        <w:t>§</w:t>
      </w:r>
      <w:r w:rsidR="00874DAE">
        <w:rPr>
          <w:rFonts w:ascii="Verdana" w:hAnsi="Verdana" w:cs="Arial"/>
          <w:i/>
          <w:iCs/>
          <w:sz w:val="18"/>
          <w:szCs w:val="18"/>
        </w:rPr>
        <w:t xml:space="preserve"> </w:t>
      </w:r>
      <w:r w:rsidRPr="007456D5">
        <w:rPr>
          <w:rFonts w:ascii="Verdana" w:hAnsi="Verdana" w:cs="Arial"/>
          <w:i/>
          <w:iCs/>
          <w:sz w:val="18"/>
          <w:szCs w:val="18"/>
        </w:rPr>
        <w:t>5. Marktconsultaties</w:t>
      </w:r>
    </w:p>
    <w:bookmarkEnd w:id="5"/>
    <w:p w:rsidR="003E41E6" w:rsidP="009C2659" w:rsidRDefault="003E41E6" w14:paraId="4B01F81F"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2598ABC8" w14:textId="0F0F0BDF">
      <w:pPr>
        <w:widowControl w:val="0"/>
        <w:tabs>
          <w:tab w:val="num" w:pos="720"/>
        </w:tabs>
        <w:spacing w:line="240" w:lineRule="atLeast"/>
        <w:contextualSpacing/>
        <w:rPr>
          <w:rFonts w:ascii="Verdana" w:hAnsi="Verdana" w:cs="Arial"/>
          <w:i/>
          <w:iCs/>
          <w:sz w:val="18"/>
          <w:szCs w:val="18"/>
        </w:rPr>
      </w:pPr>
      <w:r w:rsidRPr="007456D5">
        <w:rPr>
          <w:rFonts w:ascii="Verdana" w:hAnsi="Verdana" w:cs="Arial"/>
          <w:i/>
          <w:iCs/>
          <w:sz w:val="18"/>
          <w:szCs w:val="18"/>
        </w:rPr>
        <w:t>§</w:t>
      </w:r>
      <w:r w:rsidR="00874DAE">
        <w:rPr>
          <w:rFonts w:ascii="Verdana" w:hAnsi="Verdana" w:cs="Arial"/>
          <w:i/>
          <w:iCs/>
          <w:sz w:val="18"/>
          <w:szCs w:val="18"/>
        </w:rPr>
        <w:t xml:space="preserve"> </w:t>
      </w:r>
      <w:r w:rsidRPr="007456D5">
        <w:rPr>
          <w:rFonts w:ascii="Verdana" w:hAnsi="Verdana" w:cs="Arial"/>
          <w:i/>
          <w:iCs/>
          <w:sz w:val="18"/>
          <w:szCs w:val="18"/>
        </w:rPr>
        <w:t>5.</w:t>
      </w:r>
      <w:r>
        <w:rPr>
          <w:rFonts w:ascii="Verdana" w:hAnsi="Verdana" w:cs="Arial"/>
          <w:i/>
          <w:iCs/>
          <w:sz w:val="18"/>
          <w:szCs w:val="18"/>
        </w:rPr>
        <w:t>1</w:t>
      </w:r>
      <w:r w:rsidR="00874DAE">
        <w:rPr>
          <w:rFonts w:ascii="Verdana" w:hAnsi="Verdana" w:cs="Arial"/>
          <w:i/>
          <w:iCs/>
          <w:sz w:val="18"/>
          <w:szCs w:val="18"/>
        </w:rPr>
        <w:t>.</w:t>
      </w:r>
      <w:r w:rsidRPr="007456D5">
        <w:rPr>
          <w:rFonts w:ascii="Verdana" w:hAnsi="Verdana" w:cs="Arial"/>
          <w:i/>
          <w:iCs/>
          <w:sz w:val="18"/>
          <w:szCs w:val="18"/>
        </w:rPr>
        <w:t xml:space="preserve"> </w:t>
      </w:r>
      <w:r>
        <w:rPr>
          <w:rFonts w:ascii="Verdana" w:hAnsi="Verdana" w:cs="Arial"/>
          <w:i/>
          <w:iCs/>
          <w:sz w:val="18"/>
          <w:szCs w:val="18"/>
        </w:rPr>
        <w:t>Algemeen</w:t>
      </w:r>
    </w:p>
    <w:p w:rsidRPr="00954A69" w:rsidR="003E41E6" w:rsidP="009C2659" w:rsidRDefault="003E41E6" w14:paraId="6D02EE6C"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24818C1D" w14:textId="03CFB346">
      <w:pPr>
        <w:widowControl w:val="0"/>
        <w:tabs>
          <w:tab w:val="num" w:pos="720"/>
        </w:tabs>
        <w:spacing w:line="240" w:lineRule="atLeast"/>
        <w:contextualSpacing/>
        <w:rPr>
          <w:rFonts w:ascii="Verdana" w:hAnsi="Verdana" w:cs="Arial"/>
          <w:sz w:val="18"/>
          <w:szCs w:val="18"/>
        </w:rPr>
      </w:pPr>
      <w:r w:rsidRPr="00954A69">
        <w:rPr>
          <w:rFonts w:ascii="Verdana" w:hAnsi="Verdana" w:cs="Arial"/>
          <w:sz w:val="18"/>
          <w:szCs w:val="18"/>
        </w:rPr>
        <w:t>Omdat uitsluitend sprake is van directe omzetting van Europese regelgeving zonder nationale toevoegingen en de implementatiedeadline</w:t>
      </w:r>
      <w:r w:rsidR="00D757EB">
        <w:rPr>
          <w:rFonts w:ascii="Verdana" w:hAnsi="Verdana" w:cs="Arial"/>
          <w:sz w:val="18"/>
          <w:szCs w:val="18"/>
        </w:rPr>
        <w:t xml:space="preserve"> krap is</w:t>
      </w:r>
      <w:r w:rsidRPr="00954A69">
        <w:rPr>
          <w:rFonts w:ascii="Verdana" w:hAnsi="Verdana" w:cs="Arial"/>
          <w:sz w:val="18"/>
          <w:szCs w:val="18"/>
        </w:rPr>
        <w:t xml:space="preserve">, is ervoor gekozen om </w:t>
      </w:r>
      <w:r w:rsidR="00CC1B2D">
        <w:rPr>
          <w:rFonts w:ascii="Verdana" w:hAnsi="Verdana" w:cs="Arial"/>
          <w:sz w:val="18"/>
          <w:szCs w:val="18"/>
        </w:rPr>
        <w:t xml:space="preserve">over </w:t>
      </w:r>
      <w:r w:rsidRPr="00954A69">
        <w:rPr>
          <w:rFonts w:ascii="Verdana" w:hAnsi="Verdana" w:cs="Arial"/>
          <w:sz w:val="18"/>
          <w:szCs w:val="18"/>
        </w:rPr>
        <w:t>dit wetsvoorstel niet via internet te consulteren. In de gehele totstandkomingsfase van dit wetsvoorstel zijn de</w:t>
      </w:r>
      <w:r w:rsidR="00D757EB">
        <w:rPr>
          <w:rFonts w:ascii="Verdana" w:hAnsi="Verdana" w:cs="Arial"/>
          <w:sz w:val="18"/>
          <w:szCs w:val="18"/>
        </w:rPr>
        <w:t xml:space="preserve"> AFM, DNB en de KvK </w:t>
      </w:r>
      <w:r w:rsidRPr="00954A69">
        <w:rPr>
          <w:rFonts w:ascii="Verdana" w:hAnsi="Verdana" w:cs="Arial"/>
          <w:sz w:val="18"/>
          <w:szCs w:val="18"/>
        </w:rPr>
        <w:t xml:space="preserve">uitgebreid betrokken en is </w:t>
      </w:r>
      <w:r w:rsidR="000B15C2">
        <w:rPr>
          <w:rFonts w:ascii="Verdana" w:hAnsi="Verdana" w:cs="Arial"/>
          <w:sz w:val="18"/>
          <w:szCs w:val="18"/>
        </w:rPr>
        <w:t xml:space="preserve">over </w:t>
      </w:r>
      <w:r w:rsidRPr="00954A69">
        <w:rPr>
          <w:rFonts w:ascii="Verdana" w:hAnsi="Verdana" w:cs="Arial"/>
          <w:sz w:val="18"/>
          <w:szCs w:val="18"/>
        </w:rPr>
        <w:t xml:space="preserve">het wetsvoorstel een brede groep stakeholders geconsulteerd. </w:t>
      </w:r>
    </w:p>
    <w:p w:rsidRPr="00954A69" w:rsidR="003E41E6" w:rsidP="009C2659" w:rsidRDefault="003E41E6" w14:paraId="18E8F726"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3C5E32A3" w14:textId="2CB1C352">
      <w:pPr>
        <w:widowControl w:val="0"/>
        <w:tabs>
          <w:tab w:val="num" w:pos="720"/>
        </w:tabs>
        <w:spacing w:line="240" w:lineRule="atLeast"/>
        <w:contextualSpacing/>
        <w:rPr>
          <w:rFonts w:ascii="Verdana" w:hAnsi="Verdana" w:cs="Arial"/>
          <w:sz w:val="18"/>
          <w:szCs w:val="18"/>
        </w:rPr>
      </w:pPr>
      <w:r w:rsidRPr="00954A69">
        <w:rPr>
          <w:rFonts w:ascii="Verdana" w:hAnsi="Verdana" w:cs="Arial"/>
          <w:sz w:val="18"/>
          <w:szCs w:val="18"/>
        </w:rPr>
        <w:t xml:space="preserve">De consultatieperiode heeft geleid tot </w:t>
      </w:r>
      <w:r>
        <w:rPr>
          <w:rFonts w:ascii="Verdana" w:hAnsi="Verdana" w:cs="Arial"/>
          <w:sz w:val="18"/>
          <w:szCs w:val="18"/>
        </w:rPr>
        <w:t>input</w:t>
      </w:r>
      <w:r w:rsidRPr="00954A69">
        <w:rPr>
          <w:rFonts w:ascii="Verdana" w:hAnsi="Verdana" w:cs="Arial"/>
          <w:sz w:val="18"/>
          <w:szCs w:val="18"/>
        </w:rPr>
        <w:t xml:space="preserve"> van Eumedion, de Vereniging Effecten Uitgevende Ondernemingen (VEUO), VNO-NCW en de Raad voor de Jaarverslaggeving (RJ). Hieronder </w:t>
      </w:r>
      <w:r>
        <w:rPr>
          <w:rFonts w:ascii="Verdana" w:hAnsi="Verdana" w:cs="Arial"/>
          <w:sz w:val="18"/>
          <w:szCs w:val="18"/>
        </w:rPr>
        <w:t>worden de belangrijkste aanpassingen n</w:t>
      </w:r>
      <w:r w:rsidR="00D757EB">
        <w:rPr>
          <w:rFonts w:ascii="Verdana" w:hAnsi="Verdana" w:cs="Arial"/>
          <w:sz w:val="18"/>
          <w:szCs w:val="18"/>
        </w:rPr>
        <w:t>aar aanleiding van</w:t>
      </w:r>
      <w:r>
        <w:rPr>
          <w:rFonts w:ascii="Verdana" w:hAnsi="Verdana" w:cs="Arial"/>
          <w:sz w:val="18"/>
          <w:szCs w:val="18"/>
        </w:rPr>
        <w:t xml:space="preserve"> deze consultatiereacties kort toegelicht.</w:t>
      </w:r>
    </w:p>
    <w:p w:rsidRPr="00954A69" w:rsidR="003E41E6" w:rsidP="009C2659" w:rsidRDefault="003E41E6" w14:paraId="04C97C26"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40AC649E" w14:textId="746E8B29">
      <w:pPr>
        <w:widowControl w:val="0"/>
        <w:tabs>
          <w:tab w:val="num" w:pos="720"/>
        </w:tabs>
        <w:spacing w:line="240" w:lineRule="atLeast"/>
        <w:contextualSpacing/>
        <w:rPr>
          <w:rFonts w:ascii="Verdana" w:hAnsi="Verdana" w:cs="Arial"/>
          <w:i/>
          <w:iCs/>
          <w:sz w:val="18"/>
          <w:szCs w:val="18"/>
        </w:rPr>
      </w:pPr>
      <w:r w:rsidRPr="00954A69">
        <w:rPr>
          <w:rFonts w:ascii="Verdana" w:hAnsi="Verdana" w:cs="Arial"/>
          <w:i/>
          <w:iCs/>
          <w:sz w:val="18"/>
          <w:szCs w:val="18"/>
        </w:rPr>
        <w:t>§</w:t>
      </w:r>
      <w:r w:rsidR="00874DAE">
        <w:rPr>
          <w:rFonts w:ascii="Verdana" w:hAnsi="Verdana" w:cs="Arial"/>
          <w:i/>
          <w:iCs/>
          <w:sz w:val="18"/>
          <w:szCs w:val="18"/>
        </w:rPr>
        <w:t xml:space="preserve"> </w:t>
      </w:r>
      <w:r w:rsidRPr="00954A69">
        <w:rPr>
          <w:rFonts w:ascii="Verdana" w:hAnsi="Verdana" w:cs="Arial"/>
          <w:i/>
          <w:iCs/>
          <w:sz w:val="18"/>
          <w:szCs w:val="18"/>
        </w:rPr>
        <w:t>5.2</w:t>
      </w:r>
      <w:r w:rsidR="00874DAE">
        <w:rPr>
          <w:rFonts w:ascii="Verdana" w:hAnsi="Verdana" w:cs="Arial"/>
          <w:i/>
          <w:iCs/>
          <w:sz w:val="18"/>
          <w:szCs w:val="18"/>
        </w:rPr>
        <w:t>.</w:t>
      </w:r>
      <w:r w:rsidRPr="00954A69">
        <w:rPr>
          <w:rFonts w:ascii="Verdana" w:hAnsi="Verdana" w:cs="Arial"/>
          <w:i/>
          <w:iCs/>
          <w:sz w:val="18"/>
          <w:szCs w:val="18"/>
        </w:rPr>
        <w:t xml:space="preserve"> </w:t>
      </w:r>
      <w:proofErr w:type="spellStart"/>
      <w:r w:rsidRPr="00954A69">
        <w:rPr>
          <w:rFonts w:ascii="Verdana" w:hAnsi="Verdana" w:cs="Arial"/>
          <w:i/>
          <w:iCs/>
          <w:sz w:val="18"/>
          <w:szCs w:val="18"/>
        </w:rPr>
        <w:t>Eumedion</w:t>
      </w:r>
      <w:proofErr w:type="spellEnd"/>
    </w:p>
    <w:p w:rsidRPr="00954A69" w:rsidR="003E41E6" w:rsidP="009C2659" w:rsidRDefault="003E41E6" w14:paraId="309CDEAF" w14:textId="77777777">
      <w:pPr>
        <w:widowControl w:val="0"/>
        <w:tabs>
          <w:tab w:val="num" w:pos="720"/>
        </w:tabs>
        <w:spacing w:line="240" w:lineRule="atLeast"/>
        <w:contextualSpacing/>
        <w:rPr>
          <w:rFonts w:ascii="Verdana" w:hAnsi="Verdana" w:cs="Arial"/>
          <w:sz w:val="18"/>
          <w:szCs w:val="18"/>
        </w:rPr>
      </w:pPr>
    </w:p>
    <w:p w:rsidR="003E41E6" w:rsidP="009C2659" w:rsidRDefault="003E41E6" w14:paraId="0D17BEE3" w14:textId="3A00B583">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Naar aanleiding van </w:t>
      </w:r>
      <w:r w:rsidR="00CE4DB5">
        <w:rPr>
          <w:rFonts w:ascii="Verdana" w:hAnsi="Verdana" w:cs="Arial"/>
          <w:sz w:val="18"/>
          <w:szCs w:val="18"/>
        </w:rPr>
        <w:t>de opmerkingen</w:t>
      </w:r>
      <w:r>
        <w:rPr>
          <w:rFonts w:ascii="Verdana" w:hAnsi="Verdana" w:cs="Arial"/>
          <w:sz w:val="18"/>
          <w:szCs w:val="18"/>
        </w:rPr>
        <w:t xml:space="preserve"> van </w:t>
      </w:r>
      <w:r w:rsidRPr="00207122">
        <w:rPr>
          <w:rFonts w:ascii="Verdana" w:hAnsi="Verdana" w:cs="Arial"/>
          <w:sz w:val="18"/>
          <w:szCs w:val="18"/>
        </w:rPr>
        <w:t xml:space="preserve">Eumedion </w:t>
      </w:r>
      <w:r>
        <w:rPr>
          <w:rFonts w:ascii="Verdana" w:hAnsi="Verdana" w:cs="Arial"/>
          <w:sz w:val="18"/>
          <w:szCs w:val="18"/>
        </w:rPr>
        <w:t>is i</w:t>
      </w:r>
      <w:r w:rsidRPr="00207122">
        <w:rPr>
          <w:rFonts w:ascii="Verdana" w:hAnsi="Verdana" w:cs="Arial"/>
          <w:sz w:val="18"/>
          <w:szCs w:val="18"/>
        </w:rPr>
        <w:t xml:space="preserve">n de artikelsgewijze toelichting bij artikel 2:394a BW </w:t>
      </w:r>
      <w:r>
        <w:rPr>
          <w:rFonts w:ascii="Verdana" w:hAnsi="Verdana" w:cs="Arial"/>
          <w:sz w:val="18"/>
          <w:szCs w:val="18"/>
        </w:rPr>
        <w:t>het uitstel opgenomen dat voortvloeit uit de zogenaamde Stop-de-klok-richtlijn</w:t>
      </w:r>
      <w:r w:rsidRPr="00DC353F" w:rsidR="00B358BD">
        <w:rPr>
          <w:rFonts w:ascii="Verdana" w:hAnsi="Verdana" w:eastAsia="Calibri"/>
          <w:kern w:val="2"/>
          <w:sz w:val="18"/>
          <w:szCs w:val="18"/>
          <w:vertAlign w:val="superscript"/>
          <w:lang w:eastAsia="en-US"/>
          <w14:ligatures w14:val="standardContextual"/>
        </w:rPr>
        <w:footnoteReference w:id="7"/>
      </w:r>
      <w:r>
        <w:rPr>
          <w:rFonts w:ascii="Verdana" w:hAnsi="Verdana" w:cs="Arial"/>
          <w:sz w:val="18"/>
          <w:szCs w:val="18"/>
        </w:rPr>
        <w:t xml:space="preserve"> uit het Omnibus I-pakket van de Europese Commissie uit februari 2025. </w:t>
      </w:r>
    </w:p>
    <w:p w:rsidR="003E41E6" w:rsidP="009C2659" w:rsidRDefault="003E41E6" w14:paraId="6302BFBD" w14:textId="77777777">
      <w:pPr>
        <w:widowControl w:val="0"/>
        <w:tabs>
          <w:tab w:val="num" w:pos="720"/>
        </w:tabs>
        <w:spacing w:line="240" w:lineRule="atLeast"/>
        <w:contextualSpacing/>
        <w:rPr>
          <w:rFonts w:ascii="Verdana" w:hAnsi="Verdana" w:cs="Arial"/>
          <w:sz w:val="18"/>
          <w:szCs w:val="18"/>
        </w:rPr>
      </w:pPr>
    </w:p>
    <w:p w:rsidR="003E41E6" w:rsidP="009C2659" w:rsidRDefault="003E41E6" w14:paraId="7B82951E" w14:textId="76D1B4B7">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Verder </w:t>
      </w:r>
      <w:r w:rsidR="00CE4DB5">
        <w:rPr>
          <w:rFonts w:ascii="Verdana" w:hAnsi="Verdana" w:cs="Arial"/>
          <w:sz w:val="18"/>
          <w:szCs w:val="18"/>
        </w:rPr>
        <w:t xml:space="preserve">is in </w:t>
      </w:r>
      <w:r w:rsidR="00FA5167">
        <w:rPr>
          <w:rFonts w:ascii="Verdana" w:hAnsi="Verdana" w:cs="Arial"/>
          <w:sz w:val="18"/>
          <w:szCs w:val="18"/>
        </w:rPr>
        <w:t xml:space="preserve">paragraaf 2.2 van </w:t>
      </w:r>
      <w:r w:rsidR="00CE4DB5">
        <w:rPr>
          <w:rFonts w:ascii="Verdana" w:hAnsi="Verdana" w:cs="Arial"/>
          <w:sz w:val="18"/>
          <w:szCs w:val="18"/>
        </w:rPr>
        <w:t xml:space="preserve">het </w:t>
      </w:r>
      <w:r>
        <w:rPr>
          <w:rFonts w:ascii="Verdana" w:hAnsi="Verdana" w:cs="Arial"/>
          <w:sz w:val="18"/>
          <w:szCs w:val="18"/>
        </w:rPr>
        <w:t>algem</w:t>
      </w:r>
      <w:r w:rsidR="00CE4DB5">
        <w:rPr>
          <w:rFonts w:ascii="Verdana" w:hAnsi="Verdana" w:cs="Arial"/>
          <w:sz w:val="18"/>
          <w:szCs w:val="18"/>
        </w:rPr>
        <w:t>een</w:t>
      </w:r>
      <w:r>
        <w:rPr>
          <w:rFonts w:ascii="Verdana" w:hAnsi="Verdana" w:cs="Arial"/>
          <w:sz w:val="18"/>
          <w:szCs w:val="18"/>
        </w:rPr>
        <w:t xml:space="preserve"> deel van de</w:t>
      </w:r>
      <w:r w:rsidR="00CE4DB5">
        <w:rPr>
          <w:rFonts w:ascii="Verdana" w:hAnsi="Verdana" w:cs="Arial"/>
          <w:sz w:val="18"/>
          <w:szCs w:val="18"/>
        </w:rPr>
        <w:t xml:space="preserve"> memorie van</w:t>
      </w:r>
      <w:r>
        <w:rPr>
          <w:rFonts w:ascii="Verdana" w:hAnsi="Verdana" w:cs="Arial"/>
          <w:sz w:val="18"/>
          <w:szCs w:val="18"/>
        </w:rPr>
        <w:t xml:space="preserve"> toelichting verduidelijkt</w:t>
      </w:r>
      <w:r w:rsidR="00CE4DB5">
        <w:rPr>
          <w:rFonts w:ascii="Verdana" w:hAnsi="Verdana" w:cs="Arial"/>
          <w:sz w:val="18"/>
          <w:szCs w:val="18"/>
        </w:rPr>
        <w:t xml:space="preserve"> dat de </w:t>
      </w:r>
      <w:r w:rsidR="00BF5138">
        <w:rPr>
          <w:rFonts w:ascii="Verdana" w:hAnsi="Verdana" w:cs="Arial"/>
          <w:sz w:val="18"/>
          <w:szCs w:val="18"/>
        </w:rPr>
        <w:t xml:space="preserve">geautomatiseerde validaties van de </w:t>
      </w:r>
      <w:r w:rsidR="00CE4DB5">
        <w:rPr>
          <w:rFonts w:ascii="Verdana" w:hAnsi="Verdana" w:cs="Arial"/>
          <w:sz w:val="18"/>
          <w:szCs w:val="18"/>
        </w:rPr>
        <w:t>verzamelende instanties geen</w:t>
      </w:r>
      <w:r>
        <w:rPr>
          <w:rFonts w:ascii="Verdana" w:hAnsi="Verdana" w:cs="Arial"/>
          <w:sz w:val="18"/>
          <w:szCs w:val="18"/>
        </w:rPr>
        <w:t xml:space="preserve"> </w:t>
      </w:r>
      <w:r w:rsidR="00CE4DB5">
        <w:rPr>
          <w:rFonts w:ascii="Verdana" w:hAnsi="Verdana" w:cs="Arial"/>
          <w:sz w:val="18"/>
          <w:szCs w:val="18"/>
        </w:rPr>
        <w:t xml:space="preserve">betrekking </w:t>
      </w:r>
      <w:r w:rsidR="00BF5138">
        <w:rPr>
          <w:rFonts w:ascii="Verdana" w:hAnsi="Verdana" w:cs="Arial"/>
          <w:sz w:val="18"/>
          <w:szCs w:val="18"/>
        </w:rPr>
        <w:t xml:space="preserve">hebben </w:t>
      </w:r>
      <w:r w:rsidR="002730D2">
        <w:rPr>
          <w:rFonts w:ascii="Verdana" w:hAnsi="Verdana" w:cs="Arial"/>
          <w:sz w:val="18"/>
          <w:szCs w:val="18"/>
        </w:rPr>
        <w:t>op</w:t>
      </w:r>
      <w:r>
        <w:rPr>
          <w:rFonts w:ascii="Verdana" w:hAnsi="Verdana" w:cs="Arial"/>
          <w:sz w:val="18"/>
          <w:szCs w:val="18"/>
        </w:rPr>
        <w:t xml:space="preserve"> de inhoud van de informatie</w:t>
      </w:r>
      <w:r w:rsidR="00CE4DB5">
        <w:rPr>
          <w:rFonts w:ascii="Verdana" w:hAnsi="Verdana" w:cs="Arial"/>
          <w:sz w:val="18"/>
          <w:szCs w:val="18"/>
        </w:rPr>
        <w:t xml:space="preserve"> en dat de </w:t>
      </w:r>
      <w:r>
        <w:rPr>
          <w:rFonts w:ascii="Verdana" w:hAnsi="Verdana" w:cs="Arial"/>
          <w:sz w:val="18"/>
          <w:szCs w:val="18"/>
        </w:rPr>
        <w:t>v</w:t>
      </w:r>
      <w:r w:rsidRPr="00827E47">
        <w:rPr>
          <w:rFonts w:ascii="Verdana" w:hAnsi="Verdana" w:cs="Arial"/>
          <w:sz w:val="18"/>
          <w:szCs w:val="18"/>
        </w:rPr>
        <w:t>erzamelende instanties</w:t>
      </w:r>
      <w:r w:rsidR="00CE4DB5">
        <w:rPr>
          <w:rFonts w:ascii="Verdana" w:hAnsi="Verdana" w:cs="Arial"/>
          <w:sz w:val="18"/>
          <w:szCs w:val="18"/>
        </w:rPr>
        <w:t xml:space="preserve"> </w:t>
      </w:r>
      <w:r w:rsidRPr="00827E47">
        <w:rPr>
          <w:rFonts w:ascii="Verdana" w:hAnsi="Verdana" w:cs="Arial"/>
          <w:sz w:val="18"/>
          <w:szCs w:val="18"/>
        </w:rPr>
        <w:t>ook bij vrijwillig ingediende informatie validaties</w:t>
      </w:r>
      <w:r w:rsidR="00CE4DB5">
        <w:rPr>
          <w:rFonts w:ascii="Verdana" w:hAnsi="Verdana" w:cs="Arial"/>
          <w:sz w:val="18"/>
          <w:szCs w:val="18"/>
        </w:rPr>
        <w:t xml:space="preserve"> zullen</w:t>
      </w:r>
      <w:r w:rsidRPr="00827E47">
        <w:rPr>
          <w:rFonts w:ascii="Verdana" w:hAnsi="Verdana" w:cs="Arial"/>
          <w:sz w:val="18"/>
          <w:szCs w:val="18"/>
        </w:rPr>
        <w:t xml:space="preserve"> uitvoeren om na te gaan of de informatie is ingediend in het juiste format en voorzien is van de voorgeschreven metadata</w:t>
      </w:r>
      <w:r w:rsidR="00CE4DB5">
        <w:rPr>
          <w:rFonts w:ascii="Verdana" w:hAnsi="Verdana" w:cs="Arial"/>
          <w:sz w:val="18"/>
          <w:szCs w:val="18"/>
        </w:rPr>
        <w:t xml:space="preserve">. Voorts is </w:t>
      </w:r>
      <w:r w:rsidR="00FA5167">
        <w:rPr>
          <w:rFonts w:ascii="Verdana" w:hAnsi="Verdana" w:cs="Arial"/>
          <w:sz w:val="18"/>
          <w:szCs w:val="18"/>
        </w:rPr>
        <w:t xml:space="preserve">in paragraaf 2.2 </w:t>
      </w:r>
      <w:r w:rsidR="00CE4DB5">
        <w:rPr>
          <w:rFonts w:ascii="Verdana" w:hAnsi="Verdana" w:cs="Arial"/>
          <w:sz w:val="18"/>
          <w:szCs w:val="18"/>
        </w:rPr>
        <w:t>toegelicht voor welke entiteiten en bij de vervulling van welke taken het raadplegen van ESAP kosteloos is.</w:t>
      </w:r>
    </w:p>
    <w:p w:rsidRPr="00954A69" w:rsidR="003E41E6" w:rsidP="009C2659" w:rsidRDefault="003E41E6" w14:paraId="5B9F8979"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1269BE40" w14:textId="4FDD90D7">
      <w:pPr>
        <w:widowControl w:val="0"/>
        <w:tabs>
          <w:tab w:val="num" w:pos="720"/>
        </w:tabs>
        <w:spacing w:line="240" w:lineRule="atLeast"/>
        <w:contextualSpacing/>
        <w:rPr>
          <w:rFonts w:ascii="Verdana" w:hAnsi="Verdana" w:cs="Arial"/>
          <w:i/>
          <w:iCs/>
          <w:sz w:val="18"/>
          <w:szCs w:val="18"/>
        </w:rPr>
      </w:pPr>
      <w:r w:rsidRPr="00954A69">
        <w:rPr>
          <w:rFonts w:ascii="Verdana" w:hAnsi="Verdana" w:cs="Arial"/>
          <w:i/>
          <w:iCs/>
          <w:sz w:val="18"/>
          <w:szCs w:val="18"/>
        </w:rPr>
        <w:t>§</w:t>
      </w:r>
      <w:r w:rsidR="00874DAE">
        <w:rPr>
          <w:rFonts w:ascii="Verdana" w:hAnsi="Verdana" w:cs="Arial"/>
          <w:i/>
          <w:iCs/>
          <w:sz w:val="18"/>
          <w:szCs w:val="18"/>
        </w:rPr>
        <w:t xml:space="preserve"> </w:t>
      </w:r>
      <w:r w:rsidRPr="00954A69">
        <w:rPr>
          <w:rFonts w:ascii="Verdana" w:hAnsi="Verdana" w:cs="Arial"/>
          <w:i/>
          <w:iCs/>
          <w:sz w:val="18"/>
          <w:szCs w:val="18"/>
        </w:rPr>
        <w:t>5.3</w:t>
      </w:r>
      <w:r w:rsidR="00874DAE">
        <w:rPr>
          <w:rFonts w:ascii="Verdana" w:hAnsi="Verdana" w:cs="Arial"/>
          <w:i/>
          <w:iCs/>
          <w:sz w:val="18"/>
          <w:szCs w:val="18"/>
        </w:rPr>
        <w:t>.</w:t>
      </w:r>
      <w:r w:rsidRPr="00954A69">
        <w:rPr>
          <w:rFonts w:ascii="Verdana" w:hAnsi="Verdana" w:cs="Arial"/>
          <w:i/>
          <w:iCs/>
          <w:sz w:val="18"/>
          <w:szCs w:val="18"/>
        </w:rPr>
        <w:t xml:space="preserve"> VEUO</w:t>
      </w:r>
    </w:p>
    <w:p w:rsidRPr="00954A69" w:rsidR="003E41E6" w:rsidP="009C2659" w:rsidRDefault="003E41E6" w14:paraId="7DB4682D" w14:textId="77777777">
      <w:pPr>
        <w:widowControl w:val="0"/>
        <w:tabs>
          <w:tab w:val="num" w:pos="720"/>
        </w:tabs>
        <w:spacing w:line="240" w:lineRule="atLeast"/>
        <w:contextualSpacing/>
        <w:rPr>
          <w:rFonts w:ascii="Verdana" w:hAnsi="Verdana" w:cs="Arial"/>
          <w:sz w:val="18"/>
          <w:szCs w:val="18"/>
        </w:rPr>
      </w:pPr>
    </w:p>
    <w:p w:rsidR="00C7152E" w:rsidP="009C2659" w:rsidRDefault="00C7152E" w14:paraId="060F1F8D" w14:textId="0513FC11">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De VEUO vraagt aandacht voor de separate benoeming van duurzaamheidsrapportering. In de artikelsgewijze toelichting</w:t>
      </w:r>
      <w:r w:rsidR="00E91177">
        <w:rPr>
          <w:rFonts w:ascii="Verdana" w:hAnsi="Verdana" w:cs="Arial"/>
          <w:sz w:val="18"/>
          <w:szCs w:val="18"/>
        </w:rPr>
        <w:t xml:space="preserve"> bij artikel 2:394a van het BW</w:t>
      </w:r>
      <w:r>
        <w:rPr>
          <w:rFonts w:ascii="Verdana" w:hAnsi="Verdana" w:cs="Arial"/>
          <w:sz w:val="18"/>
          <w:szCs w:val="18"/>
        </w:rPr>
        <w:t xml:space="preserve"> is verduidelijkt dat e</w:t>
      </w:r>
      <w:r w:rsidRPr="00C7152E">
        <w:rPr>
          <w:rFonts w:ascii="Verdana" w:hAnsi="Verdana" w:cs="Arial"/>
          <w:sz w:val="18"/>
          <w:szCs w:val="18"/>
        </w:rPr>
        <w:t xml:space="preserve">en onderneming de in artikel 8 Taxonomieverordening vereiste informatie enkel separaat in het bestuursverslag </w:t>
      </w:r>
      <w:r>
        <w:rPr>
          <w:rFonts w:ascii="Verdana" w:hAnsi="Verdana" w:cs="Arial"/>
          <w:sz w:val="18"/>
          <w:szCs w:val="18"/>
        </w:rPr>
        <w:t xml:space="preserve">opneemt </w:t>
      </w:r>
      <w:r w:rsidRPr="00C7152E">
        <w:rPr>
          <w:rFonts w:ascii="Verdana" w:hAnsi="Verdana" w:cs="Arial"/>
          <w:sz w:val="18"/>
          <w:szCs w:val="18"/>
        </w:rPr>
        <w:t>als deze als dochtermaatschappij is vrijgesteld van het opstellen van duurzaamheidsrapportering, zonder dat die informatie terugkomt in het geconsolideerde duurzaamheidsverslag van de moedervennootschap.</w:t>
      </w:r>
    </w:p>
    <w:p w:rsidRPr="00954A69" w:rsidR="003E41E6" w:rsidP="009C2659" w:rsidRDefault="003E41E6" w14:paraId="58DEB8C4"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73630E91" w14:textId="020A6625">
      <w:pPr>
        <w:widowControl w:val="0"/>
        <w:tabs>
          <w:tab w:val="num" w:pos="720"/>
        </w:tabs>
        <w:spacing w:line="240" w:lineRule="atLeast"/>
        <w:contextualSpacing/>
        <w:rPr>
          <w:rFonts w:ascii="Verdana" w:hAnsi="Verdana" w:cs="Arial"/>
          <w:i/>
          <w:iCs/>
          <w:sz w:val="18"/>
          <w:szCs w:val="18"/>
        </w:rPr>
      </w:pPr>
      <w:r w:rsidRPr="00954A69">
        <w:rPr>
          <w:rFonts w:ascii="Verdana" w:hAnsi="Verdana" w:cs="Arial"/>
          <w:i/>
          <w:iCs/>
          <w:sz w:val="18"/>
          <w:szCs w:val="18"/>
        </w:rPr>
        <w:t>§</w:t>
      </w:r>
      <w:r w:rsidR="00874DAE">
        <w:rPr>
          <w:rFonts w:ascii="Verdana" w:hAnsi="Verdana" w:cs="Arial"/>
          <w:i/>
          <w:iCs/>
          <w:sz w:val="18"/>
          <w:szCs w:val="18"/>
        </w:rPr>
        <w:t xml:space="preserve"> </w:t>
      </w:r>
      <w:r w:rsidRPr="00954A69">
        <w:rPr>
          <w:rFonts w:ascii="Verdana" w:hAnsi="Verdana" w:cs="Arial"/>
          <w:i/>
          <w:iCs/>
          <w:sz w:val="18"/>
          <w:szCs w:val="18"/>
        </w:rPr>
        <w:t>5.</w:t>
      </w:r>
      <w:r w:rsidR="00790A85">
        <w:rPr>
          <w:rFonts w:ascii="Verdana" w:hAnsi="Verdana" w:cs="Arial"/>
          <w:i/>
          <w:iCs/>
          <w:sz w:val="18"/>
          <w:szCs w:val="18"/>
        </w:rPr>
        <w:t>4</w:t>
      </w:r>
      <w:r w:rsidR="00874DAE">
        <w:rPr>
          <w:rFonts w:ascii="Verdana" w:hAnsi="Verdana" w:cs="Arial"/>
          <w:i/>
          <w:iCs/>
          <w:sz w:val="18"/>
          <w:szCs w:val="18"/>
        </w:rPr>
        <w:t>.</w:t>
      </w:r>
      <w:r w:rsidRPr="00954A69">
        <w:rPr>
          <w:rFonts w:ascii="Verdana" w:hAnsi="Verdana" w:cs="Arial"/>
          <w:i/>
          <w:iCs/>
          <w:sz w:val="18"/>
          <w:szCs w:val="18"/>
        </w:rPr>
        <w:t xml:space="preserve"> VNO-NCW</w:t>
      </w:r>
    </w:p>
    <w:p w:rsidRPr="00954A69" w:rsidR="003E41E6" w:rsidP="009C2659" w:rsidRDefault="003E41E6" w14:paraId="3A32C8F0" w14:textId="77777777">
      <w:pPr>
        <w:widowControl w:val="0"/>
        <w:tabs>
          <w:tab w:val="num" w:pos="720"/>
        </w:tabs>
        <w:spacing w:line="240" w:lineRule="atLeast"/>
        <w:contextualSpacing/>
        <w:rPr>
          <w:rFonts w:ascii="Verdana" w:hAnsi="Verdana" w:cs="Arial"/>
          <w:sz w:val="18"/>
          <w:szCs w:val="18"/>
        </w:rPr>
      </w:pPr>
    </w:p>
    <w:p w:rsidR="003E41E6" w:rsidP="009C2659" w:rsidRDefault="003E41E6" w14:paraId="49536731" w14:textId="63C52D6E">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VNO-NCW beveelt aan om het toepassingsgebied van het wetsvoorstel </w:t>
      </w:r>
      <w:r w:rsidRPr="00C216DA">
        <w:rPr>
          <w:rFonts w:ascii="Verdana" w:hAnsi="Verdana" w:cs="Arial"/>
          <w:sz w:val="18"/>
          <w:szCs w:val="18"/>
        </w:rPr>
        <w:t>niet uit te breiden naar andere rechtspersonen of vormen van verslaggeving zolang daar geen Europees besluit aan ten grondslag ligt.</w:t>
      </w:r>
      <w:r>
        <w:rPr>
          <w:rFonts w:ascii="Verdana" w:hAnsi="Verdana" w:cs="Arial"/>
          <w:sz w:val="18"/>
          <w:szCs w:val="18"/>
        </w:rPr>
        <w:t xml:space="preserve"> Het wetsvoorstel beperkt zich tot zuivere implementatie van de richtlijn</w:t>
      </w:r>
      <w:r w:rsidR="00CE4DB5">
        <w:rPr>
          <w:rFonts w:ascii="Verdana" w:hAnsi="Verdana" w:cs="Arial"/>
          <w:sz w:val="18"/>
          <w:szCs w:val="18"/>
        </w:rPr>
        <w:t xml:space="preserve"> en de voorschriften zijn dan ook niet uitgebreid naar andere rechtspersonen of vormen van verslaggeving</w:t>
      </w:r>
      <w:r>
        <w:rPr>
          <w:rFonts w:ascii="Verdana" w:hAnsi="Verdana" w:cs="Arial"/>
          <w:sz w:val="18"/>
          <w:szCs w:val="18"/>
        </w:rPr>
        <w:t xml:space="preserve">. Daarnaast is </w:t>
      </w:r>
      <w:r w:rsidRPr="00FB3B3D">
        <w:rPr>
          <w:rFonts w:ascii="Verdana" w:hAnsi="Verdana" w:cs="Arial"/>
          <w:sz w:val="18"/>
          <w:szCs w:val="18"/>
        </w:rPr>
        <w:t xml:space="preserve">de tekst van artikel 2:394a, tweede lid, BW, uitgebreid door meer duidelijkheid te geven over de digitale formaten die worden vereist en hier wordt </w:t>
      </w:r>
      <w:r>
        <w:rPr>
          <w:rFonts w:ascii="Verdana" w:hAnsi="Verdana" w:cs="Arial"/>
          <w:sz w:val="18"/>
          <w:szCs w:val="18"/>
        </w:rPr>
        <w:t xml:space="preserve">ook </w:t>
      </w:r>
      <w:r w:rsidRPr="00FB3B3D">
        <w:rPr>
          <w:rFonts w:ascii="Verdana" w:hAnsi="Verdana" w:cs="Arial"/>
          <w:sz w:val="18"/>
          <w:szCs w:val="18"/>
        </w:rPr>
        <w:t>bij stilgestaan in de artikelsgewijze toelichting</w:t>
      </w:r>
      <w:r>
        <w:rPr>
          <w:rFonts w:ascii="Verdana" w:hAnsi="Verdana" w:cs="Arial"/>
          <w:sz w:val="18"/>
          <w:szCs w:val="18"/>
        </w:rPr>
        <w:t>.</w:t>
      </w:r>
    </w:p>
    <w:p w:rsidR="003E41E6" w:rsidP="009C2659" w:rsidRDefault="003E41E6" w14:paraId="1FAAB1FF" w14:textId="77777777">
      <w:pPr>
        <w:widowControl w:val="0"/>
        <w:tabs>
          <w:tab w:val="num" w:pos="720"/>
        </w:tabs>
        <w:spacing w:line="240" w:lineRule="atLeast"/>
        <w:contextualSpacing/>
        <w:rPr>
          <w:rFonts w:ascii="Verdana" w:hAnsi="Verdana" w:cs="Arial"/>
          <w:sz w:val="18"/>
          <w:szCs w:val="18"/>
        </w:rPr>
      </w:pPr>
    </w:p>
    <w:p w:rsidR="003E41E6" w:rsidP="009C2659" w:rsidRDefault="003E41E6" w14:paraId="727B4C64" w14:textId="2F5999CE">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Verder zijn onder andere de volgende aspecten </w:t>
      </w:r>
      <w:r w:rsidR="00760B42">
        <w:rPr>
          <w:rFonts w:ascii="Verdana" w:hAnsi="Verdana" w:cs="Arial"/>
          <w:sz w:val="18"/>
          <w:szCs w:val="18"/>
        </w:rPr>
        <w:t xml:space="preserve">aangepast </w:t>
      </w:r>
      <w:r>
        <w:rPr>
          <w:rFonts w:ascii="Verdana" w:hAnsi="Verdana" w:cs="Arial"/>
          <w:sz w:val="18"/>
          <w:szCs w:val="18"/>
        </w:rPr>
        <w:t>in het algeme</w:t>
      </w:r>
      <w:r w:rsidR="00CE4DB5">
        <w:rPr>
          <w:rFonts w:ascii="Verdana" w:hAnsi="Verdana" w:cs="Arial"/>
          <w:sz w:val="18"/>
          <w:szCs w:val="18"/>
        </w:rPr>
        <w:t>en</w:t>
      </w:r>
      <w:r>
        <w:rPr>
          <w:rFonts w:ascii="Verdana" w:hAnsi="Verdana" w:cs="Arial"/>
          <w:sz w:val="18"/>
          <w:szCs w:val="18"/>
        </w:rPr>
        <w:t xml:space="preserve"> deel van de </w:t>
      </w:r>
      <w:r w:rsidR="00CE4DB5">
        <w:rPr>
          <w:rFonts w:ascii="Verdana" w:hAnsi="Verdana" w:cs="Arial"/>
          <w:sz w:val="18"/>
          <w:szCs w:val="18"/>
        </w:rPr>
        <w:t>memorie van</w:t>
      </w:r>
      <w:r w:rsidR="002730D2">
        <w:rPr>
          <w:rFonts w:ascii="Verdana" w:hAnsi="Verdana" w:cs="Arial"/>
          <w:sz w:val="18"/>
          <w:szCs w:val="18"/>
        </w:rPr>
        <w:t xml:space="preserve"> </w:t>
      </w:r>
      <w:r>
        <w:rPr>
          <w:rFonts w:ascii="Verdana" w:hAnsi="Verdana" w:cs="Arial"/>
          <w:sz w:val="18"/>
          <w:szCs w:val="18"/>
        </w:rPr>
        <w:t>toelichting i) dochtermaatschappijen</w:t>
      </w:r>
      <w:r w:rsidRPr="00C216DA">
        <w:rPr>
          <w:rFonts w:ascii="Verdana" w:hAnsi="Verdana" w:cs="Arial"/>
          <w:sz w:val="18"/>
          <w:szCs w:val="18"/>
        </w:rPr>
        <w:t xml:space="preserve"> die gebruikmaken van een groepsvrijstelling</w:t>
      </w:r>
      <w:r>
        <w:rPr>
          <w:rFonts w:ascii="Verdana" w:hAnsi="Verdana" w:cs="Arial"/>
          <w:sz w:val="18"/>
          <w:szCs w:val="18"/>
        </w:rPr>
        <w:t xml:space="preserve"> op het gebied van de duurzaamheidsverslaggeving</w:t>
      </w:r>
      <w:r w:rsidRPr="00C216DA">
        <w:rPr>
          <w:rFonts w:ascii="Verdana" w:hAnsi="Verdana" w:cs="Arial"/>
          <w:sz w:val="18"/>
          <w:szCs w:val="18"/>
        </w:rPr>
        <w:t> (waarbij de moeder</w:t>
      </w:r>
      <w:r>
        <w:rPr>
          <w:rFonts w:ascii="Verdana" w:hAnsi="Verdana" w:cs="Arial"/>
          <w:sz w:val="18"/>
          <w:szCs w:val="18"/>
        </w:rPr>
        <w:t>maatschappij</w:t>
      </w:r>
      <w:r w:rsidRPr="00C216DA">
        <w:rPr>
          <w:rFonts w:ascii="Verdana" w:hAnsi="Verdana" w:cs="Arial"/>
          <w:sz w:val="18"/>
          <w:szCs w:val="18"/>
        </w:rPr>
        <w:t xml:space="preserve"> </w:t>
      </w:r>
      <w:r>
        <w:rPr>
          <w:rFonts w:ascii="Verdana" w:hAnsi="Verdana" w:cs="Arial"/>
          <w:sz w:val="18"/>
          <w:szCs w:val="18"/>
        </w:rPr>
        <w:t>de gegevens van haar dochtermaatschappijen meeneemt in haar bestuursverslag</w:t>
      </w:r>
      <w:r w:rsidRPr="00C216DA">
        <w:rPr>
          <w:rFonts w:ascii="Verdana" w:hAnsi="Verdana" w:cs="Arial"/>
          <w:sz w:val="18"/>
          <w:szCs w:val="18"/>
        </w:rPr>
        <w:t xml:space="preserve">) </w:t>
      </w:r>
      <w:r>
        <w:rPr>
          <w:rFonts w:ascii="Verdana" w:hAnsi="Verdana" w:cs="Arial"/>
          <w:sz w:val="18"/>
          <w:szCs w:val="18"/>
        </w:rPr>
        <w:t>ho</w:t>
      </w:r>
      <w:r w:rsidR="00CE4DB5">
        <w:rPr>
          <w:rFonts w:ascii="Verdana" w:hAnsi="Verdana" w:cs="Arial"/>
          <w:sz w:val="18"/>
          <w:szCs w:val="18"/>
        </w:rPr>
        <w:t>e</w:t>
      </w:r>
      <w:r>
        <w:rPr>
          <w:rFonts w:ascii="Verdana" w:hAnsi="Verdana" w:cs="Arial"/>
          <w:sz w:val="18"/>
          <w:szCs w:val="18"/>
        </w:rPr>
        <w:t xml:space="preserve">ven </w:t>
      </w:r>
      <w:r w:rsidRPr="00C216DA">
        <w:rPr>
          <w:rFonts w:ascii="Verdana" w:hAnsi="Verdana" w:cs="Arial"/>
          <w:sz w:val="18"/>
          <w:szCs w:val="18"/>
        </w:rPr>
        <w:t>geen afzonderlijke ESAP-deponering te doen</w:t>
      </w:r>
      <w:r>
        <w:rPr>
          <w:rFonts w:ascii="Verdana" w:hAnsi="Verdana" w:cs="Arial"/>
          <w:sz w:val="18"/>
          <w:szCs w:val="18"/>
        </w:rPr>
        <w:t xml:space="preserve">; ii) de door VNO-NCW aangedragen </w:t>
      </w:r>
      <w:r w:rsidRPr="003C15B6">
        <w:rPr>
          <w:rFonts w:ascii="Verdana" w:hAnsi="Verdana" w:cs="Arial"/>
          <w:sz w:val="18"/>
          <w:szCs w:val="18"/>
        </w:rPr>
        <w:t xml:space="preserve">“single-submit”-route, waarbij één aanlevering bij </w:t>
      </w:r>
      <w:r>
        <w:rPr>
          <w:rFonts w:ascii="Verdana" w:hAnsi="Verdana" w:cs="Arial"/>
          <w:sz w:val="18"/>
          <w:szCs w:val="18"/>
        </w:rPr>
        <w:t xml:space="preserve">de </w:t>
      </w:r>
      <w:r w:rsidRPr="003C15B6">
        <w:rPr>
          <w:rFonts w:ascii="Verdana" w:hAnsi="Verdana" w:cs="Arial"/>
          <w:sz w:val="18"/>
          <w:szCs w:val="18"/>
        </w:rPr>
        <w:t xml:space="preserve">KvK of </w:t>
      </w:r>
      <w:r>
        <w:rPr>
          <w:rFonts w:ascii="Verdana" w:hAnsi="Verdana" w:cs="Arial"/>
          <w:sz w:val="18"/>
          <w:szCs w:val="18"/>
        </w:rPr>
        <w:t xml:space="preserve">de </w:t>
      </w:r>
      <w:r w:rsidRPr="003C15B6">
        <w:rPr>
          <w:rFonts w:ascii="Verdana" w:hAnsi="Verdana" w:cs="Arial"/>
          <w:sz w:val="18"/>
          <w:szCs w:val="18"/>
        </w:rPr>
        <w:t>AFM volstaat voor zowel nationale als Europese openbaarmaking</w:t>
      </w:r>
      <w:r>
        <w:rPr>
          <w:rFonts w:ascii="Verdana" w:hAnsi="Verdana" w:cs="Arial"/>
          <w:sz w:val="18"/>
          <w:szCs w:val="18"/>
        </w:rPr>
        <w:t xml:space="preserve">, is reeds uitgangspunt van het wetsvoorstel; en iii) het </w:t>
      </w:r>
      <w:r w:rsidRPr="00BE5D21">
        <w:rPr>
          <w:rFonts w:ascii="Verdana" w:hAnsi="Verdana" w:cs="Arial"/>
          <w:sz w:val="18"/>
          <w:szCs w:val="18"/>
        </w:rPr>
        <w:t>wetsvoorstel bevat geen aanvullende assurance- of controle-eisen, anders dan de validaties die de verzamelende instanties dienen uit te voeren om na te gaan of de informatie is ingediend in het juiste format en voorzien is van de voorgeschreven metadata</w:t>
      </w:r>
      <w:r>
        <w:rPr>
          <w:rFonts w:ascii="Verdana" w:hAnsi="Verdana" w:cs="Arial"/>
          <w:sz w:val="18"/>
          <w:szCs w:val="18"/>
        </w:rPr>
        <w:t>.</w:t>
      </w:r>
    </w:p>
    <w:p w:rsidRPr="00954A69" w:rsidR="003E41E6" w:rsidP="009C2659" w:rsidRDefault="003E41E6" w14:paraId="7F2E807A" w14:textId="77777777">
      <w:pPr>
        <w:widowControl w:val="0"/>
        <w:tabs>
          <w:tab w:val="num" w:pos="720"/>
        </w:tabs>
        <w:spacing w:line="240" w:lineRule="atLeast"/>
        <w:contextualSpacing/>
        <w:rPr>
          <w:rFonts w:ascii="Verdana" w:hAnsi="Verdana" w:cs="Arial"/>
          <w:sz w:val="18"/>
          <w:szCs w:val="18"/>
        </w:rPr>
      </w:pPr>
    </w:p>
    <w:p w:rsidRPr="00954A69" w:rsidR="003E41E6" w:rsidP="009C2659" w:rsidRDefault="003E41E6" w14:paraId="3603B4BE" w14:textId="75FFB7AC">
      <w:pPr>
        <w:widowControl w:val="0"/>
        <w:tabs>
          <w:tab w:val="num" w:pos="720"/>
        </w:tabs>
        <w:spacing w:line="240" w:lineRule="atLeast"/>
        <w:contextualSpacing/>
        <w:rPr>
          <w:rFonts w:ascii="Verdana" w:hAnsi="Verdana" w:cs="Arial"/>
          <w:i/>
          <w:iCs/>
          <w:sz w:val="18"/>
          <w:szCs w:val="18"/>
        </w:rPr>
      </w:pPr>
      <w:r w:rsidRPr="00954A69">
        <w:rPr>
          <w:rFonts w:ascii="Verdana" w:hAnsi="Verdana" w:cs="Arial"/>
          <w:i/>
          <w:iCs/>
          <w:sz w:val="18"/>
          <w:szCs w:val="18"/>
        </w:rPr>
        <w:t>§</w:t>
      </w:r>
      <w:r w:rsidR="00874DAE">
        <w:rPr>
          <w:rFonts w:ascii="Verdana" w:hAnsi="Verdana" w:cs="Arial"/>
          <w:i/>
          <w:iCs/>
          <w:sz w:val="18"/>
          <w:szCs w:val="18"/>
        </w:rPr>
        <w:t xml:space="preserve"> </w:t>
      </w:r>
      <w:r w:rsidRPr="00954A69">
        <w:rPr>
          <w:rFonts w:ascii="Verdana" w:hAnsi="Verdana" w:cs="Arial"/>
          <w:i/>
          <w:iCs/>
          <w:sz w:val="18"/>
          <w:szCs w:val="18"/>
        </w:rPr>
        <w:t>5.</w:t>
      </w:r>
      <w:r w:rsidR="00790A85">
        <w:rPr>
          <w:rFonts w:ascii="Verdana" w:hAnsi="Verdana" w:cs="Arial"/>
          <w:i/>
          <w:iCs/>
          <w:sz w:val="18"/>
          <w:szCs w:val="18"/>
        </w:rPr>
        <w:t>5</w:t>
      </w:r>
      <w:r w:rsidR="00874DAE">
        <w:rPr>
          <w:rFonts w:ascii="Verdana" w:hAnsi="Verdana" w:cs="Arial"/>
          <w:i/>
          <w:iCs/>
          <w:sz w:val="18"/>
          <w:szCs w:val="18"/>
        </w:rPr>
        <w:t>.</w:t>
      </w:r>
      <w:r w:rsidRPr="00954A69">
        <w:rPr>
          <w:rFonts w:ascii="Verdana" w:hAnsi="Verdana" w:cs="Arial"/>
          <w:i/>
          <w:iCs/>
          <w:sz w:val="18"/>
          <w:szCs w:val="18"/>
        </w:rPr>
        <w:t xml:space="preserve"> R</w:t>
      </w:r>
      <w:r w:rsidR="00874DAE">
        <w:rPr>
          <w:rFonts w:ascii="Verdana" w:hAnsi="Verdana" w:cs="Arial"/>
          <w:i/>
          <w:iCs/>
          <w:sz w:val="18"/>
          <w:szCs w:val="18"/>
        </w:rPr>
        <w:t xml:space="preserve">aad voor de </w:t>
      </w:r>
      <w:r w:rsidRPr="00954A69">
        <w:rPr>
          <w:rFonts w:ascii="Verdana" w:hAnsi="Verdana" w:cs="Arial"/>
          <w:i/>
          <w:iCs/>
          <w:sz w:val="18"/>
          <w:szCs w:val="18"/>
        </w:rPr>
        <w:t>J</w:t>
      </w:r>
      <w:r w:rsidR="00874DAE">
        <w:rPr>
          <w:rFonts w:ascii="Verdana" w:hAnsi="Verdana" w:cs="Arial"/>
          <w:i/>
          <w:iCs/>
          <w:sz w:val="18"/>
          <w:szCs w:val="18"/>
        </w:rPr>
        <w:t>aarverslaggeving (RJ)</w:t>
      </w:r>
    </w:p>
    <w:p w:rsidRPr="00954A69" w:rsidR="003E41E6" w:rsidP="009C2659" w:rsidRDefault="003E41E6" w14:paraId="4739B092" w14:textId="77777777">
      <w:pPr>
        <w:widowControl w:val="0"/>
        <w:tabs>
          <w:tab w:val="num" w:pos="720"/>
        </w:tabs>
        <w:spacing w:line="240" w:lineRule="atLeast"/>
        <w:contextualSpacing/>
        <w:rPr>
          <w:rFonts w:ascii="Verdana" w:hAnsi="Verdana" w:cs="Arial"/>
          <w:sz w:val="18"/>
          <w:szCs w:val="18"/>
        </w:rPr>
      </w:pPr>
    </w:p>
    <w:p w:rsidR="003E41E6" w:rsidP="009C2659" w:rsidRDefault="003E41E6" w14:paraId="0B3798D3" w14:textId="77777777">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De RJ heeft enkele vragen gesteld over de toekomstige vrijwillige deponering van stukken in het ESAP. Naar aanleiding daarvan is de (artikelsgewijze) toelichting aangevuld. </w:t>
      </w:r>
    </w:p>
    <w:p w:rsidR="003E41E6" w:rsidP="009C2659" w:rsidRDefault="003E41E6" w14:paraId="6EEE8A93" w14:textId="77777777">
      <w:pPr>
        <w:widowControl w:val="0"/>
        <w:tabs>
          <w:tab w:val="num" w:pos="720"/>
        </w:tabs>
        <w:spacing w:line="240" w:lineRule="atLeast"/>
        <w:contextualSpacing/>
        <w:rPr>
          <w:rFonts w:ascii="Verdana" w:hAnsi="Verdana" w:cs="Arial"/>
          <w:sz w:val="18"/>
          <w:szCs w:val="18"/>
        </w:rPr>
      </w:pPr>
    </w:p>
    <w:p w:rsidRPr="007456D5" w:rsidR="003E41E6" w:rsidP="009C2659" w:rsidRDefault="003E41E6" w14:paraId="504724E2" w14:textId="41122C54">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Verder heeft de RJ de suggestie gedaan </w:t>
      </w:r>
      <w:r w:rsidRPr="00306BB4">
        <w:rPr>
          <w:rFonts w:ascii="Verdana" w:hAnsi="Verdana" w:cs="Arial"/>
          <w:sz w:val="18"/>
          <w:szCs w:val="18"/>
        </w:rPr>
        <w:t>om te onderzoeken of</w:t>
      </w:r>
      <w:r>
        <w:rPr>
          <w:rFonts w:ascii="Verdana" w:hAnsi="Verdana" w:cs="Arial"/>
          <w:sz w:val="18"/>
          <w:szCs w:val="18"/>
        </w:rPr>
        <w:t>,</w:t>
      </w:r>
      <w:r w:rsidRPr="00306BB4">
        <w:rPr>
          <w:rFonts w:ascii="Verdana" w:hAnsi="Verdana" w:cs="Arial"/>
          <w:sz w:val="18"/>
          <w:szCs w:val="18"/>
        </w:rPr>
        <w:t xml:space="preserve"> </w:t>
      </w:r>
      <w:r>
        <w:rPr>
          <w:rFonts w:ascii="Verdana" w:hAnsi="Verdana" w:cs="Arial"/>
          <w:sz w:val="18"/>
          <w:szCs w:val="18"/>
        </w:rPr>
        <w:t>wanneer</w:t>
      </w:r>
      <w:r w:rsidRPr="00306BB4">
        <w:rPr>
          <w:rFonts w:ascii="Verdana" w:hAnsi="Verdana" w:cs="Arial"/>
          <w:sz w:val="18"/>
          <w:szCs w:val="18"/>
        </w:rPr>
        <w:t xml:space="preserve"> sectorale wetgeving</w:t>
      </w:r>
      <w:r>
        <w:rPr>
          <w:rFonts w:ascii="Verdana" w:hAnsi="Verdana" w:cs="Arial"/>
          <w:sz w:val="18"/>
          <w:szCs w:val="18"/>
        </w:rPr>
        <w:t xml:space="preserve"> verplicht</w:t>
      </w:r>
      <w:r w:rsidRPr="00306BB4">
        <w:rPr>
          <w:rFonts w:ascii="Verdana" w:hAnsi="Verdana" w:cs="Arial"/>
          <w:sz w:val="18"/>
          <w:szCs w:val="18"/>
        </w:rPr>
        <w:t xml:space="preserve"> tot het opstellen van een duurzaamheidsrapportering</w:t>
      </w:r>
      <w:r>
        <w:rPr>
          <w:rFonts w:ascii="Verdana" w:hAnsi="Verdana" w:cs="Arial"/>
          <w:sz w:val="18"/>
          <w:szCs w:val="18"/>
        </w:rPr>
        <w:t>,</w:t>
      </w:r>
      <w:r w:rsidRPr="00306BB4">
        <w:rPr>
          <w:rFonts w:ascii="Verdana" w:hAnsi="Verdana" w:cs="Arial"/>
          <w:sz w:val="18"/>
          <w:szCs w:val="18"/>
        </w:rPr>
        <w:t xml:space="preserve"> de K</w:t>
      </w:r>
      <w:r>
        <w:rPr>
          <w:rFonts w:ascii="Verdana" w:hAnsi="Verdana" w:cs="Arial"/>
          <w:sz w:val="18"/>
          <w:szCs w:val="18"/>
        </w:rPr>
        <w:t>v</w:t>
      </w:r>
      <w:r w:rsidRPr="00306BB4">
        <w:rPr>
          <w:rFonts w:ascii="Verdana" w:hAnsi="Verdana" w:cs="Arial"/>
          <w:sz w:val="18"/>
          <w:szCs w:val="18"/>
        </w:rPr>
        <w:t xml:space="preserve">K </w:t>
      </w:r>
      <w:r>
        <w:rPr>
          <w:rFonts w:ascii="Verdana" w:hAnsi="Verdana" w:cs="Arial"/>
          <w:sz w:val="18"/>
          <w:szCs w:val="18"/>
        </w:rPr>
        <w:t>de</w:t>
      </w:r>
      <w:r w:rsidRPr="00306BB4">
        <w:rPr>
          <w:rFonts w:ascii="Verdana" w:hAnsi="Verdana" w:cs="Arial"/>
          <w:sz w:val="18"/>
          <w:szCs w:val="18"/>
        </w:rPr>
        <w:t xml:space="preserve"> desbetreffende stukken aan </w:t>
      </w:r>
      <w:r>
        <w:rPr>
          <w:rFonts w:ascii="Verdana" w:hAnsi="Verdana" w:cs="Arial"/>
          <w:sz w:val="18"/>
          <w:szCs w:val="18"/>
        </w:rPr>
        <w:t xml:space="preserve">het </w:t>
      </w:r>
      <w:r w:rsidRPr="00306BB4">
        <w:rPr>
          <w:rFonts w:ascii="Verdana" w:hAnsi="Verdana" w:cs="Arial"/>
          <w:sz w:val="18"/>
          <w:szCs w:val="18"/>
        </w:rPr>
        <w:t>ESAP kan doorzenden</w:t>
      </w:r>
      <w:r>
        <w:rPr>
          <w:rFonts w:ascii="Verdana" w:hAnsi="Verdana" w:cs="Arial"/>
          <w:sz w:val="18"/>
          <w:szCs w:val="18"/>
        </w:rPr>
        <w:t xml:space="preserve">. De RJ </w:t>
      </w:r>
      <w:r w:rsidR="00D757EB">
        <w:rPr>
          <w:rFonts w:ascii="Verdana" w:hAnsi="Verdana" w:cs="Arial"/>
          <w:sz w:val="18"/>
          <w:szCs w:val="18"/>
        </w:rPr>
        <w:t>geeft aan</w:t>
      </w:r>
      <w:r>
        <w:rPr>
          <w:rFonts w:ascii="Verdana" w:hAnsi="Verdana" w:cs="Arial"/>
          <w:sz w:val="18"/>
          <w:szCs w:val="18"/>
        </w:rPr>
        <w:t xml:space="preserve"> dat </w:t>
      </w:r>
      <w:r w:rsidRPr="00C4145B">
        <w:rPr>
          <w:rFonts w:ascii="Verdana" w:hAnsi="Verdana" w:cs="Arial"/>
          <w:sz w:val="18"/>
          <w:szCs w:val="18"/>
        </w:rPr>
        <w:t xml:space="preserve">in bepaalde sectoren (zoals de zorgsector) door de verscheidenheid aan rechtsvormen een ongewenst verschil kan ontstaan tussen instellingen </w:t>
      </w:r>
      <w:r>
        <w:rPr>
          <w:rFonts w:ascii="Verdana" w:hAnsi="Verdana" w:cs="Arial"/>
          <w:sz w:val="18"/>
          <w:szCs w:val="18"/>
        </w:rPr>
        <w:t>wanneer</w:t>
      </w:r>
      <w:r w:rsidRPr="00C4145B">
        <w:rPr>
          <w:rFonts w:ascii="Verdana" w:hAnsi="Verdana" w:cs="Arial"/>
          <w:sz w:val="18"/>
          <w:szCs w:val="18"/>
        </w:rPr>
        <w:t xml:space="preserve"> de rechtsvorm bepalend is voor de verplichting tot openbaarmaking van een duurzaamheidsrapportering</w:t>
      </w:r>
      <w:r>
        <w:rPr>
          <w:rFonts w:ascii="Verdana" w:hAnsi="Verdana" w:cs="Arial"/>
          <w:sz w:val="18"/>
          <w:szCs w:val="18"/>
        </w:rPr>
        <w:t xml:space="preserve">. De stukken van een ziekenhuis </w:t>
      </w:r>
      <w:r w:rsidR="00874DAE">
        <w:rPr>
          <w:rFonts w:ascii="Verdana" w:hAnsi="Verdana" w:cs="Arial"/>
          <w:sz w:val="18"/>
          <w:szCs w:val="18"/>
        </w:rPr>
        <w:t>die</w:t>
      </w:r>
      <w:r>
        <w:rPr>
          <w:rFonts w:ascii="Verdana" w:hAnsi="Verdana" w:cs="Arial"/>
          <w:sz w:val="18"/>
          <w:szCs w:val="18"/>
        </w:rPr>
        <w:t xml:space="preserve"> een grote NV is en van een ziekenhuis die een stichting is, worden dan verschillend behandeld. In het kader van gelijke behandeling stelt de RJ voor dit </w:t>
      </w:r>
      <w:r w:rsidRPr="00C4145B">
        <w:rPr>
          <w:rFonts w:ascii="Verdana" w:hAnsi="Verdana" w:cs="Arial"/>
          <w:sz w:val="18"/>
          <w:szCs w:val="18"/>
        </w:rPr>
        <w:t>via sectorale wetgeving aan</w:t>
      </w:r>
      <w:r>
        <w:rPr>
          <w:rFonts w:ascii="Verdana" w:hAnsi="Verdana" w:cs="Arial"/>
          <w:sz w:val="18"/>
          <w:szCs w:val="18"/>
        </w:rPr>
        <w:t xml:space="preserve"> te </w:t>
      </w:r>
      <w:r w:rsidRPr="00C4145B">
        <w:rPr>
          <w:rFonts w:ascii="Verdana" w:hAnsi="Verdana" w:cs="Arial"/>
          <w:sz w:val="18"/>
          <w:szCs w:val="18"/>
        </w:rPr>
        <w:t>pas</w:t>
      </w:r>
      <w:r>
        <w:rPr>
          <w:rFonts w:ascii="Verdana" w:hAnsi="Verdana" w:cs="Arial"/>
          <w:sz w:val="18"/>
          <w:szCs w:val="18"/>
        </w:rPr>
        <w:t>s</w:t>
      </w:r>
      <w:r w:rsidRPr="00C4145B">
        <w:rPr>
          <w:rFonts w:ascii="Verdana" w:hAnsi="Verdana" w:cs="Arial"/>
          <w:sz w:val="18"/>
          <w:szCs w:val="18"/>
        </w:rPr>
        <w:t xml:space="preserve">en. </w:t>
      </w:r>
      <w:bookmarkStart w:name="_Hlk213231558" w:id="6"/>
      <w:r>
        <w:rPr>
          <w:rFonts w:ascii="Verdana" w:hAnsi="Verdana" w:cs="Arial"/>
          <w:sz w:val="18"/>
          <w:szCs w:val="18"/>
        </w:rPr>
        <w:t xml:space="preserve">In reactie op dit voorstel is het de vraag of instellingen in dergelijke sectoren die niet in de vorm van een NV of BV zijn georganiseerd, de doelgroep </w:t>
      </w:r>
      <w:r w:rsidRPr="006E5913">
        <w:rPr>
          <w:rFonts w:ascii="Verdana" w:hAnsi="Verdana" w:cs="Arial"/>
          <w:sz w:val="18"/>
          <w:szCs w:val="18"/>
        </w:rPr>
        <w:t>zijn van</w:t>
      </w:r>
      <w:r>
        <w:rPr>
          <w:rFonts w:ascii="Verdana" w:hAnsi="Verdana" w:cs="Arial"/>
          <w:sz w:val="18"/>
          <w:szCs w:val="18"/>
        </w:rPr>
        <w:t xml:space="preserve"> het ESAP, dat tot doel heeft</w:t>
      </w:r>
      <w:r w:rsidRPr="006E5913">
        <w:rPr>
          <w:rFonts w:ascii="Verdana" w:hAnsi="Verdana" w:cs="Arial"/>
          <w:sz w:val="18"/>
          <w:szCs w:val="18"/>
        </w:rPr>
        <w:t xml:space="preserve"> het versterken van de kapitaalmarktunie en het verbeteren van de toegang tot financiering voor Europese bedrijven</w:t>
      </w:r>
      <w:r>
        <w:rPr>
          <w:rFonts w:ascii="Verdana" w:hAnsi="Verdana" w:cs="Arial"/>
          <w:sz w:val="18"/>
          <w:szCs w:val="18"/>
        </w:rPr>
        <w:t>. Bovendien gaat aan dit voorstel de vraag vooraf of de CSRD-verplichtingen voor dergelijke sectoren zouden moeten gelden. In het kader van deze implementatie gaat dit de reikwijdte van de richtlijn te buiten. Daarom wordt dit voorstel hier nu niet opgevolgd.</w:t>
      </w:r>
      <w:bookmarkEnd w:id="6"/>
    </w:p>
    <w:p w:rsidRPr="007456D5" w:rsidR="00C01752" w:rsidP="009C2659" w:rsidRDefault="00C01752" w14:paraId="7C0748DA" w14:textId="77777777">
      <w:pPr>
        <w:widowControl w:val="0"/>
        <w:tabs>
          <w:tab w:val="num" w:pos="720"/>
        </w:tabs>
        <w:spacing w:line="240" w:lineRule="atLeast"/>
        <w:contextualSpacing/>
        <w:rPr>
          <w:rFonts w:ascii="Verdana" w:hAnsi="Verdana" w:cs="Arial"/>
          <w:sz w:val="18"/>
          <w:szCs w:val="18"/>
        </w:rPr>
      </w:pPr>
    </w:p>
    <w:p w:rsidRPr="007456D5" w:rsidR="00122332" w:rsidP="009C2659" w:rsidRDefault="00C01752" w14:paraId="29175152" w14:textId="0CE784E0">
      <w:pPr>
        <w:spacing w:line="240" w:lineRule="atLeast"/>
        <w:contextualSpacing/>
        <w:rPr>
          <w:rFonts w:ascii="Verdana" w:hAnsi="Verdana" w:cs="Arial"/>
          <w:b/>
          <w:sz w:val="18"/>
          <w:szCs w:val="18"/>
        </w:rPr>
      </w:pPr>
      <w:r w:rsidRPr="007456D5">
        <w:rPr>
          <w:rFonts w:ascii="Verdana" w:hAnsi="Verdana" w:cs="Arial"/>
          <w:b/>
          <w:sz w:val="18"/>
          <w:szCs w:val="18"/>
        </w:rPr>
        <w:br w:type="page"/>
      </w:r>
      <w:r w:rsidRPr="007456D5" w:rsidR="00122332">
        <w:rPr>
          <w:rFonts w:ascii="Verdana" w:hAnsi="Verdana" w:cs="Arial"/>
          <w:b/>
          <w:sz w:val="18"/>
          <w:szCs w:val="18"/>
        </w:rPr>
        <w:lastRenderedPageBreak/>
        <w:t>ARTIKELSGEWIJS</w:t>
      </w:r>
    </w:p>
    <w:p w:rsidRPr="007456D5" w:rsidR="00122332" w:rsidP="009C2659" w:rsidRDefault="00122332" w14:paraId="7E9770DB" w14:textId="77777777">
      <w:pPr>
        <w:widowControl w:val="0"/>
        <w:tabs>
          <w:tab w:val="num" w:pos="720"/>
        </w:tabs>
        <w:spacing w:line="240" w:lineRule="atLeast"/>
        <w:contextualSpacing/>
        <w:rPr>
          <w:rFonts w:ascii="Verdana" w:hAnsi="Verdana" w:cs="Arial"/>
          <w:sz w:val="18"/>
          <w:szCs w:val="18"/>
        </w:rPr>
      </w:pPr>
    </w:p>
    <w:p w:rsidRPr="007456D5" w:rsidR="00550CC5" w:rsidP="009C2659" w:rsidRDefault="00550CC5" w14:paraId="62404B1B" w14:textId="48833934">
      <w:pPr>
        <w:widowControl w:val="0"/>
        <w:tabs>
          <w:tab w:val="num" w:pos="720"/>
        </w:tabs>
        <w:spacing w:line="240" w:lineRule="atLeast"/>
        <w:contextualSpacing/>
        <w:rPr>
          <w:rFonts w:ascii="Verdana" w:hAnsi="Verdana" w:cs="Arial"/>
          <w:b/>
          <w:sz w:val="18"/>
          <w:szCs w:val="18"/>
        </w:rPr>
      </w:pPr>
      <w:r w:rsidRPr="007456D5">
        <w:rPr>
          <w:rFonts w:ascii="Verdana" w:hAnsi="Verdana" w:cs="Arial"/>
          <w:b/>
          <w:sz w:val="18"/>
          <w:szCs w:val="18"/>
        </w:rPr>
        <w:t>ARTIKEL I (Wet</w:t>
      </w:r>
      <w:r w:rsidRPr="007456D5" w:rsidR="00AB25D7">
        <w:rPr>
          <w:rFonts w:ascii="Verdana" w:hAnsi="Verdana" w:cs="Arial"/>
          <w:b/>
          <w:sz w:val="18"/>
          <w:szCs w:val="18"/>
        </w:rPr>
        <w:t xml:space="preserve"> op het financieel toezicht</w:t>
      </w:r>
      <w:r w:rsidRPr="007456D5">
        <w:rPr>
          <w:rFonts w:ascii="Verdana" w:hAnsi="Verdana" w:cs="Arial"/>
          <w:b/>
          <w:sz w:val="18"/>
          <w:szCs w:val="18"/>
        </w:rPr>
        <w:t>)</w:t>
      </w:r>
    </w:p>
    <w:p w:rsidRPr="007456D5" w:rsidR="00550CC5" w:rsidP="009C2659" w:rsidRDefault="00550CC5" w14:paraId="578E38A7" w14:textId="77777777">
      <w:pPr>
        <w:widowControl w:val="0"/>
        <w:tabs>
          <w:tab w:val="num" w:pos="720"/>
        </w:tabs>
        <w:spacing w:line="240" w:lineRule="atLeast"/>
        <w:contextualSpacing/>
        <w:rPr>
          <w:rFonts w:ascii="Verdana" w:hAnsi="Verdana" w:cs="Arial"/>
          <w:sz w:val="18"/>
          <w:szCs w:val="18"/>
        </w:rPr>
      </w:pPr>
    </w:p>
    <w:p w:rsidRPr="007456D5" w:rsidR="00AA39E1" w:rsidP="009C2659" w:rsidRDefault="00AA39E1" w14:paraId="2156252C" w14:textId="13F04BD5">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A (</w:t>
      </w:r>
      <w:r w:rsidRPr="007456D5">
        <w:rPr>
          <w:rFonts w:ascii="Verdana" w:hAnsi="Verdana" w:cs="Arial"/>
          <w:i/>
          <w:iCs/>
          <w:sz w:val="18"/>
          <w:szCs w:val="18"/>
        </w:rPr>
        <w:t>artikel 1:1</w:t>
      </w:r>
      <w:r w:rsidRPr="007456D5">
        <w:rPr>
          <w:rFonts w:ascii="Verdana" w:hAnsi="Verdana" w:cs="Arial"/>
          <w:sz w:val="18"/>
          <w:szCs w:val="18"/>
        </w:rPr>
        <w:t>)</w:t>
      </w:r>
    </w:p>
    <w:p w:rsidRPr="007456D5" w:rsidR="00AA39E1" w:rsidP="009C2659" w:rsidRDefault="00AA39E1" w14:paraId="1F313D1A" w14:textId="77777777">
      <w:pPr>
        <w:widowControl w:val="0"/>
        <w:tabs>
          <w:tab w:val="num" w:pos="720"/>
        </w:tabs>
        <w:spacing w:line="240" w:lineRule="atLeast"/>
        <w:contextualSpacing/>
        <w:rPr>
          <w:rFonts w:ascii="Verdana" w:hAnsi="Verdana" w:cs="Arial"/>
          <w:sz w:val="18"/>
          <w:szCs w:val="18"/>
        </w:rPr>
      </w:pPr>
    </w:p>
    <w:p w:rsidRPr="007456D5" w:rsidR="00AA39E1" w:rsidP="009C2659" w:rsidRDefault="00AA39E1" w14:paraId="1B51C0CF" w14:textId="41D75674">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In </w:t>
      </w:r>
      <w:r w:rsidRPr="007456D5" w:rsidR="00B85197">
        <w:rPr>
          <w:rFonts w:ascii="Verdana" w:hAnsi="Verdana" w:cs="Arial"/>
          <w:sz w:val="18"/>
          <w:szCs w:val="18"/>
        </w:rPr>
        <w:t>dit artikel</w:t>
      </w:r>
      <w:r w:rsidRPr="007456D5">
        <w:rPr>
          <w:rFonts w:ascii="Verdana" w:hAnsi="Verdana" w:cs="Arial"/>
          <w:sz w:val="18"/>
          <w:szCs w:val="18"/>
        </w:rPr>
        <w:t xml:space="preserve"> wordt</w:t>
      </w:r>
      <w:r w:rsidRPr="007456D5" w:rsidR="00CB41DE">
        <w:rPr>
          <w:rFonts w:ascii="Verdana" w:hAnsi="Verdana" w:cs="Arial"/>
          <w:sz w:val="18"/>
          <w:szCs w:val="18"/>
        </w:rPr>
        <w:t xml:space="preserve"> de </w:t>
      </w:r>
      <w:r w:rsidRPr="007456D5">
        <w:rPr>
          <w:rFonts w:ascii="Verdana" w:hAnsi="Verdana" w:cs="Arial"/>
          <w:sz w:val="18"/>
          <w:szCs w:val="18"/>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r w:rsidRPr="007456D5" w:rsidR="00CB41DE">
        <w:rPr>
          <w:rFonts w:ascii="Verdana" w:hAnsi="Verdana" w:cs="Arial"/>
          <w:sz w:val="18"/>
          <w:szCs w:val="18"/>
        </w:rPr>
        <w:t xml:space="preserve"> gedefinieerd als verordening </w:t>
      </w:r>
      <w:r w:rsidRPr="007456D5" w:rsidR="00C67678">
        <w:rPr>
          <w:rFonts w:ascii="Verdana" w:hAnsi="Verdana" w:cs="Arial"/>
          <w:sz w:val="18"/>
          <w:szCs w:val="18"/>
        </w:rPr>
        <w:t>oprichting ESAP</w:t>
      </w:r>
      <w:r w:rsidRPr="007456D5" w:rsidR="00CB41DE">
        <w:rPr>
          <w:rFonts w:ascii="Verdana" w:hAnsi="Verdana" w:cs="Arial"/>
          <w:sz w:val="18"/>
          <w:szCs w:val="18"/>
        </w:rPr>
        <w:t>. De definitie wordt opgenomen in artikel 1:1</w:t>
      </w:r>
      <w:r w:rsidRPr="007456D5" w:rsidR="00DD64EC">
        <w:rPr>
          <w:rFonts w:ascii="Verdana" w:hAnsi="Verdana" w:cs="Arial"/>
          <w:sz w:val="18"/>
          <w:szCs w:val="18"/>
        </w:rPr>
        <w:t xml:space="preserve"> van de Wet op het financieel toezicht</w:t>
      </w:r>
      <w:r w:rsidRPr="007456D5" w:rsidR="00CB41DE">
        <w:rPr>
          <w:rFonts w:ascii="Verdana" w:hAnsi="Verdana" w:cs="Arial"/>
          <w:sz w:val="18"/>
          <w:szCs w:val="18"/>
        </w:rPr>
        <w:t xml:space="preserve"> </w:t>
      </w:r>
      <w:r w:rsidRPr="007456D5" w:rsidR="00DD64EC">
        <w:rPr>
          <w:rFonts w:ascii="Verdana" w:hAnsi="Verdana" w:cs="Arial"/>
          <w:sz w:val="18"/>
          <w:szCs w:val="18"/>
        </w:rPr>
        <w:t>(</w:t>
      </w:r>
      <w:r w:rsidRPr="007456D5" w:rsidR="00CB41DE">
        <w:rPr>
          <w:rFonts w:ascii="Verdana" w:hAnsi="Verdana" w:cs="Arial"/>
          <w:sz w:val="18"/>
          <w:szCs w:val="18"/>
        </w:rPr>
        <w:t>Wft</w:t>
      </w:r>
      <w:r w:rsidRPr="007456D5" w:rsidR="00DD64EC">
        <w:rPr>
          <w:rFonts w:ascii="Verdana" w:hAnsi="Verdana" w:cs="Arial"/>
          <w:sz w:val="18"/>
          <w:szCs w:val="18"/>
        </w:rPr>
        <w:t>)</w:t>
      </w:r>
      <w:r w:rsidRPr="007456D5" w:rsidR="00CB41DE">
        <w:rPr>
          <w:rFonts w:ascii="Verdana" w:hAnsi="Verdana" w:cs="Arial"/>
          <w:sz w:val="18"/>
          <w:szCs w:val="18"/>
        </w:rPr>
        <w:t xml:space="preserve"> omdat in</w:t>
      </w:r>
      <w:r w:rsidRPr="007456D5">
        <w:rPr>
          <w:rFonts w:ascii="Verdana" w:hAnsi="Verdana" w:cs="Arial"/>
          <w:sz w:val="18"/>
          <w:szCs w:val="18"/>
        </w:rPr>
        <w:t xml:space="preserve"> </w:t>
      </w:r>
      <w:r w:rsidRPr="007456D5" w:rsidR="00E4423A">
        <w:rPr>
          <w:rFonts w:ascii="Verdana" w:hAnsi="Verdana" w:cs="Arial"/>
          <w:sz w:val="18"/>
          <w:szCs w:val="18"/>
        </w:rPr>
        <w:t>m</w:t>
      </w:r>
      <w:r w:rsidRPr="007456D5">
        <w:rPr>
          <w:rFonts w:ascii="Verdana" w:hAnsi="Verdana" w:cs="Arial"/>
          <w:sz w:val="18"/>
          <w:szCs w:val="18"/>
        </w:rPr>
        <w:t>eerdere artikelen</w:t>
      </w:r>
      <w:r w:rsidRPr="007456D5" w:rsidR="00E4423A">
        <w:rPr>
          <w:rFonts w:ascii="Verdana" w:hAnsi="Verdana" w:cs="Arial"/>
          <w:sz w:val="18"/>
          <w:szCs w:val="18"/>
        </w:rPr>
        <w:t xml:space="preserve"> </w:t>
      </w:r>
      <w:r w:rsidRPr="007456D5">
        <w:rPr>
          <w:rFonts w:ascii="Verdana" w:hAnsi="Verdana" w:cs="Arial"/>
          <w:sz w:val="18"/>
          <w:szCs w:val="18"/>
        </w:rPr>
        <w:t>naar deze verordening</w:t>
      </w:r>
      <w:r w:rsidRPr="007456D5" w:rsidR="00CB41DE">
        <w:rPr>
          <w:rFonts w:ascii="Verdana" w:hAnsi="Verdana" w:cs="Arial"/>
          <w:sz w:val="18"/>
          <w:szCs w:val="18"/>
        </w:rPr>
        <w:t xml:space="preserve"> </w:t>
      </w:r>
      <w:r w:rsidRPr="007456D5" w:rsidR="00EE5F53">
        <w:rPr>
          <w:rFonts w:ascii="Verdana" w:hAnsi="Verdana" w:cs="Arial"/>
          <w:sz w:val="18"/>
          <w:szCs w:val="18"/>
        </w:rPr>
        <w:t>wordt</w:t>
      </w:r>
      <w:r w:rsidRPr="007456D5">
        <w:rPr>
          <w:rFonts w:ascii="Verdana" w:hAnsi="Verdana" w:cs="Arial"/>
          <w:sz w:val="18"/>
          <w:szCs w:val="18"/>
        </w:rPr>
        <w:t xml:space="preserve"> verw</w:t>
      </w:r>
      <w:r w:rsidRPr="007456D5" w:rsidR="00E4423A">
        <w:rPr>
          <w:rFonts w:ascii="Verdana" w:hAnsi="Verdana" w:cs="Arial"/>
          <w:sz w:val="18"/>
          <w:szCs w:val="18"/>
        </w:rPr>
        <w:t xml:space="preserve">ezen ten behoeve </w:t>
      </w:r>
      <w:r w:rsidRPr="007456D5">
        <w:rPr>
          <w:rFonts w:ascii="Verdana" w:hAnsi="Verdana" w:cs="Arial"/>
          <w:sz w:val="18"/>
          <w:szCs w:val="18"/>
        </w:rPr>
        <w:t>van de implementatie van</w:t>
      </w:r>
      <w:r w:rsidRPr="007456D5" w:rsidR="00E4423A">
        <w:rPr>
          <w:rFonts w:ascii="Verdana" w:hAnsi="Verdana" w:cs="Arial"/>
          <w:sz w:val="18"/>
          <w:szCs w:val="18"/>
        </w:rPr>
        <w:t xml:space="preserve"> de </w:t>
      </w:r>
      <w:r w:rsidR="00A65911">
        <w:rPr>
          <w:rFonts w:ascii="Verdana" w:hAnsi="Verdana" w:cs="Arial"/>
          <w:sz w:val="18"/>
          <w:szCs w:val="18"/>
        </w:rPr>
        <w:t>richtlijn ESAP</w:t>
      </w:r>
      <w:r w:rsidRPr="007456D5" w:rsidR="00CB41DE">
        <w:rPr>
          <w:rFonts w:ascii="Verdana" w:hAnsi="Verdana" w:cs="Arial"/>
          <w:sz w:val="18"/>
          <w:szCs w:val="18"/>
        </w:rPr>
        <w:t xml:space="preserve">. </w:t>
      </w:r>
    </w:p>
    <w:p w:rsidRPr="007456D5" w:rsidR="00B85197" w:rsidP="009C2659" w:rsidRDefault="00B85197" w14:paraId="519A74DD" w14:textId="77777777">
      <w:pPr>
        <w:widowControl w:val="0"/>
        <w:tabs>
          <w:tab w:val="num" w:pos="720"/>
        </w:tabs>
        <w:spacing w:line="240" w:lineRule="atLeast"/>
        <w:contextualSpacing/>
        <w:rPr>
          <w:rFonts w:ascii="Verdana" w:hAnsi="Verdana" w:cs="Arial"/>
          <w:sz w:val="18"/>
          <w:szCs w:val="18"/>
        </w:rPr>
      </w:pPr>
    </w:p>
    <w:p w:rsidRPr="007456D5" w:rsidR="00A35C48" w:rsidP="009C2659" w:rsidRDefault="00E202AD" w14:paraId="1AE05D46" w14:textId="77CB5E37">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Daarnaast wordt </w:t>
      </w:r>
      <w:r w:rsidRPr="007456D5" w:rsidR="00ED51AD">
        <w:rPr>
          <w:rFonts w:ascii="Verdana" w:hAnsi="Verdana" w:cs="Arial"/>
          <w:sz w:val="18"/>
          <w:szCs w:val="18"/>
        </w:rPr>
        <w:t>in artikel 1:1</w:t>
      </w:r>
      <w:r w:rsidRPr="007456D5">
        <w:rPr>
          <w:rFonts w:ascii="Verdana" w:hAnsi="Verdana" w:cs="Arial"/>
          <w:sz w:val="18"/>
          <w:szCs w:val="18"/>
        </w:rPr>
        <w:t xml:space="preserve"> het </w:t>
      </w:r>
      <w:r w:rsidRPr="007456D5" w:rsidR="00631932">
        <w:rPr>
          <w:rFonts w:ascii="Verdana" w:hAnsi="Verdana" w:cs="Arial"/>
          <w:sz w:val="18"/>
          <w:szCs w:val="18"/>
        </w:rPr>
        <w:t xml:space="preserve">Europees centraal toegangspunt gedefinieerd. Daarbij wordt verwezen naar </w:t>
      </w:r>
      <w:r w:rsidRPr="007456D5" w:rsidR="00A35C48">
        <w:rPr>
          <w:rFonts w:ascii="Verdana" w:hAnsi="Verdana" w:cs="Arial"/>
          <w:sz w:val="18"/>
          <w:szCs w:val="18"/>
        </w:rPr>
        <w:t xml:space="preserve">artikel 1, eerste lid, van </w:t>
      </w:r>
      <w:r w:rsidRPr="007456D5" w:rsidR="00631932">
        <w:rPr>
          <w:rFonts w:ascii="Verdana" w:hAnsi="Verdana" w:cs="Arial"/>
          <w:sz w:val="18"/>
          <w:szCs w:val="18"/>
        </w:rPr>
        <w:t>de verordening oprichting ESAP.</w:t>
      </w:r>
      <w:r w:rsidRPr="007456D5" w:rsidR="00A35C48">
        <w:rPr>
          <w:rFonts w:ascii="Verdana" w:hAnsi="Verdana" w:cs="Arial"/>
          <w:sz w:val="18"/>
          <w:szCs w:val="18"/>
        </w:rPr>
        <w:t xml:space="preserve"> </w:t>
      </w:r>
      <w:r w:rsidRPr="007456D5" w:rsidR="006376F8">
        <w:rPr>
          <w:rFonts w:ascii="Verdana" w:hAnsi="Verdana" w:cs="Arial"/>
          <w:sz w:val="18"/>
          <w:szCs w:val="18"/>
        </w:rPr>
        <w:t xml:space="preserve">Daarin </w:t>
      </w:r>
      <w:r w:rsidRPr="007456D5" w:rsidR="00D06D8F">
        <w:rPr>
          <w:rFonts w:ascii="Verdana" w:hAnsi="Verdana" w:cs="Arial"/>
          <w:sz w:val="18"/>
          <w:szCs w:val="18"/>
        </w:rPr>
        <w:t>is</w:t>
      </w:r>
      <w:r w:rsidRPr="007456D5" w:rsidR="006376F8">
        <w:rPr>
          <w:rFonts w:ascii="Verdana" w:hAnsi="Verdana" w:cs="Arial"/>
          <w:sz w:val="18"/>
          <w:szCs w:val="18"/>
        </w:rPr>
        <w:t xml:space="preserve"> beschreven dat het Europees centraal toegangspunt wordt opgericht en beheerd door de Europese Autoriteit voor effecten en markten (ESMA). Het Europees centraal toegangspunt biedt toegang tot a) informatie die openbaar wordt gemaakt op grond van wetgevingshandelingen van de Unie die voorzien in gecentraliseerde elektronische toegang tot informatie op het Europees centraal toegangspunt; en b) informatie die een entiteit vrijwillig toegankelijk maakt op het Europees centraal toegangspunt en daarbij verwezen wordt naar wetgevingshandelingen van de Unie die voorzien in gecentraliseerde elektronische toegang tot informatie op het Europees centraal toegangspunt.</w:t>
      </w:r>
    </w:p>
    <w:p w:rsidRPr="007456D5" w:rsidR="00C46AFC" w:rsidP="009C2659" w:rsidRDefault="00C46AFC" w14:paraId="19D7AFBF" w14:textId="77777777">
      <w:pPr>
        <w:widowControl w:val="0"/>
        <w:tabs>
          <w:tab w:val="num" w:pos="720"/>
        </w:tabs>
        <w:spacing w:line="240" w:lineRule="atLeast"/>
        <w:contextualSpacing/>
        <w:rPr>
          <w:rFonts w:ascii="Verdana" w:hAnsi="Verdana" w:cs="Arial"/>
          <w:sz w:val="18"/>
          <w:szCs w:val="18"/>
        </w:rPr>
      </w:pPr>
    </w:p>
    <w:p w:rsidRPr="007456D5" w:rsidR="00C46AFC" w:rsidP="009C2659" w:rsidRDefault="00C46AFC" w14:paraId="7D825130" w14:textId="539E3731">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Ten slotte wordt in artikel 1:1 </w:t>
      </w:r>
      <w:r w:rsidR="00B01484">
        <w:rPr>
          <w:rFonts w:ascii="Verdana" w:hAnsi="Verdana" w:cs="Arial"/>
          <w:sz w:val="18"/>
          <w:szCs w:val="18"/>
        </w:rPr>
        <w:t xml:space="preserve">de </w:t>
      </w:r>
      <w:r w:rsidR="00432F45">
        <w:rPr>
          <w:rFonts w:ascii="Verdana" w:hAnsi="Verdana" w:cs="Arial"/>
          <w:sz w:val="18"/>
          <w:szCs w:val="18"/>
        </w:rPr>
        <w:t xml:space="preserve">term </w:t>
      </w:r>
      <w:r w:rsidRPr="007456D5">
        <w:rPr>
          <w:rFonts w:ascii="Verdana" w:hAnsi="Verdana" w:cs="Arial"/>
          <w:sz w:val="18"/>
          <w:szCs w:val="18"/>
        </w:rPr>
        <w:t>verzamelende instantie gedefinieerd. Daarbij wordt verwezen naar artikel 2, onderdeel 2, van de verordening oprichting ESAP. Daarin is beschreven dat het gaat om een orgaan van de Unie dat of een instantie van de Unie die als dusdanig is aangewezen op grond van een van de wetgevingshandelingen van de Unie uit hoofde van artikel 1, lid 1, punt a), of een nationaal orgaan of register dat of een nationale autoriteit die als dusdanig is aangewezen door een lidstaat overeenkomstig artikel 3, lid 2.</w:t>
      </w:r>
    </w:p>
    <w:p w:rsidRPr="007456D5" w:rsidR="00FB3BF0" w:rsidP="009C2659" w:rsidRDefault="00FB3BF0" w14:paraId="3E6F4C6A" w14:textId="77777777">
      <w:pPr>
        <w:widowControl w:val="0"/>
        <w:tabs>
          <w:tab w:val="num" w:pos="720"/>
        </w:tabs>
        <w:spacing w:line="240" w:lineRule="atLeast"/>
        <w:contextualSpacing/>
        <w:rPr>
          <w:rFonts w:ascii="Verdana" w:hAnsi="Verdana" w:cs="Arial"/>
          <w:sz w:val="18"/>
          <w:szCs w:val="18"/>
        </w:rPr>
      </w:pPr>
    </w:p>
    <w:p w:rsidRPr="007456D5" w:rsidR="00016C65" w:rsidP="009C2659" w:rsidRDefault="0063630B" w14:paraId="2415E843" w14:textId="68FA3847">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B</w:t>
      </w:r>
      <w:r w:rsidRPr="007456D5" w:rsidR="00016C65">
        <w:rPr>
          <w:rFonts w:ascii="Verdana" w:hAnsi="Verdana" w:cs="Arial"/>
          <w:sz w:val="18"/>
          <w:szCs w:val="18"/>
        </w:rPr>
        <w:t xml:space="preserve"> (</w:t>
      </w:r>
      <w:r w:rsidRPr="007456D5" w:rsidR="00016C65">
        <w:rPr>
          <w:rFonts w:ascii="Verdana" w:hAnsi="Verdana" w:cs="Arial"/>
          <w:i/>
          <w:iCs/>
          <w:sz w:val="18"/>
          <w:szCs w:val="18"/>
        </w:rPr>
        <w:t>artikel 1:76a</w:t>
      </w:r>
      <w:r w:rsidRPr="007456D5" w:rsidR="00016C65">
        <w:rPr>
          <w:rFonts w:ascii="Verdana" w:hAnsi="Verdana" w:cs="Arial"/>
          <w:sz w:val="18"/>
          <w:szCs w:val="18"/>
        </w:rPr>
        <w:t>)</w:t>
      </w:r>
    </w:p>
    <w:p w:rsidRPr="007456D5" w:rsidR="00016C65" w:rsidP="009C2659" w:rsidRDefault="00016C65" w14:paraId="777C213C" w14:textId="77777777">
      <w:pPr>
        <w:widowControl w:val="0"/>
        <w:tabs>
          <w:tab w:val="num" w:pos="720"/>
        </w:tabs>
        <w:spacing w:line="240" w:lineRule="atLeast"/>
        <w:contextualSpacing/>
        <w:rPr>
          <w:rFonts w:ascii="Verdana" w:hAnsi="Verdana" w:cs="Arial"/>
          <w:sz w:val="18"/>
          <w:szCs w:val="18"/>
        </w:rPr>
      </w:pPr>
    </w:p>
    <w:p w:rsidRPr="007456D5" w:rsidR="0099097F" w:rsidP="009C2659" w:rsidRDefault="00016C65" w14:paraId="72056CA6" w14:textId="68E6D72B">
      <w:pPr>
        <w:pStyle w:val="Default"/>
        <w:spacing w:line="240" w:lineRule="atLeast"/>
        <w:contextualSpacing/>
        <w:rPr>
          <w:rFonts w:ascii="Verdana" w:hAnsi="Verdana"/>
          <w:sz w:val="18"/>
          <w:szCs w:val="18"/>
        </w:rPr>
      </w:pPr>
      <w:r w:rsidRPr="007456D5">
        <w:rPr>
          <w:rFonts w:ascii="Verdana" w:hAnsi="Verdana"/>
          <w:sz w:val="18"/>
          <w:szCs w:val="18"/>
        </w:rPr>
        <w:t xml:space="preserve">Artikel 1:76a, vijfde lid, verwerkt artikel 11 van de </w:t>
      </w:r>
      <w:r w:rsidR="00A65911">
        <w:rPr>
          <w:rFonts w:ascii="Verdana" w:hAnsi="Verdana"/>
          <w:sz w:val="18"/>
          <w:szCs w:val="18"/>
        </w:rPr>
        <w:t>richtlijn ESAP</w:t>
      </w:r>
      <w:r w:rsidRPr="007456D5">
        <w:rPr>
          <w:rFonts w:ascii="Verdana" w:hAnsi="Verdana"/>
          <w:sz w:val="18"/>
          <w:szCs w:val="18"/>
        </w:rPr>
        <w:t xml:space="preserve">. Het betreft artikel 128 bis, vierde lid, van de richtlijn herstel en afwikkeling van banken en beleggingsondernemingen. In artikel 1:76a, vijfde lid, wordt bepaald dat </w:t>
      </w:r>
      <w:r w:rsidRPr="007456D5" w:rsidR="007A29D4">
        <w:rPr>
          <w:rFonts w:ascii="Verdana" w:hAnsi="Verdana"/>
          <w:sz w:val="18"/>
          <w:szCs w:val="18"/>
        </w:rPr>
        <w:t>zo spoedig mogelijk na</w:t>
      </w:r>
      <w:r w:rsidRPr="007456D5">
        <w:rPr>
          <w:rFonts w:ascii="Verdana" w:hAnsi="Verdana"/>
          <w:sz w:val="18"/>
          <w:szCs w:val="18"/>
        </w:rPr>
        <w:t xml:space="preserve"> het openbaar maken van het besluit tot benoeming van een bijzondere bewindvoerder, d</w:t>
      </w:r>
      <w:r w:rsidRPr="007456D5" w:rsidR="00DD64EC">
        <w:rPr>
          <w:rFonts w:ascii="Verdana" w:hAnsi="Verdana"/>
          <w:sz w:val="18"/>
          <w:szCs w:val="18"/>
        </w:rPr>
        <w:t>it besluit</w:t>
      </w:r>
      <w:r w:rsidRPr="007456D5">
        <w:rPr>
          <w:rFonts w:ascii="Verdana" w:hAnsi="Verdana"/>
          <w:sz w:val="18"/>
          <w:szCs w:val="18"/>
        </w:rPr>
        <w:t xml:space="preserve"> door</w:t>
      </w:r>
      <w:r w:rsidRPr="007456D5" w:rsidR="008F36CE">
        <w:rPr>
          <w:rFonts w:ascii="Verdana" w:hAnsi="Verdana"/>
          <w:sz w:val="18"/>
          <w:szCs w:val="18"/>
        </w:rPr>
        <w:t xml:space="preserve"> de Nederlandsche Bank</w:t>
      </w:r>
      <w:r w:rsidRPr="007456D5">
        <w:rPr>
          <w:rFonts w:ascii="Verdana" w:hAnsi="Verdana"/>
          <w:sz w:val="18"/>
          <w:szCs w:val="18"/>
        </w:rPr>
        <w:t xml:space="preserve"> </w:t>
      </w:r>
      <w:r w:rsidRPr="007456D5" w:rsidR="008F36CE">
        <w:rPr>
          <w:rFonts w:ascii="Verdana" w:hAnsi="Verdana"/>
          <w:sz w:val="18"/>
          <w:szCs w:val="18"/>
        </w:rPr>
        <w:t>(</w:t>
      </w:r>
      <w:r w:rsidRPr="007456D5" w:rsidR="008358CE">
        <w:rPr>
          <w:rFonts w:ascii="Verdana" w:hAnsi="Verdana"/>
          <w:sz w:val="18"/>
          <w:szCs w:val="18"/>
        </w:rPr>
        <w:t>DNB</w:t>
      </w:r>
      <w:r w:rsidRPr="007456D5" w:rsidR="008F36CE">
        <w:rPr>
          <w:rFonts w:ascii="Verdana" w:hAnsi="Verdana"/>
          <w:sz w:val="18"/>
          <w:szCs w:val="18"/>
        </w:rPr>
        <w:t>)</w:t>
      </w:r>
      <w:r w:rsidRPr="007456D5">
        <w:rPr>
          <w:rFonts w:ascii="Verdana" w:hAnsi="Verdana"/>
          <w:sz w:val="18"/>
          <w:szCs w:val="18"/>
        </w:rPr>
        <w:t xml:space="preserve"> </w:t>
      </w:r>
      <w:r w:rsidRPr="007456D5" w:rsidR="007A29D4">
        <w:rPr>
          <w:rFonts w:ascii="Verdana" w:hAnsi="Verdana"/>
          <w:sz w:val="18"/>
          <w:szCs w:val="18"/>
        </w:rPr>
        <w:t>wordt verstrekt aan</w:t>
      </w:r>
      <w:r w:rsidRPr="007456D5" w:rsidR="009D7424">
        <w:rPr>
          <w:rFonts w:ascii="Verdana" w:hAnsi="Verdana"/>
          <w:sz w:val="18"/>
          <w:szCs w:val="18"/>
        </w:rPr>
        <w:t xml:space="preserve"> </w:t>
      </w:r>
      <w:r w:rsidR="00B9660D">
        <w:rPr>
          <w:rFonts w:ascii="Verdana" w:hAnsi="Verdana"/>
          <w:sz w:val="18"/>
          <w:szCs w:val="18"/>
        </w:rPr>
        <w:t xml:space="preserve">het </w:t>
      </w:r>
      <w:r w:rsidRPr="007456D5" w:rsidR="008358CE">
        <w:rPr>
          <w:rFonts w:ascii="Verdana" w:hAnsi="Verdana"/>
          <w:sz w:val="18"/>
          <w:szCs w:val="18"/>
        </w:rPr>
        <w:t>ESAP</w:t>
      </w:r>
      <w:r w:rsidRPr="007456D5">
        <w:rPr>
          <w:rFonts w:ascii="Verdana" w:hAnsi="Verdana"/>
          <w:sz w:val="18"/>
          <w:szCs w:val="18"/>
        </w:rPr>
        <w:t xml:space="preserve">. </w:t>
      </w:r>
    </w:p>
    <w:p w:rsidRPr="007456D5" w:rsidR="0099097F" w:rsidP="009C2659" w:rsidRDefault="0099097F" w14:paraId="2DB3EBEE" w14:textId="77777777">
      <w:pPr>
        <w:pStyle w:val="Default"/>
        <w:spacing w:line="240" w:lineRule="atLeast"/>
        <w:contextualSpacing/>
        <w:rPr>
          <w:rFonts w:ascii="Verdana" w:hAnsi="Verdana"/>
          <w:sz w:val="18"/>
          <w:szCs w:val="18"/>
        </w:rPr>
      </w:pPr>
    </w:p>
    <w:p w:rsidRPr="007456D5" w:rsidR="00016C65" w:rsidP="009C2659" w:rsidRDefault="00016C65" w14:paraId="7D2A2A9B" w14:textId="3DAC157D">
      <w:pPr>
        <w:pStyle w:val="Default"/>
        <w:spacing w:line="240" w:lineRule="atLeast"/>
        <w:contextualSpacing/>
        <w:rPr>
          <w:rFonts w:ascii="Verdana" w:hAnsi="Verdana"/>
          <w:sz w:val="18"/>
          <w:szCs w:val="18"/>
        </w:rPr>
      </w:pPr>
      <w:r w:rsidRPr="007456D5">
        <w:rPr>
          <w:rFonts w:ascii="Verdana" w:hAnsi="Verdana"/>
          <w:sz w:val="18"/>
          <w:szCs w:val="18"/>
        </w:rPr>
        <w:t>D</w:t>
      </w:r>
      <w:r w:rsidRPr="007456D5" w:rsidR="008358CE">
        <w:rPr>
          <w:rFonts w:ascii="Verdana" w:hAnsi="Verdana"/>
          <w:sz w:val="18"/>
          <w:szCs w:val="18"/>
        </w:rPr>
        <w:t>NB</w:t>
      </w:r>
      <w:r w:rsidRPr="007456D5">
        <w:rPr>
          <w:rFonts w:ascii="Verdana" w:hAnsi="Verdana"/>
          <w:sz w:val="18"/>
          <w:szCs w:val="18"/>
        </w:rPr>
        <w:t xml:space="preserve"> </w:t>
      </w:r>
      <w:r w:rsidRPr="007456D5" w:rsidR="007A29D4">
        <w:rPr>
          <w:rFonts w:ascii="Verdana" w:hAnsi="Verdana"/>
          <w:sz w:val="18"/>
          <w:szCs w:val="18"/>
        </w:rPr>
        <w:t>vertrekt de informatie</w:t>
      </w:r>
      <w:r w:rsidRPr="007456D5">
        <w:rPr>
          <w:rFonts w:ascii="Verdana" w:hAnsi="Verdana"/>
          <w:sz w:val="18"/>
          <w:szCs w:val="18"/>
        </w:rPr>
        <w:t xml:space="preserve"> </w:t>
      </w:r>
      <w:r w:rsidRPr="007456D5" w:rsidR="0063630B">
        <w:rPr>
          <w:rFonts w:ascii="Verdana" w:hAnsi="Verdana"/>
          <w:sz w:val="18"/>
          <w:szCs w:val="18"/>
        </w:rPr>
        <w:t xml:space="preserve">overeenkomstig de vereisten uit artikel 128 bis, vierde lid, van de richtlijn herstel en afwikkeling van banken en beleggingsondernemingen. Dit betekent dat de informatie moet worden verstrekt </w:t>
      </w:r>
      <w:r w:rsidRPr="007456D5">
        <w:rPr>
          <w:rFonts w:ascii="Verdana" w:hAnsi="Verdana"/>
          <w:sz w:val="18"/>
          <w:szCs w:val="18"/>
        </w:rPr>
        <w:t>onder vermelding van de naam</w:t>
      </w:r>
      <w:r w:rsidRPr="007456D5" w:rsidR="00205F70">
        <w:rPr>
          <w:rFonts w:ascii="Verdana" w:hAnsi="Verdana"/>
          <w:sz w:val="18"/>
          <w:szCs w:val="18"/>
        </w:rPr>
        <w:t xml:space="preserve">, </w:t>
      </w:r>
      <w:r w:rsidRPr="007456D5">
        <w:rPr>
          <w:rFonts w:ascii="Verdana" w:hAnsi="Verdana"/>
          <w:sz w:val="18"/>
          <w:szCs w:val="18"/>
        </w:rPr>
        <w:t xml:space="preserve">identificatiecode </w:t>
      </w:r>
      <w:r w:rsidRPr="007456D5" w:rsidR="00DD64EC">
        <w:rPr>
          <w:rFonts w:ascii="Verdana" w:hAnsi="Verdana"/>
          <w:sz w:val="18"/>
          <w:szCs w:val="18"/>
        </w:rPr>
        <w:t>en grootte van de</w:t>
      </w:r>
      <w:r w:rsidRPr="007456D5" w:rsidR="00205F70">
        <w:rPr>
          <w:rFonts w:ascii="Verdana" w:hAnsi="Verdana"/>
          <w:sz w:val="18"/>
          <w:szCs w:val="18"/>
        </w:rPr>
        <w:t xml:space="preserve"> betrokken</w:t>
      </w:r>
      <w:r w:rsidRPr="007456D5" w:rsidR="00DD64EC">
        <w:rPr>
          <w:rFonts w:ascii="Verdana" w:hAnsi="Verdana"/>
          <w:sz w:val="18"/>
          <w:szCs w:val="18"/>
        </w:rPr>
        <w:t xml:space="preserve"> entiteit</w:t>
      </w:r>
      <w:r w:rsidRPr="007456D5">
        <w:rPr>
          <w:rFonts w:ascii="Verdana" w:hAnsi="Verdana"/>
          <w:sz w:val="18"/>
          <w:szCs w:val="18"/>
        </w:rPr>
        <w:t xml:space="preserve"> (onderdelen a </w:t>
      </w:r>
      <w:r w:rsidRPr="007456D5" w:rsidR="00DD64EC">
        <w:rPr>
          <w:rFonts w:ascii="Verdana" w:hAnsi="Verdana"/>
          <w:sz w:val="18"/>
          <w:szCs w:val="18"/>
        </w:rPr>
        <w:t>tot en met c</w:t>
      </w:r>
      <w:r w:rsidRPr="007456D5">
        <w:rPr>
          <w:rFonts w:ascii="Verdana" w:hAnsi="Verdana"/>
          <w:sz w:val="18"/>
          <w:szCs w:val="18"/>
        </w:rPr>
        <w:t xml:space="preserve">). Daarnaast moet </w:t>
      </w:r>
      <w:r w:rsidRPr="007456D5" w:rsidR="008358CE">
        <w:rPr>
          <w:rFonts w:ascii="Verdana" w:hAnsi="Verdana"/>
          <w:sz w:val="18"/>
          <w:szCs w:val="18"/>
        </w:rPr>
        <w:t>DNB</w:t>
      </w:r>
      <w:r w:rsidRPr="007456D5">
        <w:rPr>
          <w:rFonts w:ascii="Verdana" w:hAnsi="Verdana"/>
          <w:sz w:val="18"/>
          <w:szCs w:val="18"/>
        </w:rPr>
        <w:t xml:space="preserve"> aangeven</w:t>
      </w:r>
      <w:r w:rsidRPr="007456D5" w:rsidR="00DD34B5">
        <w:rPr>
          <w:rFonts w:ascii="Verdana" w:hAnsi="Verdana"/>
          <w:sz w:val="18"/>
          <w:szCs w:val="18"/>
        </w:rPr>
        <w:t xml:space="preserve"> om welke type informatie het gaat</w:t>
      </w:r>
      <w:r w:rsidRPr="007456D5" w:rsidR="00ED51AD">
        <w:rPr>
          <w:rFonts w:ascii="Verdana" w:hAnsi="Verdana"/>
          <w:sz w:val="18"/>
          <w:szCs w:val="18"/>
        </w:rPr>
        <w:t xml:space="preserve"> en</w:t>
      </w:r>
      <w:r w:rsidRPr="007456D5">
        <w:rPr>
          <w:rFonts w:ascii="Verdana" w:hAnsi="Verdana"/>
          <w:sz w:val="18"/>
          <w:szCs w:val="18"/>
        </w:rPr>
        <w:t xml:space="preserve"> of de informatie verplicht of vrijwillig wordt vertrekt ten behoeve van openbaarmaking </w:t>
      </w:r>
      <w:r w:rsidR="00B9660D">
        <w:rPr>
          <w:rFonts w:ascii="Verdana" w:hAnsi="Verdana"/>
          <w:sz w:val="18"/>
          <w:szCs w:val="18"/>
        </w:rPr>
        <w:t>op het ESAP</w:t>
      </w:r>
      <w:r w:rsidRPr="007456D5">
        <w:rPr>
          <w:rFonts w:ascii="Verdana" w:hAnsi="Verdana"/>
          <w:sz w:val="18"/>
          <w:szCs w:val="18"/>
        </w:rPr>
        <w:t xml:space="preserve"> (onderdeel </w:t>
      </w:r>
      <w:r w:rsidRPr="007456D5" w:rsidR="00DD64EC">
        <w:rPr>
          <w:rFonts w:ascii="Verdana" w:hAnsi="Verdana"/>
          <w:sz w:val="18"/>
          <w:szCs w:val="18"/>
        </w:rPr>
        <w:t>d</w:t>
      </w:r>
      <w:r w:rsidRPr="007456D5">
        <w:rPr>
          <w:rFonts w:ascii="Verdana" w:hAnsi="Verdana"/>
          <w:sz w:val="18"/>
          <w:szCs w:val="18"/>
        </w:rPr>
        <w:t>)</w:t>
      </w:r>
      <w:r w:rsidRPr="007456D5" w:rsidR="00DD34B5">
        <w:rPr>
          <w:rFonts w:ascii="Verdana" w:hAnsi="Verdana"/>
          <w:sz w:val="18"/>
          <w:szCs w:val="18"/>
        </w:rPr>
        <w:t>.</w:t>
      </w:r>
      <w:r w:rsidRPr="007456D5">
        <w:rPr>
          <w:rFonts w:ascii="Verdana" w:hAnsi="Verdana"/>
          <w:sz w:val="18"/>
          <w:szCs w:val="18"/>
        </w:rPr>
        <w:t xml:space="preserve"> </w:t>
      </w:r>
      <w:r w:rsidRPr="007456D5" w:rsidR="00DD34B5">
        <w:rPr>
          <w:rFonts w:ascii="Verdana" w:hAnsi="Verdana"/>
          <w:sz w:val="18"/>
          <w:szCs w:val="18"/>
        </w:rPr>
        <w:t>T</w:t>
      </w:r>
      <w:r w:rsidRPr="007456D5">
        <w:rPr>
          <w:rFonts w:ascii="Verdana" w:hAnsi="Verdana"/>
          <w:sz w:val="18"/>
          <w:szCs w:val="18"/>
        </w:rPr>
        <w:t xml:space="preserve">en </w:t>
      </w:r>
      <w:r w:rsidRPr="007456D5" w:rsidR="00DD34B5">
        <w:rPr>
          <w:rFonts w:ascii="Verdana" w:hAnsi="Verdana"/>
          <w:sz w:val="18"/>
          <w:szCs w:val="18"/>
        </w:rPr>
        <w:t xml:space="preserve">slotte moet worden aangegeven </w:t>
      </w:r>
      <w:r w:rsidRPr="007456D5">
        <w:rPr>
          <w:rFonts w:ascii="Verdana" w:hAnsi="Verdana"/>
          <w:sz w:val="18"/>
          <w:szCs w:val="18"/>
        </w:rPr>
        <w:t xml:space="preserve">of er persoonsgegevens aanwezig zijn (onderdeel </w:t>
      </w:r>
      <w:r w:rsidRPr="007456D5" w:rsidR="00DD64EC">
        <w:rPr>
          <w:rFonts w:ascii="Verdana" w:hAnsi="Verdana"/>
          <w:sz w:val="18"/>
          <w:szCs w:val="18"/>
        </w:rPr>
        <w:t>e</w:t>
      </w:r>
      <w:r w:rsidRPr="007456D5">
        <w:rPr>
          <w:rFonts w:ascii="Verdana" w:hAnsi="Verdana"/>
          <w:sz w:val="18"/>
          <w:szCs w:val="18"/>
        </w:rPr>
        <w:t>).</w:t>
      </w:r>
      <w:r w:rsidRPr="007456D5" w:rsidR="002B4DC1">
        <w:rPr>
          <w:rFonts w:ascii="Verdana" w:hAnsi="Verdana"/>
          <w:sz w:val="18"/>
          <w:szCs w:val="18"/>
        </w:rPr>
        <w:t xml:space="preserve"> ‘Zo spoedig mogelijk’ betekent, uitzonderingen voor uitzonderlijke gevallen daar gelaten, binnen maximaal 60 minuten nadat de informatie bij de verzamelende instantie is ingediend.</w:t>
      </w:r>
      <w:r w:rsidRPr="007456D5" w:rsidR="0063630B">
        <w:rPr>
          <w:rFonts w:ascii="Verdana" w:hAnsi="Verdana" w:cs="Times New Roman"/>
          <w:color w:val="auto"/>
          <w:sz w:val="18"/>
          <w:szCs w:val="18"/>
        </w:rPr>
        <w:t xml:space="preserve"> De informatie moet ingediend worden </w:t>
      </w:r>
      <w:r w:rsidRPr="007456D5">
        <w:rPr>
          <w:rFonts w:ascii="Verdana" w:hAnsi="Verdana"/>
          <w:sz w:val="18"/>
          <w:szCs w:val="18"/>
        </w:rPr>
        <w:t xml:space="preserve">in een voor data-extractie geschikt formaat zoals gedefinieerd in artikel 2, onder 3, verordening </w:t>
      </w:r>
      <w:r w:rsidRPr="007456D5">
        <w:rPr>
          <w:rFonts w:ascii="Verdana" w:hAnsi="Verdana"/>
          <w:sz w:val="18"/>
          <w:szCs w:val="18"/>
        </w:rPr>
        <w:lastRenderedPageBreak/>
        <w:t>oprichting ESAP. Hierbij gaat het er vooral om dat de ingediende informatie geschikt is voor data-extractie en dat het door mensen leesbaar is. Voor data-extractie geschikte formats is het niet noodzakelijk dat informatie zodanig is gestructureerd dat die machinaal leesbaar is.</w:t>
      </w:r>
    </w:p>
    <w:p w:rsidRPr="007456D5" w:rsidR="003863A3" w:rsidP="009C2659" w:rsidRDefault="003863A3" w14:paraId="74CAA0DE" w14:textId="77777777">
      <w:pPr>
        <w:pStyle w:val="Default"/>
        <w:spacing w:line="240" w:lineRule="atLeast"/>
        <w:contextualSpacing/>
        <w:rPr>
          <w:rFonts w:ascii="Verdana" w:hAnsi="Verdana"/>
          <w:sz w:val="18"/>
          <w:szCs w:val="18"/>
        </w:rPr>
      </w:pPr>
    </w:p>
    <w:p w:rsidRPr="007456D5" w:rsidR="003863A3" w:rsidP="009C2659" w:rsidRDefault="003863A3" w14:paraId="0493ADA3" w14:textId="6681AAEE">
      <w:pPr>
        <w:pStyle w:val="Default"/>
        <w:spacing w:line="240" w:lineRule="atLeast"/>
        <w:contextualSpacing/>
        <w:rPr>
          <w:rFonts w:ascii="Verdana" w:hAnsi="Verdana"/>
          <w:sz w:val="18"/>
          <w:szCs w:val="18"/>
        </w:rPr>
      </w:pPr>
      <w:r w:rsidRPr="007456D5">
        <w:rPr>
          <w:rFonts w:ascii="Verdana" w:hAnsi="Verdana"/>
          <w:sz w:val="18"/>
          <w:szCs w:val="18"/>
        </w:rPr>
        <w:t>C (</w:t>
      </w:r>
      <w:r w:rsidRPr="007456D5">
        <w:rPr>
          <w:rFonts w:ascii="Verdana" w:hAnsi="Verdana"/>
          <w:i/>
          <w:iCs/>
          <w:sz w:val="18"/>
          <w:szCs w:val="18"/>
        </w:rPr>
        <w:t>artikel 1:77d</w:t>
      </w:r>
      <w:r w:rsidRPr="007456D5">
        <w:rPr>
          <w:rFonts w:ascii="Verdana" w:hAnsi="Verdana"/>
          <w:sz w:val="18"/>
          <w:szCs w:val="18"/>
        </w:rPr>
        <w:t>)</w:t>
      </w:r>
    </w:p>
    <w:p w:rsidRPr="007456D5" w:rsidR="003863A3" w:rsidP="009C2659" w:rsidRDefault="003863A3" w14:paraId="403B549F" w14:textId="77777777">
      <w:pPr>
        <w:pStyle w:val="Default"/>
        <w:spacing w:line="240" w:lineRule="atLeast"/>
        <w:contextualSpacing/>
        <w:rPr>
          <w:rFonts w:ascii="Verdana" w:hAnsi="Verdana"/>
          <w:sz w:val="18"/>
          <w:szCs w:val="18"/>
        </w:rPr>
      </w:pPr>
    </w:p>
    <w:p w:rsidRPr="007456D5" w:rsidR="003863A3" w:rsidP="009C2659" w:rsidRDefault="0099097F" w14:paraId="506D363D" w14:textId="45BAAF99">
      <w:pPr>
        <w:pStyle w:val="Default"/>
        <w:spacing w:line="240" w:lineRule="atLeast"/>
        <w:contextualSpacing/>
        <w:rPr>
          <w:rFonts w:ascii="Verdana" w:hAnsi="Verdana"/>
          <w:sz w:val="18"/>
          <w:szCs w:val="18"/>
        </w:rPr>
      </w:pPr>
      <w:r w:rsidRPr="007456D5">
        <w:rPr>
          <w:rFonts w:ascii="Verdana" w:hAnsi="Verdana"/>
          <w:sz w:val="18"/>
          <w:szCs w:val="18"/>
        </w:rPr>
        <w:t xml:space="preserve">Dit artikel verwerkt artikel 12 van de </w:t>
      </w:r>
      <w:r w:rsidR="00A65911">
        <w:rPr>
          <w:rFonts w:ascii="Verdana" w:hAnsi="Verdana"/>
          <w:sz w:val="18"/>
          <w:szCs w:val="18"/>
        </w:rPr>
        <w:t>richtlijn ESAP</w:t>
      </w:r>
      <w:r w:rsidRPr="007456D5">
        <w:rPr>
          <w:rFonts w:ascii="Verdana" w:hAnsi="Verdana"/>
          <w:sz w:val="18"/>
          <w:szCs w:val="18"/>
        </w:rPr>
        <w:t xml:space="preserve">. Het betreft artikel 87 bis, vierde lid, van de richtlijn markten voor financiële instrumenten 2014. In artikel 1:77d, vijfde lid, wordt bepaald dat zo spoedig mogelijk na het openbaar maken van een aanwijzing om de handel in een financieel instrument verplicht op te schorten of te onderbreken, </w:t>
      </w:r>
      <w:r w:rsidR="00E8061C">
        <w:rPr>
          <w:rFonts w:ascii="Verdana" w:hAnsi="Verdana"/>
          <w:sz w:val="18"/>
          <w:szCs w:val="18"/>
        </w:rPr>
        <w:t xml:space="preserve">bedoeld in het eerste of tweede lid, </w:t>
      </w:r>
      <w:r w:rsidRPr="007456D5">
        <w:rPr>
          <w:rFonts w:ascii="Verdana" w:hAnsi="Verdana"/>
          <w:sz w:val="18"/>
          <w:szCs w:val="18"/>
        </w:rPr>
        <w:t>dit besluit door de</w:t>
      </w:r>
      <w:r w:rsidRPr="007456D5" w:rsidR="008F36CE">
        <w:rPr>
          <w:rFonts w:ascii="Verdana" w:hAnsi="Verdana"/>
          <w:sz w:val="18"/>
          <w:szCs w:val="18"/>
        </w:rPr>
        <w:t xml:space="preserve"> </w:t>
      </w:r>
      <w:r w:rsidRPr="007456D5">
        <w:rPr>
          <w:rFonts w:ascii="Verdana" w:hAnsi="Verdana"/>
          <w:sz w:val="18"/>
          <w:szCs w:val="18"/>
        </w:rPr>
        <w:t xml:space="preserve">AFM wordt verstrekt </w:t>
      </w:r>
      <w:r w:rsidR="00B9660D">
        <w:rPr>
          <w:rFonts w:ascii="Verdana" w:hAnsi="Verdana"/>
          <w:sz w:val="18"/>
          <w:szCs w:val="18"/>
        </w:rPr>
        <w:t>aan het ESAP</w:t>
      </w:r>
      <w:r w:rsidRPr="007456D5">
        <w:rPr>
          <w:rFonts w:ascii="Verdana" w:hAnsi="Verdana"/>
          <w:sz w:val="18"/>
          <w:szCs w:val="18"/>
        </w:rPr>
        <w:t xml:space="preserve">. </w:t>
      </w:r>
    </w:p>
    <w:p w:rsidRPr="007456D5" w:rsidR="0099097F" w:rsidP="009C2659" w:rsidRDefault="0099097F" w14:paraId="382A5424" w14:textId="77777777">
      <w:pPr>
        <w:pStyle w:val="Default"/>
        <w:spacing w:line="240" w:lineRule="atLeast"/>
        <w:contextualSpacing/>
        <w:rPr>
          <w:rFonts w:ascii="Verdana" w:hAnsi="Verdana"/>
          <w:sz w:val="18"/>
          <w:szCs w:val="18"/>
        </w:rPr>
      </w:pPr>
    </w:p>
    <w:p w:rsidRPr="007456D5" w:rsidR="0099097F" w:rsidP="009C2659" w:rsidRDefault="0099097F" w14:paraId="2A2DAF97" w14:textId="4AE4A2D1">
      <w:pPr>
        <w:pStyle w:val="Default"/>
        <w:spacing w:line="240" w:lineRule="atLeast"/>
        <w:contextualSpacing/>
        <w:rPr>
          <w:rFonts w:ascii="Verdana" w:hAnsi="Verdana"/>
          <w:sz w:val="18"/>
          <w:szCs w:val="18"/>
        </w:rPr>
      </w:pPr>
      <w:r w:rsidRPr="007456D5">
        <w:rPr>
          <w:rFonts w:ascii="Verdana" w:hAnsi="Verdana"/>
          <w:sz w:val="18"/>
          <w:szCs w:val="18"/>
        </w:rPr>
        <w:t>De AFM vertrekt de informatie overeenkomstig de vereisten uit artikel 87 bis, vierde lid, van de richtlijn markten voor financiële instrumenten 2014. Dit betekent dat de informatie moet worden verstrekt onder vermelding van de naam</w:t>
      </w:r>
      <w:r w:rsidRPr="007456D5" w:rsidR="00E3240F">
        <w:rPr>
          <w:rFonts w:ascii="Verdana" w:hAnsi="Verdana"/>
          <w:sz w:val="18"/>
          <w:szCs w:val="18"/>
        </w:rPr>
        <w:t xml:space="preserve"> en, indien beschikbaar, de</w:t>
      </w:r>
      <w:r w:rsidRPr="007456D5">
        <w:rPr>
          <w:rFonts w:ascii="Verdana" w:hAnsi="Verdana"/>
          <w:sz w:val="18"/>
          <w:szCs w:val="18"/>
        </w:rPr>
        <w:t xml:space="preserve"> identificatiecode van de betrokken entiteit (onderdelen a </w:t>
      </w:r>
      <w:r w:rsidRPr="007456D5" w:rsidR="00E3240F">
        <w:rPr>
          <w:rFonts w:ascii="Verdana" w:hAnsi="Verdana"/>
          <w:sz w:val="18"/>
          <w:szCs w:val="18"/>
        </w:rPr>
        <w:t>en b</w:t>
      </w:r>
      <w:r w:rsidRPr="007456D5">
        <w:rPr>
          <w:rFonts w:ascii="Verdana" w:hAnsi="Verdana"/>
          <w:sz w:val="18"/>
          <w:szCs w:val="18"/>
        </w:rPr>
        <w:t xml:space="preserve">). Daarnaast moet </w:t>
      </w:r>
      <w:r w:rsidRPr="007456D5" w:rsidR="00E3240F">
        <w:rPr>
          <w:rFonts w:ascii="Verdana" w:hAnsi="Verdana"/>
          <w:sz w:val="18"/>
          <w:szCs w:val="18"/>
        </w:rPr>
        <w:t>de AFM</w:t>
      </w:r>
      <w:r w:rsidRPr="007456D5">
        <w:rPr>
          <w:rFonts w:ascii="Verdana" w:hAnsi="Verdana"/>
          <w:sz w:val="18"/>
          <w:szCs w:val="18"/>
        </w:rPr>
        <w:t xml:space="preserve"> aangeven om welke type informatie het gaat en of de informatie verplicht of vrijwillig wordt vertrekt ten behoeve van openbaarmaking </w:t>
      </w:r>
      <w:r w:rsidR="00B9660D">
        <w:rPr>
          <w:rFonts w:ascii="Verdana" w:hAnsi="Verdana"/>
          <w:sz w:val="18"/>
          <w:szCs w:val="18"/>
        </w:rPr>
        <w:t>op het ESAP</w:t>
      </w:r>
      <w:r w:rsidRPr="007456D5">
        <w:rPr>
          <w:rFonts w:ascii="Verdana" w:hAnsi="Verdana"/>
          <w:sz w:val="18"/>
          <w:szCs w:val="18"/>
        </w:rPr>
        <w:t xml:space="preserve"> (onderdeel </w:t>
      </w:r>
      <w:r w:rsidRPr="007456D5" w:rsidR="00E3240F">
        <w:rPr>
          <w:rFonts w:ascii="Verdana" w:hAnsi="Verdana"/>
          <w:sz w:val="18"/>
          <w:szCs w:val="18"/>
        </w:rPr>
        <w:t>c</w:t>
      </w:r>
      <w:r w:rsidRPr="007456D5">
        <w:rPr>
          <w:rFonts w:ascii="Verdana" w:hAnsi="Verdana"/>
          <w:sz w:val="18"/>
          <w:szCs w:val="18"/>
        </w:rPr>
        <w:t xml:space="preserve">). Ten slotte moet worden aangegeven of er persoonsgegevens aanwezig zijn (onderdeel </w:t>
      </w:r>
      <w:r w:rsidRPr="007456D5" w:rsidR="00E3240F">
        <w:rPr>
          <w:rFonts w:ascii="Verdana" w:hAnsi="Verdana"/>
          <w:sz w:val="18"/>
          <w:szCs w:val="18"/>
        </w:rPr>
        <w:t>d</w:t>
      </w:r>
      <w:r w:rsidRPr="007456D5">
        <w:rPr>
          <w:rFonts w:ascii="Verdana" w:hAnsi="Verdana"/>
          <w:sz w:val="18"/>
          <w:szCs w:val="18"/>
        </w:rPr>
        <w:t>). ‘Zo spoedig mogelijk’ betekent, uitzonderingen voor uitzonderlijke gevallen daar gelaten, binnen maximaal 60 minuten nadat de informatie bij de verzamelende instantie is ingediend.</w:t>
      </w:r>
      <w:r w:rsidRPr="007456D5">
        <w:rPr>
          <w:rFonts w:ascii="Verdana" w:hAnsi="Verdana" w:cs="Times New Roman"/>
          <w:color w:val="auto"/>
          <w:sz w:val="18"/>
          <w:szCs w:val="18"/>
        </w:rPr>
        <w:t xml:space="preserve"> De informatie moet ingediend worden </w:t>
      </w:r>
      <w:r w:rsidRPr="007456D5">
        <w:rPr>
          <w:rFonts w:ascii="Verdana" w:hAnsi="Verdana"/>
          <w:sz w:val="18"/>
          <w:szCs w:val="18"/>
        </w:rPr>
        <w:t>in een voor data-extractie geschikt formaat zoals gedefinieerd in artikel 2, onder 3, verordening oprichting ESAP. Hierbij gaat het er vooral om dat de ingediende informatie geschikt is voor data-extractie en dat het door mensen leesbaar is. Voor data-extractie geschikte formats is het niet noodzakelijk dat informatie zodanig is gestructureerd dat die machinaal leesbaar is.</w:t>
      </w:r>
    </w:p>
    <w:p w:rsidRPr="007456D5" w:rsidR="00D04AB5" w:rsidP="009C2659" w:rsidRDefault="00D04AB5" w14:paraId="1E55B1D2" w14:textId="77777777">
      <w:pPr>
        <w:widowControl w:val="0"/>
        <w:tabs>
          <w:tab w:val="num" w:pos="720"/>
        </w:tabs>
        <w:spacing w:line="240" w:lineRule="atLeast"/>
        <w:contextualSpacing/>
        <w:rPr>
          <w:rFonts w:ascii="Verdana" w:hAnsi="Verdana" w:cs="Arial"/>
          <w:sz w:val="18"/>
          <w:szCs w:val="18"/>
        </w:rPr>
      </w:pPr>
    </w:p>
    <w:p w:rsidRPr="007456D5" w:rsidR="00AB25D7" w:rsidP="009C2659" w:rsidRDefault="006D3BDA" w14:paraId="4568DF0F" w14:textId="7D389A9C">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D</w:t>
      </w:r>
      <w:r w:rsidRPr="007456D5" w:rsidR="00AB25D7">
        <w:rPr>
          <w:rFonts w:ascii="Verdana" w:hAnsi="Verdana" w:cs="Arial"/>
          <w:sz w:val="18"/>
          <w:szCs w:val="18"/>
        </w:rPr>
        <w:t xml:space="preserve"> (</w:t>
      </w:r>
      <w:r w:rsidRPr="007456D5" w:rsidR="00AB25D7">
        <w:rPr>
          <w:rFonts w:ascii="Verdana" w:hAnsi="Verdana" w:cs="Arial"/>
          <w:i/>
          <w:iCs/>
          <w:sz w:val="18"/>
          <w:szCs w:val="18"/>
        </w:rPr>
        <w:t>artikel 1:97</w:t>
      </w:r>
      <w:r w:rsidRPr="007456D5" w:rsidR="00AB25D7">
        <w:rPr>
          <w:rFonts w:ascii="Verdana" w:hAnsi="Verdana" w:cs="Arial"/>
          <w:sz w:val="18"/>
          <w:szCs w:val="18"/>
        </w:rPr>
        <w:t>)</w:t>
      </w:r>
    </w:p>
    <w:p w:rsidRPr="007456D5" w:rsidR="00AB25D7" w:rsidP="009C2659" w:rsidRDefault="00AB25D7" w14:paraId="30E212D1" w14:textId="77777777">
      <w:pPr>
        <w:widowControl w:val="0"/>
        <w:tabs>
          <w:tab w:val="num" w:pos="720"/>
        </w:tabs>
        <w:spacing w:line="240" w:lineRule="atLeast"/>
        <w:contextualSpacing/>
        <w:rPr>
          <w:rFonts w:ascii="Verdana" w:hAnsi="Verdana" w:cs="Arial"/>
          <w:sz w:val="18"/>
          <w:szCs w:val="18"/>
        </w:rPr>
      </w:pPr>
    </w:p>
    <w:p w:rsidRPr="007456D5" w:rsidR="001232B3" w:rsidP="009C2659" w:rsidRDefault="009D579E" w14:paraId="69C69C83" w14:textId="65CBC1B6">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Dit artikel verwerkt </w:t>
      </w:r>
      <w:r w:rsidRPr="007456D5" w:rsidR="00F55DA2">
        <w:rPr>
          <w:rFonts w:ascii="Verdana" w:hAnsi="Verdana" w:cs="Arial"/>
          <w:sz w:val="18"/>
          <w:szCs w:val="18"/>
        </w:rPr>
        <w:t>artikel 23</w:t>
      </w:r>
      <w:r w:rsidRPr="007456D5" w:rsidR="003042EE">
        <w:rPr>
          <w:rFonts w:ascii="Verdana" w:hAnsi="Verdana" w:cs="Arial"/>
          <w:sz w:val="18"/>
          <w:szCs w:val="18"/>
        </w:rPr>
        <w:t xml:space="preserve"> </w:t>
      </w:r>
      <w:r w:rsidRPr="007456D5" w:rsidR="00F55DA2">
        <w:rPr>
          <w:rFonts w:ascii="Verdana" w:hAnsi="Verdana" w:cs="Arial"/>
          <w:sz w:val="18"/>
          <w:szCs w:val="18"/>
        </w:rPr>
        <w:t>bis</w:t>
      </w:r>
      <w:r w:rsidRPr="007456D5">
        <w:rPr>
          <w:rFonts w:ascii="Verdana" w:hAnsi="Verdana" w:cs="Arial"/>
          <w:sz w:val="18"/>
          <w:szCs w:val="18"/>
        </w:rPr>
        <w:t xml:space="preserve"> </w:t>
      </w:r>
      <w:r w:rsidRPr="007456D5" w:rsidR="006D3BDA">
        <w:rPr>
          <w:rFonts w:ascii="Verdana" w:hAnsi="Verdana" w:cs="Arial"/>
          <w:sz w:val="18"/>
          <w:szCs w:val="18"/>
        </w:rPr>
        <w:t xml:space="preserve">van de </w:t>
      </w:r>
      <w:r w:rsidRPr="007456D5">
        <w:rPr>
          <w:rFonts w:ascii="Verdana" w:hAnsi="Verdana" w:cs="Arial"/>
          <w:sz w:val="18"/>
          <w:szCs w:val="18"/>
        </w:rPr>
        <w:t>richtlijn transparantie</w:t>
      </w:r>
      <w:r w:rsidRPr="007456D5" w:rsidR="00F55DA2">
        <w:rPr>
          <w:rFonts w:ascii="Verdana" w:hAnsi="Verdana" w:cs="Arial"/>
          <w:sz w:val="18"/>
          <w:szCs w:val="18"/>
        </w:rPr>
        <w:t xml:space="preserve"> (artikel 3 van de </w:t>
      </w:r>
      <w:r w:rsidR="00A65911">
        <w:rPr>
          <w:rFonts w:ascii="Verdana" w:hAnsi="Verdana" w:cs="Arial"/>
          <w:sz w:val="18"/>
          <w:szCs w:val="18"/>
        </w:rPr>
        <w:t>richtlijn ESAP</w:t>
      </w:r>
      <w:r w:rsidRPr="007456D5" w:rsidR="00F55DA2">
        <w:rPr>
          <w:rFonts w:ascii="Verdana" w:hAnsi="Verdana" w:cs="Arial"/>
          <w:sz w:val="18"/>
          <w:szCs w:val="18"/>
        </w:rPr>
        <w:t>)</w:t>
      </w:r>
      <w:r w:rsidRPr="007456D5">
        <w:rPr>
          <w:rFonts w:ascii="Verdana" w:hAnsi="Verdana" w:cs="Arial"/>
          <w:sz w:val="18"/>
          <w:szCs w:val="18"/>
        </w:rPr>
        <w:t>,</w:t>
      </w:r>
      <w:r w:rsidRPr="007456D5" w:rsidR="00481B11">
        <w:rPr>
          <w:rFonts w:ascii="Verdana" w:hAnsi="Verdana" w:cs="Arial"/>
          <w:sz w:val="18"/>
          <w:szCs w:val="18"/>
        </w:rPr>
        <w:t xml:space="preserve"> </w:t>
      </w:r>
      <w:r w:rsidRPr="007456D5" w:rsidR="0041537D">
        <w:rPr>
          <w:rFonts w:ascii="Verdana" w:hAnsi="Verdana" w:cs="Arial"/>
          <w:sz w:val="18"/>
          <w:szCs w:val="18"/>
        </w:rPr>
        <w:t xml:space="preserve">artikel 82 bis </w:t>
      </w:r>
      <w:r w:rsidRPr="007456D5" w:rsidR="006D3BDA">
        <w:rPr>
          <w:rFonts w:ascii="Verdana" w:hAnsi="Verdana" w:cs="Arial"/>
          <w:sz w:val="18"/>
          <w:szCs w:val="18"/>
        </w:rPr>
        <w:t xml:space="preserve">van de </w:t>
      </w:r>
      <w:r w:rsidRPr="007456D5" w:rsidR="0041537D">
        <w:rPr>
          <w:rFonts w:ascii="Verdana" w:hAnsi="Verdana"/>
          <w:sz w:val="18"/>
          <w:szCs w:val="18"/>
        </w:rPr>
        <w:t xml:space="preserve">richtlijn instellingen voor collectieve belegging in effecten (artikel 6 </w:t>
      </w:r>
      <w:r w:rsidR="00A65911">
        <w:rPr>
          <w:rFonts w:ascii="Verdana" w:hAnsi="Verdana"/>
          <w:sz w:val="18"/>
          <w:szCs w:val="18"/>
        </w:rPr>
        <w:t>richtlijn ESAP</w:t>
      </w:r>
      <w:r w:rsidRPr="007456D5" w:rsidR="0041537D">
        <w:rPr>
          <w:rFonts w:ascii="Verdana" w:hAnsi="Verdana"/>
          <w:sz w:val="18"/>
          <w:szCs w:val="18"/>
        </w:rPr>
        <w:t>),</w:t>
      </w:r>
      <w:r w:rsidRPr="007456D5" w:rsidR="0041537D">
        <w:rPr>
          <w:rFonts w:ascii="Verdana" w:hAnsi="Verdana" w:cs="Arial"/>
          <w:sz w:val="18"/>
          <w:szCs w:val="18"/>
        </w:rPr>
        <w:t xml:space="preserve"> artikel 69 ter</w:t>
      </w:r>
      <w:r w:rsidRPr="007456D5" w:rsidR="0041537D">
        <w:rPr>
          <w:rFonts w:ascii="Verdana" w:hAnsi="Verdana"/>
          <w:sz w:val="18"/>
          <w:szCs w:val="18"/>
        </w:rPr>
        <w:t xml:space="preserve"> </w:t>
      </w:r>
      <w:r w:rsidRPr="007456D5" w:rsidR="006D3BDA">
        <w:rPr>
          <w:rFonts w:ascii="Verdana" w:hAnsi="Verdana"/>
          <w:sz w:val="18"/>
          <w:szCs w:val="18"/>
        </w:rPr>
        <w:t xml:space="preserve">van de </w:t>
      </w:r>
      <w:r w:rsidRPr="007456D5" w:rsidR="0041537D">
        <w:rPr>
          <w:rFonts w:ascii="Verdana" w:hAnsi="Verdana"/>
          <w:sz w:val="18"/>
          <w:szCs w:val="18"/>
        </w:rPr>
        <w:t>richtlijn beheerders van alternatieve beleggingsinstellingen</w:t>
      </w:r>
      <w:r w:rsidRPr="007456D5" w:rsidR="0041537D">
        <w:rPr>
          <w:rFonts w:ascii="Verdana" w:hAnsi="Verdana" w:cs="Arial"/>
          <w:sz w:val="18"/>
          <w:szCs w:val="18"/>
        </w:rPr>
        <w:t xml:space="preserve"> (artikel 8 </w:t>
      </w:r>
      <w:r w:rsidR="00A65911">
        <w:rPr>
          <w:rFonts w:ascii="Verdana" w:hAnsi="Verdana" w:cs="Arial"/>
          <w:sz w:val="18"/>
          <w:szCs w:val="18"/>
        </w:rPr>
        <w:t>richtlijn ESAP</w:t>
      </w:r>
      <w:r w:rsidRPr="007456D5" w:rsidR="0041537D">
        <w:rPr>
          <w:rFonts w:ascii="Verdana" w:hAnsi="Verdana" w:cs="Arial"/>
          <w:sz w:val="18"/>
          <w:szCs w:val="18"/>
        </w:rPr>
        <w:t>), artikel 116 bis</w:t>
      </w:r>
      <w:r w:rsidRPr="007456D5" w:rsidR="0041537D">
        <w:rPr>
          <w:rFonts w:ascii="Verdana" w:hAnsi="Verdana"/>
          <w:sz w:val="18"/>
          <w:szCs w:val="18"/>
        </w:rPr>
        <w:t xml:space="preserve"> </w:t>
      </w:r>
      <w:r w:rsidRPr="007456D5" w:rsidR="006D3BDA">
        <w:rPr>
          <w:rFonts w:ascii="Verdana" w:hAnsi="Verdana"/>
          <w:sz w:val="18"/>
          <w:szCs w:val="18"/>
        </w:rPr>
        <w:t xml:space="preserve">van de </w:t>
      </w:r>
      <w:r w:rsidRPr="007456D5" w:rsidR="0041537D">
        <w:rPr>
          <w:rFonts w:ascii="Verdana" w:hAnsi="Verdana"/>
          <w:sz w:val="18"/>
          <w:szCs w:val="18"/>
        </w:rPr>
        <w:t>richtlijn kapitaalvereisten</w:t>
      </w:r>
      <w:r w:rsidRPr="007456D5" w:rsidR="0041537D">
        <w:rPr>
          <w:rFonts w:ascii="Verdana" w:hAnsi="Verdana" w:cs="Arial"/>
          <w:sz w:val="18"/>
          <w:szCs w:val="18"/>
        </w:rPr>
        <w:t xml:space="preserve"> (artikel 10 </w:t>
      </w:r>
      <w:r w:rsidR="00A65911">
        <w:rPr>
          <w:rFonts w:ascii="Verdana" w:hAnsi="Verdana" w:cs="Arial"/>
          <w:sz w:val="18"/>
          <w:szCs w:val="18"/>
        </w:rPr>
        <w:t>richtlijn ESAP</w:t>
      </w:r>
      <w:r w:rsidRPr="007456D5" w:rsidR="0041537D">
        <w:rPr>
          <w:rFonts w:ascii="Verdana" w:hAnsi="Verdana" w:cs="Arial"/>
          <w:sz w:val="18"/>
          <w:szCs w:val="18"/>
        </w:rPr>
        <w:t xml:space="preserve">) </w:t>
      </w:r>
      <w:r w:rsidRPr="007456D5" w:rsidR="001232B3">
        <w:rPr>
          <w:rFonts w:ascii="Verdana" w:hAnsi="Verdana" w:cs="Arial"/>
          <w:sz w:val="18"/>
          <w:szCs w:val="18"/>
        </w:rPr>
        <w:t>artikel 1</w:t>
      </w:r>
      <w:r w:rsidRPr="007456D5" w:rsidR="00F55DA2">
        <w:rPr>
          <w:rFonts w:ascii="Verdana" w:hAnsi="Verdana" w:cs="Arial"/>
          <w:sz w:val="18"/>
          <w:szCs w:val="18"/>
        </w:rPr>
        <w:t>28</w:t>
      </w:r>
      <w:r w:rsidRPr="007456D5" w:rsidR="003042EE">
        <w:rPr>
          <w:rFonts w:ascii="Verdana" w:hAnsi="Verdana" w:cs="Arial"/>
          <w:sz w:val="18"/>
          <w:szCs w:val="18"/>
        </w:rPr>
        <w:t xml:space="preserve"> </w:t>
      </w:r>
      <w:r w:rsidRPr="007456D5" w:rsidR="00F55DA2">
        <w:rPr>
          <w:rFonts w:ascii="Verdana" w:hAnsi="Verdana" w:cs="Arial"/>
          <w:sz w:val="18"/>
          <w:szCs w:val="18"/>
        </w:rPr>
        <w:t>bis</w:t>
      </w:r>
      <w:r w:rsidRPr="007456D5" w:rsidR="00ED51AD">
        <w:rPr>
          <w:rFonts w:ascii="Verdana" w:hAnsi="Verdana" w:cs="Arial"/>
          <w:sz w:val="18"/>
          <w:szCs w:val="18"/>
        </w:rPr>
        <w:t xml:space="preserve"> </w:t>
      </w:r>
      <w:r w:rsidRPr="007456D5" w:rsidR="00A2151C">
        <w:rPr>
          <w:rFonts w:ascii="Verdana" w:hAnsi="Verdana" w:cs="Arial"/>
          <w:sz w:val="18"/>
          <w:szCs w:val="18"/>
        </w:rPr>
        <w:t>van</w:t>
      </w:r>
      <w:r w:rsidRPr="007456D5" w:rsidR="001232B3">
        <w:rPr>
          <w:rFonts w:ascii="Verdana" w:hAnsi="Verdana" w:cs="Arial"/>
          <w:sz w:val="18"/>
          <w:szCs w:val="18"/>
        </w:rPr>
        <w:t xml:space="preserve"> de richtlijn herstel en afwikkeling van </w:t>
      </w:r>
      <w:r w:rsidRPr="007456D5" w:rsidR="00742910">
        <w:rPr>
          <w:rFonts w:ascii="Verdana" w:hAnsi="Verdana" w:cs="Arial"/>
          <w:sz w:val="18"/>
          <w:szCs w:val="18"/>
        </w:rPr>
        <w:t>banken</w:t>
      </w:r>
      <w:r w:rsidRPr="007456D5" w:rsidR="001232B3">
        <w:rPr>
          <w:rFonts w:ascii="Verdana" w:hAnsi="Verdana" w:cs="Arial"/>
          <w:sz w:val="18"/>
          <w:szCs w:val="18"/>
        </w:rPr>
        <w:t xml:space="preserve"> en beleggingsondernemingen</w:t>
      </w:r>
      <w:r w:rsidRPr="007456D5" w:rsidR="00F135E3">
        <w:rPr>
          <w:rFonts w:ascii="Verdana" w:hAnsi="Verdana" w:cs="Arial"/>
          <w:sz w:val="18"/>
          <w:szCs w:val="18"/>
        </w:rPr>
        <w:t xml:space="preserve"> (artikel </w:t>
      </w:r>
      <w:r w:rsidRPr="007456D5" w:rsidR="00F55DA2">
        <w:rPr>
          <w:rFonts w:ascii="Verdana" w:hAnsi="Verdana" w:cs="Arial"/>
          <w:sz w:val="18"/>
          <w:szCs w:val="18"/>
        </w:rPr>
        <w:t>11</w:t>
      </w:r>
      <w:r w:rsidRPr="007456D5" w:rsidR="00F135E3">
        <w:rPr>
          <w:rFonts w:ascii="Verdana" w:hAnsi="Verdana" w:cs="Arial"/>
          <w:sz w:val="18"/>
          <w:szCs w:val="18"/>
        </w:rPr>
        <w:t xml:space="preserve"> </w:t>
      </w:r>
      <w:r w:rsidR="00A65911">
        <w:rPr>
          <w:rFonts w:ascii="Verdana" w:hAnsi="Verdana" w:cs="Arial"/>
          <w:sz w:val="18"/>
          <w:szCs w:val="18"/>
        </w:rPr>
        <w:t>richtlijn ESAP</w:t>
      </w:r>
      <w:r w:rsidRPr="007456D5" w:rsidR="00F135E3">
        <w:rPr>
          <w:rFonts w:ascii="Verdana" w:hAnsi="Verdana" w:cs="Arial"/>
          <w:sz w:val="18"/>
          <w:szCs w:val="18"/>
        </w:rPr>
        <w:t>)</w:t>
      </w:r>
      <w:r w:rsidRPr="007456D5" w:rsidR="001232B3">
        <w:rPr>
          <w:rFonts w:ascii="Verdana" w:hAnsi="Verdana" w:cs="Arial"/>
          <w:sz w:val="18"/>
          <w:szCs w:val="18"/>
        </w:rPr>
        <w:t xml:space="preserve">, </w:t>
      </w:r>
      <w:r w:rsidRPr="007456D5" w:rsidR="00CC07BD">
        <w:rPr>
          <w:rFonts w:ascii="Verdana" w:hAnsi="Verdana" w:cs="Arial"/>
          <w:sz w:val="18"/>
          <w:szCs w:val="18"/>
        </w:rPr>
        <w:t xml:space="preserve">artikel 87 bis van de richtlijn markten voor financiële instrumenten 2014 (artikel 12 </w:t>
      </w:r>
      <w:r w:rsidR="00A65911">
        <w:rPr>
          <w:rFonts w:ascii="Verdana" w:hAnsi="Verdana" w:cs="Arial"/>
          <w:sz w:val="18"/>
          <w:szCs w:val="18"/>
        </w:rPr>
        <w:t>richtlijn ESAP</w:t>
      </w:r>
      <w:r w:rsidRPr="007456D5" w:rsidR="00CC07BD">
        <w:rPr>
          <w:rFonts w:ascii="Verdana" w:hAnsi="Verdana" w:cs="Arial"/>
          <w:sz w:val="18"/>
          <w:szCs w:val="18"/>
        </w:rPr>
        <w:t xml:space="preserve">), </w:t>
      </w:r>
      <w:r w:rsidRPr="007456D5" w:rsidR="001232B3">
        <w:rPr>
          <w:rFonts w:ascii="Verdana" w:hAnsi="Verdana" w:cs="Arial"/>
          <w:sz w:val="18"/>
          <w:szCs w:val="18"/>
        </w:rPr>
        <w:t xml:space="preserve">artikel </w:t>
      </w:r>
      <w:r w:rsidRPr="007456D5" w:rsidR="00F135E3">
        <w:rPr>
          <w:rFonts w:ascii="Verdana" w:hAnsi="Verdana" w:cs="Arial"/>
          <w:sz w:val="18"/>
          <w:szCs w:val="18"/>
        </w:rPr>
        <w:t>40</w:t>
      </w:r>
      <w:r w:rsidRPr="007456D5" w:rsidR="003042EE">
        <w:rPr>
          <w:rFonts w:ascii="Verdana" w:hAnsi="Verdana" w:cs="Arial"/>
          <w:sz w:val="18"/>
          <w:szCs w:val="18"/>
        </w:rPr>
        <w:t xml:space="preserve"> </w:t>
      </w:r>
      <w:r w:rsidRPr="007456D5" w:rsidR="00F135E3">
        <w:rPr>
          <w:rFonts w:ascii="Verdana" w:hAnsi="Verdana" w:cs="Arial"/>
          <w:sz w:val="18"/>
          <w:szCs w:val="18"/>
        </w:rPr>
        <w:t>bis</w:t>
      </w:r>
      <w:r w:rsidRPr="007456D5" w:rsidR="001232B3">
        <w:rPr>
          <w:rFonts w:ascii="Verdana" w:hAnsi="Verdana" w:cs="Arial"/>
          <w:sz w:val="18"/>
          <w:szCs w:val="18"/>
        </w:rPr>
        <w:t xml:space="preserve"> </w:t>
      </w:r>
      <w:r w:rsidRPr="007456D5" w:rsidR="00A2151C">
        <w:rPr>
          <w:rFonts w:ascii="Verdana" w:hAnsi="Verdana" w:cs="Arial"/>
          <w:sz w:val="18"/>
          <w:szCs w:val="18"/>
        </w:rPr>
        <w:t>van</w:t>
      </w:r>
      <w:r w:rsidRPr="007456D5" w:rsidR="001232B3">
        <w:rPr>
          <w:rFonts w:ascii="Verdana" w:hAnsi="Verdana" w:cs="Arial"/>
          <w:sz w:val="18"/>
          <w:szCs w:val="18"/>
        </w:rPr>
        <w:t xml:space="preserve"> de richtlijn verzekeringsdistributie</w:t>
      </w:r>
      <w:r w:rsidRPr="007456D5" w:rsidR="00F135E3">
        <w:rPr>
          <w:rFonts w:ascii="Verdana" w:hAnsi="Verdana" w:cs="Arial"/>
          <w:sz w:val="18"/>
          <w:szCs w:val="18"/>
        </w:rPr>
        <w:t xml:space="preserve"> (artikel 13 </w:t>
      </w:r>
      <w:r w:rsidR="00A65911">
        <w:rPr>
          <w:rFonts w:ascii="Verdana" w:hAnsi="Verdana" w:cs="Arial"/>
          <w:sz w:val="18"/>
          <w:szCs w:val="18"/>
        </w:rPr>
        <w:t>richtlijn ESAP</w:t>
      </w:r>
      <w:r w:rsidRPr="007456D5" w:rsidR="00F135E3">
        <w:rPr>
          <w:rFonts w:ascii="Verdana" w:hAnsi="Verdana" w:cs="Arial"/>
          <w:sz w:val="18"/>
          <w:szCs w:val="18"/>
        </w:rPr>
        <w:t>)</w:t>
      </w:r>
      <w:r w:rsidRPr="007456D5" w:rsidR="00F619D0">
        <w:rPr>
          <w:rFonts w:ascii="Verdana" w:hAnsi="Verdana" w:cs="Arial"/>
          <w:sz w:val="18"/>
          <w:szCs w:val="18"/>
        </w:rPr>
        <w:t xml:space="preserve">, artikel 44 bis </w:t>
      </w:r>
      <w:r w:rsidRPr="007456D5" w:rsidR="006D3BDA">
        <w:rPr>
          <w:rFonts w:ascii="Verdana" w:hAnsi="Verdana" w:cs="Arial"/>
          <w:sz w:val="18"/>
          <w:szCs w:val="18"/>
        </w:rPr>
        <w:t xml:space="preserve">van de </w:t>
      </w:r>
      <w:r w:rsidRPr="007456D5" w:rsidR="00F619D0">
        <w:rPr>
          <w:rFonts w:ascii="Verdana" w:hAnsi="Verdana" w:cs="Arial"/>
          <w:sz w:val="18"/>
          <w:szCs w:val="18"/>
        </w:rPr>
        <w:t xml:space="preserve">richtlijn prudentieel toezicht beleggingsondernemingen (artikel 15 </w:t>
      </w:r>
      <w:r w:rsidR="00A65911">
        <w:rPr>
          <w:rFonts w:ascii="Verdana" w:hAnsi="Verdana" w:cs="Arial"/>
          <w:sz w:val="18"/>
          <w:szCs w:val="18"/>
        </w:rPr>
        <w:t>richtlijn ESAP</w:t>
      </w:r>
      <w:r w:rsidRPr="007456D5" w:rsidR="00F619D0">
        <w:rPr>
          <w:rFonts w:ascii="Verdana" w:hAnsi="Verdana" w:cs="Arial"/>
          <w:sz w:val="18"/>
          <w:szCs w:val="18"/>
        </w:rPr>
        <w:t xml:space="preserve">) en artikel 26 bis </w:t>
      </w:r>
      <w:r w:rsidRPr="007456D5" w:rsidR="006D3BDA">
        <w:rPr>
          <w:rFonts w:ascii="Verdana" w:hAnsi="Verdana" w:cs="Arial"/>
          <w:sz w:val="18"/>
          <w:szCs w:val="18"/>
        </w:rPr>
        <w:t xml:space="preserve">van de </w:t>
      </w:r>
      <w:r w:rsidRPr="007456D5" w:rsidR="00F619D0">
        <w:rPr>
          <w:rFonts w:ascii="Verdana" w:hAnsi="Verdana"/>
          <w:sz w:val="18"/>
          <w:szCs w:val="18"/>
        </w:rPr>
        <w:t xml:space="preserve">richtlijn gedekte obligaties (artikel 16 </w:t>
      </w:r>
      <w:r w:rsidR="00A65911">
        <w:rPr>
          <w:rFonts w:ascii="Verdana" w:hAnsi="Verdana"/>
          <w:sz w:val="18"/>
          <w:szCs w:val="18"/>
        </w:rPr>
        <w:t>richtlijn ESAP</w:t>
      </w:r>
      <w:r w:rsidRPr="007456D5" w:rsidR="00F619D0">
        <w:rPr>
          <w:rFonts w:ascii="Verdana" w:hAnsi="Verdana"/>
          <w:sz w:val="18"/>
          <w:szCs w:val="18"/>
        </w:rPr>
        <w:t>)</w:t>
      </w:r>
      <w:r w:rsidRPr="007456D5" w:rsidR="001232B3">
        <w:rPr>
          <w:rFonts w:ascii="Verdana" w:hAnsi="Verdana" w:cs="Arial"/>
          <w:sz w:val="18"/>
          <w:szCs w:val="18"/>
        </w:rPr>
        <w:t>.</w:t>
      </w:r>
    </w:p>
    <w:p w:rsidRPr="007456D5" w:rsidR="001232B3" w:rsidP="009C2659" w:rsidRDefault="001232B3" w14:paraId="717BE586" w14:textId="77777777">
      <w:pPr>
        <w:widowControl w:val="0"/>
        <w:tabs>
          <w:tab w:val="num" w:pos="720"/>
        </w:tabs>
        <w:spacing w:line="240" w:lineRule="atLeast"/>
        <w:contextualSpacing/>
        <w:rPr>
          <w:rFonts w:ascii="Verdana" w:hAnsi="Verdana" w:cs="Arial"/>
          <w:sz w:val="18"/>
          <w:szCs w:val="18"/>
        </w:rPr>
      </w:pPr>
    </w:p>
    <w:p w:rsidRPr="007456D5" w:rsidR="00855639" w:rsidP="009C2659" w:rsidRDefault="001232B3" w14:paraId="70963EE4" w14:textId="200A127C">
      <w:pPr>
        <w:pStyle w:val="Default"/>
        <w:spacing w:line="240" w:lineRule="atLeast"/>
        <w:contextualSpacing/>
        <w:rPr>
          <w:rFonts w:ascii="Verdana" w:hAnsi="Verdana"/>
          <w:sz w:val="18"/>
          <w:szCs w:val="18"/>
        </w:rPr>
      </w:pPr>
      <w:r w:rsidRPr="007456D5">
        <w:rPr>
          <w:rFonts w:ascii="Verdana" w:hAnsi="Verdana" w:cs="Arial"/>
          <w:sz w:val="18"/>
          <w:szCs w:val="18"/>
        </w:rPr>
        <w:t>In artikel 1:97, zesde lid, wordt bepaald dat</w:t>
      </w:r>
      <w:r w:rsidRPr="007456D5" w:rsidR="00A2151C">
        <w:rPr>
          <w:rFonts w:ascii="Verdana" w:hAnsi="Verdana" w:cs="Arial"/>
          <w:sz w:val="18"/>
          <w:szCs w:val="18"/>
        </w:rPr>
        <w:t xml:space="preserve"> de AFM en DNB</w:t>
      </w:r>
      <w:r w:rsidRPr="007456D5">
        <w:rPr>
          <w:rFonts w:ascii="Verdana" w:hAnsi="Verdana" w:cs="Arial"/>
          <w:sz w:val="18"/>
          <w:szCs w:val="18"/>
        </w:rPr>
        <w:t xml:space="preserve"> </w:t>
      </w:r>
      <w:r w:rsidRPr="007456D5" w:rsidR="007A29D4">
        <w:rPr>
          <w:rFonts w:ascii="Verdana" w:hAnsi="Verdana" w:cs="Arial"/>
          <w:sz w:val="18"/>
          <w:szCs w:val="18"/>
        </w:rPr>
        <w:t>zo spoedig mogelijk na</w:t>
      </w:r>
      <w:r w:rsidRPr="007456D5">
        <w:rPr>
          <w:rFonts w:ascii="Verdana" w:hAnsi="Verdana" w:cs="Arial"/>
          <w:sz w:val="18"/>
          <w:szCs w:val="18"/>
        </w:rPr>
        <w:t xml:space="preserve"> het</w:t>
      </w:r>
      <w:r w:rsidRPr="007456D5" w:rsidR="00F35200">
        <w:rPr>
          <w:rFonts w:ascii="Verdana" w:hAnsi="Verdana" w:cs="Arial"/>
          <w:sz w:val="18"/>
          <w:szCs w:val="18"/>
        </w:rPr>
        <w:t xml:space="preserve"> </w:t>
      </w:r>
      <w:r w:rsidRPr="007456D5">
        <w:rPr>
          <w:rFonts w:ascii="Verdana" w:hAnsi="Verdana" w:cs="Arial"/>
          <w:sz w:val="18"/>
          <w:szCs w:val="18"/>
        </w:rPr>
        <w:t>openbaar maken van een</w:t>
      </w:r>
      <w:r w:rsidRPr="007456D5" w:rsidR="00F35200">
        <w:rPr>
          <w:rFonts w:ascii="Verdana" w:hAnsi="Verdana" w:cs="Arial"/>
          <w:sz w:val="18"/>
          <w:szCs w:val="18"/>
        </w:rPr>
        <w:t xml:space="preserve"> besluit tot het opleggen van een</w:t>
      </w:r>
      <w:r w:rsidRPr="007456D5">
        <w:rPr>
          <w:rFonts w:ascii="Verdana" w:hAnsi="Verdana" w:cs="Arial"/>
          <w:sz w:val="18"/>
          <w:szCs w:val="18"/>
        </w:rPr>
        <w:t xml:space="preserve"> bestuurlijke sanctie</w:t>
      </w:r>
      <w:r w:rsidRPr="007456D5" w:rsidR="00A2151C">
        <w:rPr>
          <w:rFonts w:ascii="Verdana" w:hAnsi="Verdana" w:cs="Arial"/>
          <w:sz w:val="18"/>
          <w:szCs w:val="18"/>
        </w:rPr>
        <w:t xml:space="preserve">, </w:t>
      </w:r>
      <w:r w:rsidRPr="007456D5" w:rsidR="00EC65A1">
        <w:rPr>
          <w:rFonts w:ascii="Verdana" w:hAnsi="Verdana" w:cs="Arial"/>
          <w:sz w:val="18"/>
          <w:szCs w:val="18"/>
        </w:rPr>
        <w:t>in het kader van de</w:t>
      </w:r>
      <w:r w:rsidRPr="007456D5" w:rsidR="00F35200">
        <w:rPr>
          <w:rFonts w:ascii="Verdana" w:hAnsi="Verdana" w:cs="Arial"/>
          <w:sz w:val="18"/>
          <w:szCs w:val="18"/>
        </w:rPr>
        <w:t xml:space="preserve"> overtreding van regels die voortvloeien uit </w:t>
      </w:r>
      <w:r w:rsidRPr="007456D5" w:rsidR="007A29D4">
        <w:rPr>
          <w:rFonts w:ascii="Verdana" w:hAnsi="Verdana"/>
          <w:sz w:val="18"/>
          <w:szCs w:val="18"/>
        </w:rPr>
        <w:t xml:space="preserve">de richtlijn transparantie, Richtlijn 2006/43/EG van het Europees Parlement en de Raad van 17 mei 2006 betreffende de wettelijke controles van jaarrekeningen en geconsolideerde jaarrekeningen, de richtlijn instellingen voor collectieve belegging in effecten, de richtlijn beheerders van alternatieve beleggingsinstellingen, de richtlijn kapitaalvereisten, </w:t>
      </w:r>
      <w:r w:rsidRPr="007456D5" w:rsidR="007A29D4">
        <w:rPr>
          <w:rFonts w:ascii="Verdana" w:hAnsi="Verdana" w:cs="Arial"/>
          <w:sz w:val="18"/>
          <w:szCs w:val="18"/>
        </w:rPr>
        <w:t>de richtlijn herstel en afwikkeling van banken en beleggingsondernemingen, de richtlijn verzekeringsdistributie, de richtlijn prudentieel toezicht beleggingsondernemingen</w:t>
      </w:r>
      <w:r w:rsidRPr="007456D5" w:rsidR="007A29D4">
        <w:rPr>
          <w:rFonts w:ascii="Verdana" w:hAnsi="Verdana"/>
          <w:sz w:val="18"/>
          <w:szCs w:val="18"/>
        </w:rPr>
        <w:t xml:space="preserve"> of de richtlijn gedekte obligaties</w:t>
      </w:r>
      <w:r w:rsidRPr="007456D5" w:rsidR="00F35200">
        <w:rPr>
          <w:rFonts w:ascii="Verdana" w:hAnsi="Verdana" w:cs="Arial"/>
          <w:sz w:val="18"/>
          <w:szCs w:val="18"/>
        </w:rPr>
        <w:t>, dit besluit</w:t>
      </w:r>
      <w:r w:rsidRPr="007456D5">
        <w:rPr>
          <w:rFonts w:ascii="Verdana" w:hAnsi="Verdana" w:cs="Arial"/>
          <w:sz w:val="18"/>
          <w:szCs w:val="18"/>
        </w:rPr>
        <w:t xml:space="preserve"> </w:t>
      </w:r>
      <w:r w:rsidRPr="007456D5" w:rsidR="00A2151C">
        <w:rPr>
          <w:rFonts w:ascii="Verdana" w:hAnsi="Verdana" w:cs="Arial"/>
          <w:sz w:val="18"/>
          <w:szCs w:val="18"/>
        </w:rPr>
        <w:t>dien</w:t>
      </w:r>
      <w:r w:rsidRPr="007456D5" w:rsidR="009940A7">
        <w:rPr>
          <w:rFonts w:ascii="Verdana" w:hAnsi="Verdana" w:cs="Arial"/>
          <w:sz w:val="18"/>
          <w:szCs w:val="18"/>
        </w:rPr>
        <w:t>t</w:t>
      </w:r>
      <w:r w:rsidRPr="007456D5" w:rsidR="00A2151C">
        <w:rPr>
          <w:rFonts w:ascii="Verdana" w:hAnsi="Verdana" w:cs="Arial"/>
          <w:sz w:val="18"/>
          <w:szCs w:val="18"/>
        </w:rPr>
        <w:t xml:space="preserve"> te </w:t>
      </w:r>
      <w:r w:rsidRPr="007456D5" w:rsidR="007A29D4">
        <w:rPr>
          <w:rFonts w:ascii="Verdana" w:hAnsi="Verdana" w:cs="Arial"/>
          <w:sz w:val="18"/>
          <w:szCs w:val="18"/>
        </w:rPr>
        <w:t xml:space="preserve">verstrekken </w:t>
      </w:r>
      <w:r w:rsidR="00B9660D">
        <w:rPr>
          <w:rFonts w:ascii="Verdana" w:hAnsi="Verdana" w:cs="Arial"/>
          <w:sz w:val="18"/>
          <w:szCs w:val="18"/>
        </w:rPr>
        <w:t>aan het ESAP</w:t>
      </w:r>
      <w:r w:rsidRPr="007456D5" w:rsidR="00A2151C">
        <w:rPr>
          <w:rFonts w:ascii="Verdana" w:hAnsi="Verdana" w:cs="Arial"/>
          <w:sz w:val="18"/>
          <w:szCs w:val="18"/>
        </w:rPr>
        <w:t>.</w:t>
      </w:r>
      <w:r w:rsidRPr="007456D5">
        <w:rPr>
          <w:rFonts w:ascii="Verdana" w:hAnsi="Verdana" w:cs="Arial"/>
          <w:sz w:val="18"/>
          <w:szCs w:val="18"/>
        </w:rPr>
        <w:t xml:space="preserve"> De toezichthouders </w:t>
      </w:r>
      <w:r w:rsidRPr="007456D5" w:rsidR="00EC65A1">
        <w:rPr>
          <w:rFonts w:ascii="Verdana" w:hAnsi="Verdana" w:cs="Arial"/>
          <w:sz w:val="18"/>
          <w:szCs w:val="18"/>
        </w:rPr>
        <w:t>dienen</w:t>
      </w:r>
      <w:r w:rsidRPr="007456D5">
        <w:rPr>
          <w:rFonts w:ascii="Verdana" w:hAnsi="Verdana" w:cs="Arial"/>
          <w:sz w:val="18"/>
          <w:szCs w:val="18"/>
        </w:rPr>
        <w:t xml:space="preserve"> deze informatie </w:t>
      </w:r>
      <w:r w:rsidRPr="007456D5" w:rsidR="007709F2">
        <w:rPr>
          <w:rFonts w:ascii="Verdana" w:hAnsi="Verdana" w:cs="Arial"/>
          <w:sz w:val="18"/>
          <w:szCs w:val="18"/>
        </w:rPr>
        <w:t xml:space="preserve">te verstrekken </w:t>
      </w:r>
      <w:r w:rsidR="00B9660D">
        <w:rPr>
          <w:rFonts w:ascii="Verdana" w:hAnsi="Verdana" w:cs="Arial"/>
          <w:sz w:val="18"/>
          <w:szCs w:val="18"/>
        </w:rPr>
        <w:t>aan het ESAP</w:t>
      </w:r>
      <w:r w:rsidRPr="007456D5">
        <w:rPr>
          <w:rFonts w:ascii="Verdana" w:hAnsi="Verdana" w:cs="Arial"/>
          <w:sz w:val="18"/>
          <w:szCs w:val="18"/>
        </w:rPr>
        <w:t xml:space="preserve"> onder vermelding van de </w:t>
      </w:r>
      <w:r w:rsidRPr="007456D5">
        <w:rPr>
          <w:rFonts w:ascii="Verdana" w:hAnsi="Verdana" w:cs="Arial"/>
          <w:sz w:val="18"/>
          <w:szCs w:val="18"/>
        </w:rPr>
        <w:lastRenderedPageBreak/>
        <w:t>naam</w:t>
      </w:r>
      <w:r w:rsidRPr="007456D5" w:rsidR="00A2151C">
        <w:rPr>
          <w:rFonts w:ascii="Verdana" w:hAnsi="Verdana" w:cs="Arial"/>
          <w:sz w:val="18"/>
          <w:szCs w:val="18"/>
        </w:rPr>
        <w:t xml:space="preserve"> van de natuurlijke persoon of rechtspersoon waarop de bestuurlijke sanctie betrekking heeft en d</w:t>
      </w:r>
      <w:r w:rsidRPr="007456D5">
        <w:rPr>
          <w:rFonts w:ascii="Verdana" w:hAnsi="Verdana" w:cs="Arial"/>
          <w:sz w:val="18"/>
          <w:szCs w:val="18"/>
        </w:rPr>
        <w:t xml:space="preserve">e identificatiecode, indien beschikbaar, van de natuurlijke persoon of rechtspersoon (onderdelen a en b). Daarnaast moeten de toezichthouders aangeven of de informatie verplicht of vrijwillig </w:t>
      </w:r>
      <w:r w:rsidRPr="007456D5" w:rsidR="00A2151C">
        <w:rPr>
          <w:rFonts w:ascii="Verdana" w:hAnsi="Verdana" w:cs="Arial"/>
          <w:sz w:val="18"/>
          <w:szCs w:val="18"/>
        </w:rPr>
        <w:t xml:space="preserve">openbaar wordt gemaakt </w:t>
      </w:r>
      <w:r w:rsidRPr="007456D5">
        <w:rPr>
          <w:rFonts w:ascii="Verdana" w:hAnsi="Verdana" w:cs="Arial"/>
          <w:sz w:val="18"/>
          <w:szCs w:val="18"/>
        </w:rPr>
        <w:t xml:space="preserve">op het ESAP (onderdeel c) en of </w:t>
      </w:r>
      <w:r w:rsidRPr="007456D5" w:rsidR="00A2151C">
        <w:rPr>
          <w:rFonts w:ascii="Verdana" w:hAnsi="Verdana" w:cs="Arial"/>
          <w:sz w:val="18"/>
          <w:szCs w:val="18"/>
        </w:rPr>
        <w:t>de informatie</w:t>
      </w:r>
      <w:r w:rsidRPr="007456D5">
        <w:rPr>
          <w:rFonts w:ascii="Verdana" w:hAnsi="Verdana" w:cs="Arial"/>
          <w:sz w:val="18"/>
          <w:szCs w:val="18"/>
        </w:rPr>
        <w:t xml:space="preserve"> persoonsgegevens </w:t>
      </w:r>
      <w:r w:rsidRPr="007456D5" w:rsidR="00A2151C">
        <w:rPr>
          <w:rFonts w:ascii="Verdana" w:hAnsi="Verdana" w:cs="Arial"/>
          <w:sz w:val="18"/>
          <w:szCs w:val="18"/>
        </w:rPr>
        <w:t>bevat</w:t>
      </w:r>
      <w:r w:rsidRPr="007456D5">
        <w:rPr>
          <w:rFonts w:ascii="Verdana" w:hAnsi="Verdana" w:cs="Arial"/>
          <w:sz w:val="18"/>
          <w:szCs w:val="18"/>
        </w:rPr>
        <w:t xml:space="preserve"> (onderdeel d).</w:t>
      </w:r>
      <w:r w:rsidRPr="007456D5" w:rsidR="002B4DC1">
        <w:rPr>
          <w:rFonts w:ascii="Verdana" w:hAnsi="Verdana" w:cs="Arial"/>
          <w:sz w:val="18"/>
          <w:szCs w:val="18"/>
        </w:rPr>
        <w:t xml:space="preserve"> </w:t>
      </w:r>
      <w:r w:rsidRPr="007456D5" w:rsidR="002B4DC1">
        <w:rPr>
          <w:rFonts w:ascii="Verdana" w:hAnsi="Verdana"/>
          <w:sz w:val="18"/>
          <w:szCs w:val="18"/>
        </w:rPr>
        <w:t>‘Zo spoedig mogelijk’ betekent, uitzonderingen voor uitzonderlijke gevallen daar gelaten, binnen maximaal 60 minuten nadat de informatie bij de verzamelende instantie is ingediend.</w:t>
      </w:r>
    </w:p>
    <w:p w:rsidRPr="007456D5" w:rsidR="00855639" w:rsidP="009C2659" w:rsidRDefault="00855639" w14:paraId="13F2AEE7" w14:textId="77777777">
      <w:pPr>
        <w:widowControl w:val="0"/>
        <w:tabs>
          <w:tab w:val="num" w:pos="720"/>
        </w:tabs>
        <w:spacing w:line="240" w:lineRule="atLeast"/>
        <w:contextualSpacing/>
        <w:rPr>
          <w:rFonts w:ascii="Verdana" w:hAnsi="Verdana" w:cs="Arial"/>
          <w:sz w:val="18"/>
          <w:szCs w:val="18"/>
        </w:rPr>
      </w:pPr>
    </w:p>
    <w:p w:rsidRPr="007456D5" w:rsidR="00AB25D7" w:rsidP="009C2659" w:rsidRDefault="00855639" w14:paraId="3097A163" w14:textId="61D334C6">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In artikel 1:97, zevende lid, worden de voorwaarden gesteld waar de informatievertrekking aan moet voldoen door middel van een verwijzing naar artikel </w:t>
      </w:r>
      <w:r w:rsidRPr="007456D5">
        <w:rPr>
          <w:rFonts w:ascii="Verdana" w:hAnsi="Verdana"/>
          <w:sz w:val="18"/>
          <w:szCs w:val="18"/>
        </w:rPr>
        <w:t xml:space="preserve">2, onderdeel 3, van de verordening </w:t>
      </w:r>
      <w:r w:rsidR="00F14201">
        <w:rPr>
          <w:rFonts w:ascii="Verdana" w:hAnsi="Verdana"/>
          <w:sz w:val="18"/>
          <w:szCs w:val="18"/>
        </w:rPr>
        <w:t>oprichting ESAP</w:t>
      </w:r>
      <w:r w:rsidRPr="007456D5">
        <w:rPr>
          <w:rFonts w:ascii="Verdana" w:hAnsi="Verdana"/>
          <w:sz w:val="18"/>
          <w:szCs w:val="18"/>
        </w:rPr>
        <w:t xml:space="preserve">. </w:t>
      </w:r>
      <w:r w:rsidRPr="007456D5">
        <w:rPr>
          <w:rFonts w:ascii="Verdana" w:hAnsi="Verdana" w:cs="Arial"/>
          <w:sz w:val="18"/>
          <w:szCs w:val="18"/>
        </w:rPr>
        <w:t>Daarin is bepaald dat de informatie ingediend moet worden in een voor data-extractie geschikt format. Hierbij gaat het er vooral om dat de ingediende informatie geschikt is voor (machinale) data-extractie en dat het door mensen leesbaar is. Voor data-extractie geschikte formats is het niet noodzakelijk dat informatie zodanig is gestructureerd dat die machinaal leesbaar is.</w:t>
      </w:r>
    </w:p>
    <w:p w:rsidRPr="007456D5" w:rsidR="00D04AB5" w:rsidP="009C2659" w:rsidRDefault="00D04AB5" w14:paraId="174E179B" w14:textId="77777777">
      <w:pPr>
        <w:widowControl w:val="0"/>
        <w:tabs>
          <w:tab w:val="num" w:pos="720"/>
        </w:tabs>
        <w:spacing w:line="240" w:lineRule="atLeast"/>
        <w:contextualSpacing/>
        <w:rPr>
          <w:rFonts w:ascii="Verdana" w:hAnsi="Verdana" w:cs="Arial"/>
          <w:sz w:val="18"/>
          <w:szCs w:val="18"/>
        </w:rPr>
      </w:pPr>
    </w:p>
    <w:p w:rsidRPr="007456D5" w:rsidR="00D04AB5" w:rsidP="009C2659" w:rsidRDefault="0020672E" w14:paraId="673B4BB0" w14:textId="5A27952A">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E (</w:t>
      </w:r>
      <w:r w:rsidRPr="007456D5" w:rsidR="00D04AB5">
        <w:rPr>
          <w:rFonts w:ascii="Verdana" w:hAnsi="Verdana" w:cs="Arial"/>
          <w:i/>
          <w:iCs/>
          <w:sz w:val="18"/>
          <w:szCs w:val="18"/>
        </w:rPr>
        <w:t>artikel 1:107</w:t>
      </w:r>
      <w:r w:rsidRPr="007456D5">
        <w:rPr>
          <w:rFonts w:ascii="Verdana" w:hAnsi="Verdana" w:cs="Arial"/>
          <w:sz w:val="18"/>
          <w:szCs w:val="18"/>
        </w:rPr>
        <w:t>)</w:t>
      </w:r>
    </w:p>
    <w:p w:rsidRPr="007456D5" w:rsidR="00016C65" w:rsidP="009C2659" w:rsidRDefault="00016C65" w14:paraId="1CEE8410" w14:textId="77777777">
      <w:pPr>
        <w:widowControl w:val="0"/>
        <w:tabs>
          <w:tab w:val="num" w:pos="720"/>
        </w:tabs>
        <w:spacing w:line="240" w:lineRule="atLeast"/>
        <w:contextualSpacing/>
        <w:rPr>
          <w:rFonts w:ascii="Verdana" w:hAnsi="Verdana" w:cs="Arial"/>
          <w:sz w:val="18"/>
          <w:szCs w:val="18"/>
        </w:rPr>
      </w:pPr>
    </w:p>
    <w:p w:rsidRPr="007456D5" w:rsidR="00233BD6" w:rsidP="009C2659" w:rsidRDefault="0065134F" w14:paraId="49DCDE0C" w14:textId="59BE2969">
      <w:pPr>
        <w:pStyle w:val="Default"/>
        <w:spacing w:line="240" w:lineRule="atLeast"/>
        <w:contextualSpacing/>
        <w:rPr>
          <w:rFonts w:ascii="Verdana" w:hAnsi="Verdana"/>
          <w:sz w:val="18"/>
          <w:szCs w:val="18"/>
        </w:rPr>
      </w:pPr>
      <w:r w:rsidRPr="007456D5">
        <w:rPr>
          <w:rFonts w:ascii="Verdana" w:hAnsi="Verdana"/>
          <w:sz w:val="18"/>
          <w:szCs w:val="18"/>
        </w:rPr>
        <w:t xml:space="preserve">Dit artikel verwerkt artikel 12 van de </w:t>
      </w:r>
      <w:r w:rsidR="00A65911">
        <w:rPr>
          <w:rFonts w:ascii="Verdana" w:hAnsi="Verdana"/>
          <w:sz w:val="18"/>
          <w:szCs w:val="18"/>
        </w:rPr>
        <w:t>richtlijn ESAP</w:t>
      </w:r>
      <w:r w:rsidRPr="007456D5">
        <w:rPr>
          <w:rFonts w:ascii="Verdana" w:hAnsi="Verdana"/>
          <w:sz w:val="18"/>
          <w:szCs w:val="18"/>
        </w:rPr>
        <w:t xml:space="preserve">. Het betreft artikel 87 bis, zesde lid, van de richtlijn markten voor financiële instrumenten 2014. In artikel </w:t>
      </w:r>
      <w:r w:rsidRPr="007456D5" w:rsidR="00233BD6">
        <w:rPr>
          <w:rFonts w:ascii="Verdana" w:hAnsi="Verdana"/>
          <w:sz w:val="18"/>
          <w:szCs w:val="18"/>
        </w:rPr>
        <w:t>1:107</w:t>
      </w:r>
      <w:r w:rsidRPr="007456D5">
        <w:rPr>
          <w:rFonts w:ascii="Verdana" w:hAnsi="Verdana"/>
          <w:sz w:val="18"/>
          <w:szCs w:val="18"/>
        </w:rPr>
        <w:t xml:space="preserve">, </w:t>
      </w:r>
      <w:r w:rsidRPr="007456D5" w:rsidR="00233BD6">
        <w:rPr>
          <w:rFonts w:ascii="Verdana" w:hAnsi="Verdana"/>
          <w:sz w:val="18"/>
          <w:szCs w:val="18"/>
        </w:rPr>
        <w:t xml:space="preserve">vijfde lid, </w:t>
      </w:r>
      <w:r w:rsidRPr="007456D5">
        <w:rPr>
          <w:rFonts w:ascii="Verdana" w:hAnsi="Verdana"/>
          <w:sz w:val="18"/>
          <w:szCs w:val="18"/>
        </w:rPr>
        <w:t xml:space="preserve">wordt bepaald dat zo spoedig mogelijk na </w:t>
      </w:r>
      <w:r w:rsidRPr="007456D5" w:rsidR="00233BD6">
        <w:rPr>
          <w:rFonts w:ascii="Verdana" w:hAnsi="Verdana"/>
          <w:sz w:val="18"/>
          <w:szCs w:val="18"/>
        </w:rPr>
        <w:t xml:space="preserve">de inschrijving van een </w:t>
      </w:r>
      <w:r w:rsidRPr="007456D5" w:rsidR="003F46B0">
        <w:rPr>
          <w:rFonts w:ascii="Verdana" w:hAnsi="Verdana"/>
          <w:sz w:val="18"/>
          <w:szCs w:val="18"/>
        </w:rPr>
        <w:t>verbonden agent</w:t>
      </w:r>
      <w:r w:rsidRPr="007456D5" w:rsidR="00233BD6">
        <w:rPr>
          <w:rFonts w:ascii="Verdana" w:hAnsi="Verdana"/>
          <w:sz w:val="18"/>
          <w:szCs w:val="18"/>
        </w:rPr>
        <w:t xml:space="preserve"> als bedoeld in het tweede lid, onderdeel a, onder 13, de registerhouder deze informatie </w:t>
      </w:r>
      <w:r w:rsidR="00B9660D">
        <w:rPr>
          <w:rFonts w:ascii="Verdana" w:hAnsi="Verdana"/>
          <w:sz w:val="18"/>
          <w:szCs w:val="18"/>
        </w:rPr>
        <w:t>aan het ESAP</w:t>
      </w:r>
      <w:r w:rsidRPr="007456D5" w:rsidR="00233BD6">
        <w:rPr>
          <w:rFonts w:ascii="Verdana" w:hAnsi="Verdana"/>
          <w:sz w:val="18"/>
          <w:szCs w:val="18"/>
        </w:rPr>
        <w:t xml:space="preserve"> verstrekt.</w:t>
      </w:r>
    </w:p>
    <w:p w:rsidRPr="007456D5" w:rsidR="0065134F" w:rsidP="009C2659" w:rsidRDefault="0065134F" w14:paraId="40797B77" w14:textId="77777777">
      <w:pPr>
        <w:pStyle w:val="Default"/>
        <w:spacing w:line="240" w:lineRule="atLeast"/>
        <w:contextualSpacing/>
        <w:rPr>
          <w:rFonts w:ascii="Verdana" w:hAnsi="Verdana"/>
          <w:sz w:val="18"/>
          <w:szCs w:val="18"/>
        </w:rPr>
      </w:pPr>
    </w:p>
    <w:p w:rsidRPr="007456D5" w:rsidR="0065134F" w:rsidP="009C2659" w:rsidRDefault="0065134F" w14:paraId="0F824FB0" w14:textId="33A9E360">
      <w:pPr>
        <w:pStyle w:val="Default"/>
        <w:spacing w:line="240" w:lineRule="atLeast"/>
        <w:contextualSpacing/>
        <w:rPr>
          <w:rFonts w:ascii="Verdana" w:hAnsi="Verdana"/>
          <w:sz w:val="18"/>
          <w:szCs w:val="18"/>
        </w:rPr>
      </w:pPr>
      <w:r w:rsidRPr="007456D5">
        <w:rPr>
          <w:rFonts w:ascii="Verdana" w:hAnsi="Verdana"/>
          <w:sz w:val="18"/>
          <w:szCs w:val="18"/>
        </w:rPr>
        <w:t xml:space="preserve">De AFM vertrekt de informatie overeenkomstig de vereisten uit artikel 87 bis, </w:t>
      </w:r>
      <w:r w:rsidRPr="007456D5" w:rsidR="0069115B">
        <w:rPr>
          <w:rFonts w:ascii="Verdana" w:hAnsi="Verdana"/>
          <w:sz w:val="18"/>
          <w:szCs w:val="18"/>
        </w:rPr>
        <w:t>zesde</w:t>
      </w:r>
      <w:r w:rsidRPr="007456D5">
        <w:rPr>
          <w:rFonts w:ascii="Verdana" w:hAnsi="Verdana"/>
          <w:sz w:val="18"/>
          <w:szCs w:val="18"/>
        </w:rPr>
        <w:t xml:space="preserve"> lid, van de richtlijn markten voor financiële instrumenten 2014. Dit betekent dat de informatie moet worden verstrekt onder vermelding van de naam en, indien beschikbaar, de identificatiecode van de betrokken entiteit (onderdelen a en b). Daarnaast moet de AFM aangeven om welke type informatie het gaat en of de informatie verplicht of vrijwillig wordt vertrekt ten behoeve van openbaarmaking </w:t>
      </w:r>
      <w:r w:rsidR="00B9660D">
        <w:rPr>
          <w:rFonts w:ascii="Verdana" w:hAnsi="Verdana"/>
          <w:sz w:val="18"/>
          <w:szCs w:val="18"/>
        </w:rPr>
        <w:t>op het ESAP</w:t>
      </w:r>
      <w:r w:rsidRPr="007456D5">
        <w:rPr>
          <w:rFonts w:ascii="Verdana" w:hAnsi="Verdana"/>
          <w:sz w:val="18"/>
          <w:szCs w:val="18"/>
        </w:rPr>
        <w:t xml:space="preserve"> (onderdeel c). Ten slotte moet worden aangegeven of er persoonsgegevens aanwezig zijn (onderdeel d). ‘Zo spoedig mogelijk’ betekent, uitzonderingen voor uitzonderlijke gevallen daar gelaten, binnen maximaal 60 minuten nadat de informatie bij de verzamelende instantie is ingediend.</w:t>
      </w:r>
      <w:r w:rsidRPr="007456D5">
        <w:rPr>
          <w:rFonts w:ascii="Verdana" w:hAnsi="Verdana" w:cs="Times New Roman"/>
          <w:color w:val="auto"/>
          <w:sz w:val="18"/>
          <w:szCs w:val="18"/>
        </w:rPr>
        <w:t xml:space="preserve"> De informatie moet ingediend worden </w:t>
      </w:r>
      <w:r w:rsidRPr="007456D5">
        <w:rPr>
          <w:rFonts w:ascii="Verdana" w:hAnsi="Verdana"/>
          <w:sz w:val="18"/>
          <w:szCs w:val="18"/>
        </w:rPr>
        <w:t>in een voor data-extractie geschikt formaat zoals gedefinieerd in artikel 2, onder 3, verordening oprichting ESAP. Hierbij gaat het er vooral om dat de ingediende informatie geschikt is voor data-extractie en dat het door mensen leesbaar is. Voor data-extractie geschikte formats is het niet noodzakelijk dat informatie zodanig is gestructureerd dat die machinaal leesbaar is.</w:t>
      </w:r>
    </w:p>
    <w:p w:rsidRPr="007456D5" w:rsidR="0020672E" w:rsidP="009C2659" w:rsidRDefault="0020672E" w14:paraId="77E2645E" w14:textId="77777777">
      <w:pPr>
        <w:widowControl w:val="0"/>
        <w:tabs>
          <w:tab w:val="num" w:pos="720"/>
        </w:tabs>
        <w:spacing w:line="240" w:lineRule="atLeast"/>
        <w:contextualSpacing/>
        <w:rPr>
          <w:rFonts w:ascii="Verdana" w:hAnsi="Verdana" w:cs="Arial"/>
          <w:sz w:val="18"/>
          <w:szCs w:val="18"/>
        </w:rPr>
      </w:pPr>
    </w:p>
    <w:p w:rsidRPr="007456D5" w:rsidR="00016C65" w:rsidP="009C2659" w:rsidRDefault="00C965DC" w14:paraId="6672566B" w14:textId="5210E248">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F</w:t>
      </w:r>
      <w:r w:rsidRPr="007456D5" w:rsidR="00FB3BF0">
        <w:rPr>
          <w:rFonts w:ascii="Verdana" w:hAnsi="Verdana" w:cs="Arial"/>
          <w:sz w:val="18"/>
          <w:szCs w:val="18"/>
        </w:rPr>
        <w:t xml:space="preserve"> (</w:t>
      </w:r>
      <w:r w:rsidRPr="007456D5" w:rsidR="00693BE9">
        <w:rPr>
          <w:rFonts w:ascii="Verdana" w:hAnsi="Verdana" w:cs="Arial"/>
          <w:i/>
          <w:iCs/>
          <w:sz w:val="18"/>
          <w:szCs w:val="18"/>
        </w:rPr>
        <w:t>a</w:t>
      </w:r>
      <w:r w:rsidRPr="007456D5" w:rsidR="00FB3BF0">
        <w:rPr>
          <w:rFonts w:ascii="Verdana" w:hAnsi="Verdana" w:cs="Arial"/>
          <w:i/>
          <w:iCs/>
          <w:sz w:val="18"/>
          <w:szCs w:val="18"/>
        </w:rPr>
        <w:t>rtikel 1:109</w:t>
      </w:r>
      <w:r w:rsidRPr="007456D5" w:rsidR="00FB3BF0">
        <w:rPr>
          <w:rFonts w:ascii="Verdana" w:hAnsi="Verdana" w:cs="Arial"/>
          <w:sz w:val="18"/>
          <w:szCs w:val="18"/>
        </w:rPr>
        <w:t>)</w:t>
      </w:r>
    </w:p>
    <w:p w:rsidRPr="007456D5" w:rsidR="00FB3BF0" w:rsidP="009C2659" w:rsidRDefault="00FB3BF0" w14:paraId="72E22D7D" w14:textId="77777777">
      <w:pPr>
        <w:widowControl w:val="0"/>
        <w:tabs>
          <w:tab w:val="num" w:pos="720"/>
        </w:tabs>
        <w:spacing w:line="240" w:lineRule="atLeast"/>
        <w:contextualSpacing/>
        <w:rPr>
          <w:rFonts w:ascii="Verdana" w:hAnsi="Verdana" w:cs="Arial"/>
          <w:sz w:val="18"/>
          <w:szCs w:val="18"/>
        </w:rPr>
      </w:pPr>
    </w:p>
    <w:p w:rsidRPr="007456D5" w:rsidR="00FB3BF0" w:rsidP="009C2659" w:rsidRDefault="00FB3BF0" w14:paraId="2098A581" w14:textId="37090A22">
      <w:pPr>
        <w:pStyle w:val="Default"/>
        <w:spacing w:line="240" w:lineRule="atLeast"/>
        <w:contextualSpacing/>
        <w:rPr>
          <w:rFonts w:ascii="Verdana" w:hAnsi="Verdana"/>
          <w:sz w:val="18"/>
          <w:szCs w:val="18"/>
        </w:rPr>
      </w:pPr>
      <w:r w:rsidRPr="007456D5">
        <w:rPr>
          <w:rFonts w:ascii="Verdana" w:hAnsi="Verdana"/>
          <w:sz w:val="18"/>
          <w:szCs w:val="18"/>
        </w:rPr>
        <w:t xml:space="preserve">Artikel 1:109, tweede lid, verwerkt artikel 16 van de </w:t>
      </w:r>
      <w:r w:rsidR="00A65911">
        <w:rPr>
          <w:rFonts w:ascii="Verdana" w:hAnsi="Verdana"/>
          <w:sz w:val="18"/>
          <w:szCs w:val="18"/>
        </w:rPr>
        <w:t>richtlijn ESAP</w:t>
      </w:r>
      <w:r w:rsidRPr="007456D5">
        <w:rPr>
          <w:rFonts w:ascii="Verdana" w:hAnsi="Verdana"/>
          <w:sz w:val="18"/>
          <w:szCs w:val="18"/>
        </w:rPr>
        <w:t>. Het betreft artikel 26 bis, vierde lid, van de richtlijn gedekte obligaties. In artikel 1:109, tweede lid, wordt bepaald dat</w:t>
      </w:r>
      <w:r w:rsidRPr="007456D5" w:rsidR="008141CE">
        <w:rPr>
          <w:rFonts w:ascii="Verdana" w:hAnsi="Verdana"/>
          <w:sz w:val="18"/>
          <w:szCs w:val="18"/>
        </w:rPr>
        <w:t xml:space="preserve"> </w:t>
      </w:r>
      <w:r w:rsidRPr="007456D5" w:rsidR="008358CE">
        <w:rPr>
          <w:rFonts w:ascii="Verdana" w:hAnsi="Verdana"/>
          <w:sz w:val="18"/>
          <w:szCs w:val="18"/>
        </w:rPr>
        <w:t>DNB</w:t>
      </w:r>
      <w:r w:rsidRPr="007456D5">
        <w:rPr>
          <w:rFonts w:ascii="Verdana" w:hAnsi="Verdana"/>
          <w:sz w:val="18"/>
          <w:szCs w:val="18"/>
        </w:rPr>
        <w:t xml:space="preserve">, </w:t>
      </w:r>
      <w:r w:rsidRPr="007456D5" w:rsidR="007709F2">
        <w:rPr>
          <w:rFonts w:ascii="Verdana" w:hAnsi="Verdana"/>
          <w:sz w:val="18"/>
          <w:szCs w:val="18"/>
        </w:rPr>
        <w:t>zo spoedig mogelijk na</w:t>
      </w:r>
      <w:r w:rsidRPr="007456D5">
        <w:rPr>
          <w:rFonts w:ascii="Verdana" w:hAnsi="Verdana"/>
          <w:sz w:val="18"/>
          <w:szCs w:val="18"/>
        </w:rPr>
        <w:t xml:space="preserve"> de publicatie van de informatie uit het eerste lid, onderdelen b en c, deze informatie </w:t>
      </w:r>
      <w:r w:rsidRPr="007456D5" w:rsidR="007709F2">
        <w:rPr>
          <w:rFonts w:ascii="Verdana" w:hAnsi="Verdana"/>
          <w:sz w:val="18"/>
          <w:szCs w:val="18"/>
        </w:rPr>
        <w:t xml:space="preserve">verstrekt </w:t>
      </w:r>
      <w:r w:rsidR="00B9660D">
        <w:rPr>
          <w:rFonts w:ascii="Verdana" w:hAnsi="Verdana"/>
          <w:sz w:val="18"/>
          <w:szCs w:val="18"/>
        </w:rPr>
        <w:t>aan het ESAP</w:t>
      </w:r>
      <w:r w:rsidRPr="007456D5" w:rsidR="00205F70">
        <w:rPr>
          <w:rFonts w:ascii="Verdana" w:hAnsi="Verdana"/>
          <w:sz w:val="18"/>
          <w:szCs w:val="18"/>
        </w:rPr>
        <w:t>.</w:t>
      </w:r>
      <w:r w:rsidRPr="007456D5">
        <w:rPr>
          <w:rFonts w:ascii="Verdana" w:hAnsi="Verdana"/>
          <w:sz w:val="18"/>
          <w:szCs w:val="18"/>
        </w:rPr>
        <w:t xml:space="preserve"> Het gaat om een actuele lijst van banken waaraan</w:t>
      </w:r>
      <w:r w:rsidRPr="007456D5" w:rsidR="008358CE">
        <w:rPr>
          <w:rFonts w:ascii="Verdana" w:hAnsi="Verdana"/>
          <w:sz w:val="18"/>
          <w:szCs w:val="18"/>
        </w:rPr>
        <w:t xml:space="preserve"> DNB</w:t>
      </w:r>
      <w:r w:rsidRPr="007456D5">
        <w:rPr>
          <w:rFonts w:ascii="Verdana" w:hAnsi="Verdana"/>
          <w:sz w:val="18"/>
          <w:szCs w:val="18"/>
        </w:rPr>
        <w:t xml:space="preserve"> toestemming heeft verleend om gedekte obligaties uit te geven (eerste lid, onderdeel b), en een actuele lijst van gedekte obligaties die het label «Europese gedekte obligatie» mogen gebruiken en een actuele lijst van gedekte obligaties die het label «Europese gedekte obligatie (premium)» mogen gebruiken als bedoeld in artikel 27 van de richtlijn gedekte obligaties (eerste lid, onderdeel c).</w:t>
      </w:r>
      <w:r w:rsidRPr="007456D5" w:rsidR="00B77BFF">
        <w:rPr>
          <w:rFonts w:ascii="Verdana" w:hAnsi="Verdana"/>
          <w:sz w:val="18"/>
          <w:szCs w:val="18"/>
        </w:rPr>
        <w:t xml:space="preserve"> </w:t>
      </w:r>
      <w:r w:rsidRPr="007456D5" w:rsidR="008358CE">
        <w:rPr>
          <w:rFonts w:ascii="Verdana" w:hAnsi="Verdana"/>
          <w:sz w:val="18"/>
          <w:szCs w:val="18"/>
        </w:rPr>
        <w:t>DNB</w:t>
      </w:r>
      <w:r w:rsidRPr="007456D5" w:rsidR="008141CE">
        <w:rPr>
          <w:rFonts w:ascii="Verdana" w:hAnsi="Verdana"/>
          <w:sz w:val="18"/>
          <w:szCs w:val="18"/>
        </w:rPr>
        <w:t xml:space="preserve"> </w:t>
      </w:r>
      <w:r w:rsidRPr="007456D5" w:rsidR="007709F2">
        <w:rPr>
          <w:rFonts w:ascii="Verdana" w:hAnsi="Verdana"/>
          <w:sz w:val="18"/>
          <w:szCs w:val="18"/>
        </w:rPr>
        <w:t>verstrekt</w:t>
      </w:r>
      <w:r w:rsidRPr="007456D5">
        <w:rPr>
          <w:rFonts w:ascii="Verdana" w:hAnsi="Verdana"/>
          <w:sz w:val="18"/>
          <w:szCs w:val="18"/>
        </w:rPr>
        <w:t xml:space="preserve"> de informatie </w:t>
      </w:r>
      <w:r w:rsidRPr="007456D5" w:rsidR="00C965DC">
        <w:rPr>
          <w:rFonts w:ascii="Verdana" w:hAnsi="Verdana"/>
          <w:sz w:val="18"/>
          <w:szCs w:val="18"/>
        </w:rPr>
        <w:t xml:space="preserve">overeenkomstig de vereisten uit artikel 26 bis, vierde lid, van de richtlijn gedekte obligaties. Dit betekent dat de informatie </w:t>
      </w:r>
      <w:r w:rsidRPr="007456D5" w:rsidR="00C965DC">
        <w:rPr>
          <w:rFonts w:ascii="Verdana" w:hAnsi="Verdana"/>
          <w:sz w:val="18"/>
          <w:szCs w:val="18"/>
        </w:rPr>
        <w:lastRenderedPageBreak/>
        <w:t xml:space="preserve">moet worden verstrekt </w:t>
      </w:r>
      <w:r w:rsidRPr="007456D5">
        <w:rPr>
          <w:rFonts w:ascii="Verdana" w:hAnsi="Verdana"/>
          <w:sz w:val="18"/>
          <w:szCs w:val="18"/>
        </w:rPr>
        <w:t>onder vermelding van de naam</w:t>
      </w:r>
      <w:r w:rsidRPr="007456D5" w:rsidR="00C965DC">
        <w:rPr>
          <w:rFonts w:ascii="Verdana" w:hAnsi="Verdana"/>
          <w:sz w:val="18"/>
          <w:szCs w:val="18"/>
        </w:rPr>
        <w:t xml:space="preserve"> en, indien van toepassing,</w:t>
      </w:r>
      <w:r w:rsidRPr="007456D5">
        <w:rPr>
          <w:rFonts w:ascii="Verdana" w:hAnsi="Verdana"/>
          <w:sz w:val="18"/>
          <w:szCs w:val="18"/>
        </w:rPr>
        <w:t xml:space="preserve"> de identificatiecode van de bank (onderdelen a en b). Daarnaast moet </w:t>
      </w:r>
      <w:r w:rsidRPr="007456D5" w:rsidR="008358CE">
        <w:rPr>
          <w:rFonts w:ascii="Verdana" w:hAnsi="Verdana"/>
          <w:sz w:val="18"/>
          <w:szCs w:val="18"/>
        </w:rPr>
        <w:t>DNB</w:t>
      </w:r>
      <w:r w:rsidRPr="007456D5">
        <w:rPr>
          <w:rFonts w:ascii="Verdana" w:hAnsi="Verdana"/>
          <w:sz w:val="18"/>
          <w:szCs w:val="18"/>
        </w:rPr>
        <w:t xml:space="preserve"> aangeven of de informatie verplicht of vrijwillig wordt </w:t>
      </w:r>
      <w:r w:rsidRPr="007456D5" w:rsidR="00205F70">
        <w:rPr>
          <w:rFonts w:ascii="Verdana" w:hAnsi="Verdana"/>
          <w:sz w:val="18"/>
          <w:szCs w:val="18"/>
        </w:rPr>
        <w:t xml:space="preserve">openbaar gemaakt </w:t>
      </w:r>
      <w:r w:rsidR="00B9660D">
        <w:rPr>
          <w:rFonts w:ascii="Verdana" w:hAnsi="Verdana"/>
          <w:sz w:val="18"/>
          <w:szCs w:val="18"/>
        </w:rPr>
        <w:t>op het ESAP</w:t>
      </w:r>
      <w:r w:rsidRPr="007456D5">
        <w:rPr>
          <w:rFonts w:ascii="Verdana" w:hAnsi="Verdana"/>
          <w:sz w:val="18"/>
          <w:szCs w:val="18"/>
        </w:rPr>
        <w:t xml:space="preserve"> (onderdeel c) en of er persoonsgegevens aanwezig zijn (onderdeel d).</w:t>
      </w:r>
      <w:r w:rsidRPr="007456D5" w:rsidR="002B4DC1">
        <w:rPr>
          <w:rFonts w:ascii="Verdana" w:hAnsi="Verdana"/>
          <w:sz w:val="18"/>
          <w:szCs w:val="18"/>
        </w:rPr>
        <w:t xml:space="preserve"> ‘Zo spoedig mogelijk’ betekent, uitzonderingen voor uitzonderlijke gevallen daar gelaten, binnen maximaal 60 minuten nadat de informatie bij de verzamelende instantie is ingediend.</w:t>
      </w:r>
      <w:r w:rsidRPr="007456D5">
        <w:rPr>
          <w:rFonts w:ascii="Verdana" w:hAnsi="Verdana"/>
          <w:sz w:val="18"/>
          <w:szCs w:val="18"/>
        </w:rPr>
        <w:t xml:space="preserve"> </w:t>
      </w:r>
      <w:r w:rsidRPr="007456D5" w:rsidR="00C965DC">
        <w:rPr>
          <w:rFonts w:ascii="Verdana" w:hAnsi="Verdana"/>
          <w:sz w:val="18"/>
          <w:szCs w:val="18"/>
        </w:rPr>
        <w:t>D</w:t>
      </w:r>
      <w:r w:rsidRPr="007456D5">
        <w:rPr>
          <w:rFonts w:ascii="Verdana" w:hAnsi="Verdana"/>
          <w:sz w:val="18"/>
          <w:szCs w:val="18"/>
        </w:rPr>
        <w:t>e informatie</w:t>
      </w:r>
      <w:r w:rsidRPr="007456D5" w:rsidR="00C965DC">
        <w:rPr>
          <w:rFonts w:ascii="Verdana" w:hAnsi="Verdana"/>
          <w:sz w:val="18"/>
          <w:szCs w:val="18"/>
        </w:rPr>
        <w:t xml:space="preserve"> moet worden</w:t>
      </w:r>
      <w:r w:rsidRPr="007456D5">
        <w:rPr>
          <w:rFonts w:ascii="Verdana" w:hAnsi="Verdana"/>
          <w:sz w:val="18"/>
          <w:szCs w:val="18"/>
        </w:rPr>
        <w:t xml:space="preserve"> ingediend in een voor data-extractie geschikt formaat zoals gedefinieerd in artikel 2, onder 3, van verordening oprichting ESAP. Hierbij gaat het er vooral om dat de ingediende informatie geschikt is voor (machinale) data-extractie en dat het door mensen leesbaar is. Voor data-extractie geschikte formats is het niet noodzakelijk dat informatie zodanig is gestructureerd dat die machinaal leesbaar is.</w:t>
      </w:r>
    </w:p>
    <w:p w:rsidRPr="007456D5" w:rsidR="00D12D7D" w:rsidP="009C2659" w:rsidRDefault="00D12D7D" w14:paraId="3EB70BD2" w14:textId="77777777">
      <w:pPr>
        <w:pStyle w:val="Default"/>
        <w:spacing w:line="240" w:lineRule="atLeast"/>
        <w:contextualSpacing/>
        <w:rPr>
          <w:rFonts w:ascii="Verdana" w:hAnsi="Verdana"/>
          <w:sz w:val="18"/>
          <w:szCs w:val="18"/>
        </w:rPr>
      </w:pPr>
    </w:p>
    <w:p w:rsidRPr="007456D5" w:rsidR="00D12D7D" w:rsidP="009C2659" w:rsidRDefault="00D12D7D" w14:paraId="24D4E929" w14:textId="6854E431">
      <w:pPr>
        <w:pStyle w:val="Default"/>
        <w:spacing w:line="240" w:lineRule="atLeast"/>
        <w:contextualSpacing/>
        <w:rPr>
          <w:rFonts w:ascii="Verdana" w:hAnsi="Verdana"/>
          <w:sz w:val="18"/>
          <w:szCs w:val="18"/>
        </w:rPr>
      </w:pPr>
      <w:r w:rsidRPr="007456D5">
        <w:rPr>
          <w:rFonts w:ascii="Verdana" w:hAnsi="Verdana"/>
          <w:sz w:val="18"/>
          <w:szCs w:val="18"/>
        </w:rPr>
        <w:t>G (</w:t>
      </w:r>
      <w:r w:rsidRPr="007456D5">
        <w:rPr>
          <w:rFonts w:ascii="Verdana" w:hAnsi="Verdana"/>
          <w:i/>
          <w:iCs/>
          <w:sz w:val="18"/>
          <w:szCs w:val="18"/>
        </w:rPr>
        <w:t>artikel 1:110</w:t>
      </w:r>
      <w:r w:rsidRPr="007456D5">
        <w:rPr>
          <w:rFonts w:ascii="Verdana" w:hAnsi="Verdana"/>
          <w:sz w:val="18"/>
          <w:szCs w:val="18"/>
        </w:rPr>
        <w:t>)</w:t>
      </w:r>
    </w:p>
    <w:p w:rsidRPr="007456D5" w:rsidR="00FD7474" w:rsidP="009C2659" w:rsidRDefault="00FD7474" w14:paraId="3A4ED8D2" w14:textId="77777777">
      <w:pPr>
        <w:widowControl w:val="0"/>
        <w:tabs>
          <w:tab w:val="num" w:pos="720"/>
        </w:tabs>
        <w:spacing w:line="240" w:lineRule="atLeast"/>
        <w:contextualSpacing/>
        <w:rPr>
          <w:rFonts w:ascii="Verdana" w:hAnsi="Verdana" w:cs="Arial"/>
          <w:sz w:val="18"/>
          <w:szCs w:val="18"/>
        </w:rPr>
      </w:pPr>
    </w:p>
    <w:p w:rsidR="003F50F3" w:rsidP="009C2659" w:rsidRDefault="00FD7474" w14:paraId="16803B4B" w14:textId="368178FD">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In dit artikel worden de verzamelende instanties voor het Europees centraal toegangspunt aangewezen. In artikel 1:</w:t>
      </w:r>
      <w:r w:rsidRPr="007456D5" w:rsidR="000C58BC">
        <w:rPr>
          <w:rFonts w:ascii="Verdana" w:hAnsi="Verdana" w:cs="Arial"/>
          <w:sz w:val="18"/>
          <w:szCs w:val="18"/>
        </w:rPr>
        <w:t>110,</w:t>
      </w:r>
      <w:r w:rsidRPr="007456D5">
        <w:rPr>
          <w:rFonts w:ascii="Verdana" w:hAnsi="Verdana" w:cs="Arial"/>
          <w:sz w:val="18"/>
          <w:szCs w:val="18"/>
        </w:rPr>
        <w:t xml:space="preserve"> eerste lid, worden de AFM en </w:t>
      </w:r>
      <w:r w:rsidRPr="007456D5" w:rsidR="000C58BC">
        <w:rPr>
          <w:rFonts w:ascii="Verdana" w:hAnsi="Verdana" w:cs="Arial"/>
          <w:sz w:val="18"/>
          <w:szCs w:val="18"/>
        </w:rPr>
        <w:t>DNB</w:t>
      </w:r>
      <w:r w:rsidRPr="007456D5">
        <w:rPr>
          <w:rFonts w:ascii="Verdana" w:hAnsi="Verdana" w:cs="Arial"/>
          <w:sz w:val="18"/>
          <w:szCs w:val="18"/>
        </w:rPr>
        <w:t xml:space="preserve"> aangewezen als verzamelende instantie</w:t>
      </w:r>
      <w:r w:rsidRPr="007456D5" w:rsidR="000C58BC">
        <w:rPr>
          <w:rFonts w:ascii="Verdana" w:hAnsi="Verdana" w:cs="Arial"/>
          <w:sz w:val="18"/>
          <w:szCs w:val="18"/>
        </w:rPr>
        <w:t xml:space="preserve"> als </w:t>
      </w:r>
      <w:r w:rsidRPr="007456D5">
        <w:rPr>
          <w:rFonts w:ascii="Verdana" w:hAnsi="Verdana" w:cs="Arial"/>
          <w:sz w:val="18"/>
          <w:szCs w:val="18"/>
        </w:rPr>
        <w:t>bedoeld in de artikelen 2, onderdeel 2, en 3, tweede lid, van de verordening oprichting ESAP. De AFM en DNB worden aangewezen als verzamelende instantie voor informatie die op grond van dit wetsvoorstel verplicht naar de AFM respectievelijk DNB moet worden gestuurd</w:t>
      </w:r>
      <w:r w:rsidR="003F50F3">
        <w:rPr>
          <w:rFonts w:ascii="Verdana" w:hAnsi="Verdana" w:cs="Arial"/>
          <w:sz w:val="18"/>
          <w:szCs w:val="18"/>
        </w:rPr>
        <w:t>.</w:t>
      </w:r>
      <w:r w:rsidRPr="003F50F3" w:rsidR="003F50F3">
        <w:rPr>
          <w:rFonts w:ascii="Verdana" w:hAnsi="Verdana" w:cs="Arial"/>
          <w:sz w:val="18"/>
          <w:szCs w:val="18"/>
        </w:rPr>
        <w:t xml:space="preserve"> </w:t>
      </w:r>
      <w:r w:rsidR="003F50F3">
        <w:rPr>
          <w:rFonts w:ascii="Verdana" w:hAnsi="Verdana" w:cs="Arial"/>
          <w:sz w:val="18"/>
          <w:szCs w:val="18"/>
        </w:rPr>
        <w:t xml:space="preserve">De </w:t>
      </w:r>
      <w:r w:rsidRPr="007456D5" w:rsidR="003F50F3">
        <w:rPr>
          <w:rFonts w:ascii="Verdana" w:hAnsi="Verdana" w:cs="Arial"/>
          <w:sz w:val="18"/>
          <w:szCs w:val="18"/>
        </w:rPr>
        <w:t>AFM</w:t>
      </w:r>
      <w:r w:rsidR="003F50F3">
        <w:rPr>
          <w:rFonts w:ascii="Verdana" w:hAnsi="Verdana" w:cs="Arial"/>
          <w:sz w:val="18"/>
          <w:szCs w:val="18"/>
        </w:rPr>
        <w:t xml:space="preserve"> en DNB</w:t>
      </w:r>
      <w:r w:rsidRPr="007456D5" w:rsidR="003F50F3">
        <w:rPr>
          <w:rFonts w:ascii="Verdana" w:hAnsi="Verdana" w:cs="Arial"/>
          <w:sz w:val="18"/>
          <w:szCs w:val="18"/>
        </w:rPr>
        <w:t xml:space="preserve"> dienen als verzamelende instantie de informatie ter openbaarmaking aan het E</w:t>
      </w:r>
      <w:r w:rsidR="00F14201">
        <w:rPr>
          <w:rFonts w:ascii="Verdana" w:hAnsi="Verdana" w:cs="Arial"/>
          <w:sz w:val="18"/>
          <w:szCs w:val="18"/>
        </w:rPr>
        <w:t>SAP</w:t>
      </w:r>
      <w:r w:rsidRPr="007456D5" w:rsidR="003F50F3">
        <w:rPr>
          <w:rFonts w:ascii="Verdana" w:hAnsi="Verdana" w:cs="Arial"/>
          <w:sz w:val="18"/>
          <w:szCs w:val="18"/>
        </w:rPr>
        <w:t xml:space="preserve"> te verstrekken. In de artikelen waar informatie wordt aangewezen die </w:t>
      </w:r>
      <w:r w:rsidR="003F50F3">
        <w:rPr>
          <w:rFonts w:ascii="Verdana" w:hAnsi="Verdana" w:cs="Arial"/>
          <w:sz w:val="18"/>
          <w:szCs w:val="18"/>
        </w:rPr>
        <w:t>op het ESAP</w:t>
      </w:r>
      <w:r w:rsidR="002730D2">
        <w:rPr>
          <w:rFonts w:ascii="Verdana" w:hAnsi="Verdana" w:cs="Arial"/>
          <w:sz w:val="18"/>
          <w:szCs w:val="18"/>
        </w:rPr>
        <w:t xml:space="preserve"> </w:t>
      </w:r>
      <w:r w:rsidR="003F50F3">
        <w:rPr>
          <w:rFonts w:ascii="Verdana" w:hAnsi="Verdana" w:cs="Arial"/>
          <w:sz w:val="18"/>
          <w:szCs w:val="18"/>
        </w:rPr>
        <w:t>toegankelijk moet worden gemaakt</w:t>
      </w:r>
      <w:r w:rsidRPr="007456D5" w:rsidR="003F50F3">
        <w:rPr>
          <w:rFonts w:ascii="Verdana" w:hAnsi="Verdana" w:cs="Arial"/>
          <w:sz w:val="18"/>
          <w:szCs w:val="18"/>
        </w:rPr>
        <w:t xml:space="preserve">, worden </w:t>
      </w:r>
      <w:r w:rsidR="003F50F3">
        <w:rPr>
          <w:rFonts w:ascii="Verdana" w:hAnsi="Verdana" w:cs="Arial"/>
          <w:sz w:val="18"/>
          <w:szCs w:val="18"/>
        </w:rPr>
        <w:t xml:space="preserve">de AFM en </w:t>
      </w:r>
      <w:r w:rsidRPr="007456D5" w:rsidR="003F50F3">
        <w:rPr>
          <w:rFonts w:ascii="Verdana" w:hAnsi="Verdana" w:cs="Arial"/>
          <w:sz w:val="18"/>
          <w:szCs w:val="18"/>
        </w:rPr>
        <w:t xml:space="preserve">DNB als verzamelende instantie genoemd. </w:t>
      </w:r>
      <w:r w:rsidR="002730D2">
        <w:rPr>
          <w:rFonts w:ascii="Verdana" w:hAnsi="Verdana" w:cs="Arial"/>
          <w:sz w:val="18"/>
          <w:szCs w:val="18"/>
        </w:rPr>
        <w:t xml:space="preserve">Daarnaast </w:t>
      </w:r>
      <w:r w:rsidR="003F50F3">
        <w:rPr>
          <w:rFonts w:ascii="Verdana" w:hAnsi="Verdana" w:cs="Arial"/>
          <w:sz w:val="18"/>
          <w:szCs w:val="18"/>
        </w:rPr>
        <w:t>zijn de AFM en DNB de verzamelende instantie voor vrijwillig ingediende informatie die</w:t>
      </w:r>
      <w:r w:rsidRPr="003F50F3" w:rsidR="003F50F3">
        <w:rPr>
          <w:rFonts w:ascii="Verdana" w:hAnsi="Verdana" w:cs="Arial"/>
          <w:sz w:val="18"/>
          <w:szCs w:val="18"/>
        </w:rPr>
        <w:t xml:space="preserve"> </w:t>
      </w:r>
      <w:r w:rsidR="003F50F3">
        <w:rPr>
          <w:rFonts w:ascii="Verdana" w:hAnsi="Verdana" w:cs="Arial"/>
          <w:sz w:val="18"/>
          <w:szCs w:val="18"/>
        </w:rPr>
        <w:t xml:space="preserve">ondernemingen </w:t>
      </w:r>
      <w:r w:rsidRPr="007456D5" w:rsidR="003F50F3">
        <w:rPr>
          <w:rFonts w:ascii="Verdana" w:hAnsi="Verdana" w:cs="Arial"/>
          <w:sz w:val="18"/>
          <w:szCs w:val="18"/>
        </w:rPr>
        <w:t xml:space="preserve">op </w:t>
      </w:r>
      <w:r w:rsidR="003F50F3">
        <w:rPr>
          <w:rFonts w:ascii="Verdana" w:hAnsi="Verdana" w:cs="Arial"/>
          <w:sz w:val="18"/>
          <w:szCs w:val="18"/>
        </w:rPr>
        <w:t xml:space="preserve">het </w:t>
      </w:r>
      <w:r w:rsidRPr="007456D5" w:rsidR="003F50F3">
        <w:rPr>
          <w:rFonts w:ascii="Verdana" w:hAnsi="Verdana" w:cs="Arial"/>
          <w:sz w:val="18"/>
          <w:szCs w:val="18"/>
        </w:rPr>
        <w:t>ESAP toegankelijk</w:t>
      </w:r>
      <w:r w:rsidR="003F50F3">
        <w:rPr>
          <w:rFonts w:ascii="Verdana" w:hAnsi="Verdana" w:cs="Arial"/>
          <w:sz w:val="18"/>
          <w:szCs w:val="18"/>
        </w:rPr>
        <w:t xml:space="preserve"> willen laten</w:t>
      </w:r>
      <w:r w:rsidRPr="007456D5" w:rsidR="003F50F3">
        <w:rPr>
          <w:rFonts w:ascii="Verdana" w:hAnsi="Verdana" w:cs="Arial"/>
          <w:sz w:val="18"/>
          <w:szCs w:val="18"/>
        </w:rPr>
        <w:t xml:space="preserve"> maken</w:t>
      </w:r>
      <w:r w:rsidR="003F50F3">
        <w:rPr>
          <w:rFonts w:ascii="Verdana" w:hAnsi="Verdana" w:cs="Arial"/>
          <w:sz w:val="18"/>
          <w:szCs w:val="18"/>
        </w:rPr>
        <w:t>.</w:t>
      </w:r>
      <w:r w:rsidRPr="003F50F3" w:rsidR="003F50F3">
        <w:rPr>
          <w:rFonts w:ascii="Verdana" w:hAnsi="Verdana" w:cs="Arial"/>
          <w:sz w:val="18"/>
          <w:szCs w:val="18"/>
        </w:rPr>
        <w:t xml:space="preserve"> </w:t>
      </w:r>
      <w:r w:rsidRPr="007456D5" w:rsidR="003F50F3">
        <w:rPr>
          <w:rFonts w:ascii="Verdana" w:hAnsi="Verdana" w:cs="Arial"/>
          <w:sz w:val="18"/>
          <w:szCs w:val="18"/>
        </w:rPr>
        <w:t xml:space="preserve">Zie meer over </w:t>
      </w:r>
      <w:r w:rsidR="003F50F3">
        <w:rPr>
          <w:rFonts w:ascii="Verdana" w:hAnsi="Verdana" w:cs="Arial"/>
          <w:sz w:val="18"/>
          <w:szCs w:val="18"/>
        </w:rPr>
        <w:t xml:space="preserve">de voorwaarden waaraan </w:t>
      </w:r>
      <w:r w:rsidRPr="007456D5" w:rsidR="003F50F3">
        <w:rPr>
          <w:rFonts w:ascii="Verdana" w:hAnsi="Verdana" w:cs="Arial"/>
          <w:sz w:val="18"/>
          <w:szCs w:val="18"/>
        </w:rPr>
        <w:t>vrijwillig</w:t>
      </w:r>
      <w:r w:rsidR="003F50F3">
        <w:rPr>
          <w:rFonts w:ascii="Verdana" w:hAnsi="Verdana" w:cs="Arial"/>
          <w:sz w:val="18"/>
          <w:szCs w:val="18"/>
        </w:rPr>
        <w:t xml:space="preserve"> ingediende</w:t>
      </w:r>
      <w:r w:rsidRPr="007456D5" w:rsidR="003F50F3">
        <w:rPr>
          <w:rFonts w:ascii="Verdana" w:hAnsi="Verdana" w:cs="Arial"/>
          <w:sz w:val="18"/>
          <w:szCs w:val="18"/>
        </w:rPr>
        <w:t xml:space="preserve"> informatie</w:t>
      </w:r>
      <w:r w:rsidR="003F50F3">
        <w:rPr>
          <w:rFonts w:ascii="Verdana" w:hAnsi="Verdana" w:cs="Arial"/>
          <w:sz w:val="18"/>
          <w:szCs w:val="18"/>
        </w:rPr>
        <w:t xml:space="preserve"> dient te voldoen</w:t>
      </w:r>
      <w:r w:rsidRPr="007456D5" w:rsidR="003F50F3">
        <w:rPr>
          <w:rFonts w:ascii="Verdana" w:hAnsi="Verdana" w:cs="Arial"/>
          <w:sz w:val="18"/>
          <w:szCs w:val="18"/>
        </w:rPr>
        <w:t xml:space="preserve"> paragraaf 3.3 van het algeme</w:t>
      </w:r>
      <w:r w:rsidR="003F50F3">
        <w:rPr>
          <w:rFonts w:ascii="Verdana" w:hAnsi="Verdana" w:cs="Arial"/>
          <w:sz w:val="18"/>
          <w:szCs w:val="18"/>
        </w:rPr>
        <w:t>en</w:t>
      </w:r>
      <w:r w:rsidRPr="007456D5" w:rsidR="003F50F3">
        <w:rPr>
          <w:rFonts w:ascii="Verdana" w:hAnsi="Verdana" w:cs="Arial"/>
          <w:sz w:val="18"/>
          <w:szCs w:val="18"/>
        </w:rPr>
        <w:t xml:space="preserve"> deel van deze toelichting.</w:t>
      </w:r>
    </w:p>
    <w:p w:rsidRPr="007456D5" w:rsidR="00FD7474" w:rsidP="009C2659" w:rsidRDefault="002730D2" w14:paraId="7DE0CE19" w14:textId="64CEA6B0">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Verder</w:t>
      </w:r>
      <w:r w:rsidR="003F50F3">
        <w:rPr>
          <w:rFonts w:ascii="Verdana" w:hAnsi="Verdana" w:cs="Arial"/>
          <w:sz w:val="18"/>
          <w:szCs w:val="18"/>
        </w:rPr>
        <w:t xml:space="preserve"> zijn de AFM en DNB de verzamelende instantie als het gaat om informatie </w:t>
      </w:r>
      <w:r w:rsidR="00182CED">
        <w:rPr>
          <w:rFonts w:ascii="Verdana" w:hAnsi="Verdana" w:cs="Arial"/>
          <w:sz w:val="18"/>
          <w:szCs w:val="18"/>
        </w:rPr>
        <w:t>die de AFM en DNB zelf genereren</w:t>
      </w:r>
      <w:r w:rsidR="003F50F3">
        <w:rPr>
          <w:rFonts w:ascii="Verdana" w:hAnsi="Verdana" w:cs="Arial"/>
          <w:sz w:val="18"/>
          <w:szCs w:val="18"/>
        </w:rPr>
        <w:t xml:space="preserve"> of</w:t>
      </w:r>
      <w:r w:rsidRPr="007456D5" w:rsidR="00247BAB">
        <w:rPr>
          <w:rFonts w:ascii="Verdana" w:hAnsi="Verdana" w:cs="Arial"/>
          <w:sz w:val="18"/>
          <w:szCs w:val="18"/>
        </w:rPr>
        <w:t xml:space="preserve"> </w:t>
      </w:r>
      <w:r w:rsidR="00E8061C">
        <w:rPr>
          <w:rFonts w:ascii="Verdana" w:hAnsi="Verdana" w:cs="Arial"/>
          <w:sz w:val="18"/>
          <w:szCs w:val="18"/>
        </w:rPr>
        <w:t>openbaar maken</w:t>
      </w:r>
      <w:r>
        <w:rPr>
          <w:rFonts w:ascii="Verdana" w:hAnsi="Verdana" w:cs="Arial"/>
          <w:sz w:val="18"/>
          <w:szCs w:val="18"/>
        </w:rPr>
        <w:t xml:space="preserve"> ten behoeve van het ESAP</w:t>
      </w:r>
      <w:r w:rsidR="003F50F3">
        <w:rPr>
          <w:rFonts w:ascii="Verdana" w:hAnsi="Verdana" w:cs="Arial"/>
          <w:sz w:val="18"/>
          <w:szCs w:val="18"/>
        </w:rPr>
        <w:t>.</w:t>
      </w:r>
      <w:r w:rsidR="00453204">
        <w:rPr>
          <w:rFonts w:ascii="Verdana" w:hAnsi="Verdana" w:cs="Arial"/>
          <w:sz w:val="18"/>
          <w:szCs w:val="18"/>
        </w:rPr>
        <w:t xml:space="preserve"> Het kan dan gaan om het openbaar</w:t>
      </w:r>
      <w:r>
        <w:rPr>
          <w:rFonts w:ascii="Verdana" w:hAnsi="Verdana" w:cs="Arial"/>
          <w:sz w:val="18"/>
          <w:szCs w:val="18"/>
        </w:rPr>
        <w:t xml:space="preserve"> </w:t>
      </w:r>
      <w:r w:rsidR="00453204">
        <w:rPr>
          <w:rFonts w:ascii="Verdana" w:hAnsi="Verdana" w:cs="Arial"/>
          <w:sz w:val="18"/>
          <w:szCs w:val="18"/>
        </w:rPr>
        <w:t>maken van een bestuurlijke sanctie door de AFM en DNB op grond van artikel 1:97, eerste lid.</w:t>
      </w:r>
      <w:r>
        <w:rPr>
          <w:rFonts w:ascii="Verdana" w:hAnsi="Verdana" w:cs="Arial"/>
          <w:sz w:val="18"/>
          <w:szCs w:val="18"/>
        </w:rPr>
        <w:t xml:space="preserve"> </w:t>
      </w:r>
      <w:r w:rsidR="00182CED">
        <w:rPr>
          <w:rFonts w:ascii="Verdana" w:hAnsi="Verdana" w:cs="Arial"/>
          <w:sz w:val="18"/>
          <w:szCs w:val="18"/>
        </w:rPr>
        <w:t>Een voorbeeld van zelf gegenereerde informatie die op het ESAP toegankelijk moet worden gemaakt</w:t>
      </w:r>
      <w:r w:rsidR="00453204">
        <w:rPr>
          <w:rFonts w:ascii="Verdana" w:hAnsi="Verdana" w:cs="Arial"/>
          <w:sz w:val="18"/>
          <w:szCs w:val="18"/>
        </w:rPr>
        <w:t>,</w:t>
      </w:r>
      <w:r w:rsidR="00182CED">
        <w:rPr>
          <w:rFonts w:ascii="Verdana" w:hAnsi="Verdana" w:cs="Arial"/>
          <w:sz w:val="18"/>
          <w:szCs w:val="18"/>
        </w:rPr>
        <w:t xml:space="preserve"> is een </w:t>
      </w:r>
      <w:r w:rsidRPr="007456D5" w:rsidR="00182CED">
        <w:rPr>
          <w:rFonts w:ascii="Verdana" w:hAnsi="Verdana"/>
          <w:sz w:val="18"/>
          <w:szCs w:val="18"/>
        </w:rPr>
        <w:t>aanwijzing om de handel in een financieel instrument verplicht op te schorten of te onderbreke</w:t>
      </w:r>
      <w:r w:rsidR="00182CED">
        <w:rPr>
          <w:rFonts w:ascii="Verdana" w:hAnsi="Verdana"/>
          <w:sz w:val="18"/>
          <w:szCs w:val="18"/>
        </w:rPr>
        <w:t xml:space="preserve">n, zoals </w:t>
      </w:r>
      <w:r w:rsidR="00F14201">
        <w:rPr>
          <w:rFonts w:ascii="Verdana" w:hAnsi="Verdana"/>
          <w:sz w:val="18"/>
          <w:szCs w:val="18"/>
        </w:rPr>
        <w:t>opgenomen</w:t>
      </w:r>
      <w:r w:rsidR="00182CED">
        <w:rPr>
          <w:rFonts w:ascii="Verdana" w:hAnsi="Verdana"/>
          <w:sz w:val="18"/>
          <w:szCs w:val="18"/>
        </w:rPr>
        <w:t xml:space="preserve"> in artikel 1:77d van de Wft. </w:t>
      </w:r>
    </w:p>
    <w:p w:rsidRPr="007456D5" w:rsidR="00374198" w:rsidP="009C2659" w:rsidRDefault="00374198" w14:paraId="5205A8E9" w14:textId="77777777">
      <w:pPr>
        <w:widowControl w:val="0"/>
        <w:tabs>
          <w:tab w:val="num" w:pos="720"/>
        </w:tabs>
        <w:spacing w:line="240" w:lineRule="atLeast"/>
        <w:contextualSpacing/>
        <w:rPr>
          <w:rFonts w:ascii="Verdana" w:hAnsi="Verdana" w:cs="Arial"/>
          <w:sz w:val="18"/>
          <w:szCs w:val="18"/>
        </w:rPr>
      </w:pPr>
    </w:p>
    <w:p w:rsidRPr="007456D5" w:rsidR="00374198" w:rsidP="009C2659" w:rsidRDefault="00D51773" w14:paraId="7DBFC614" w14:textId="7F90973A">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H t/m AE</w:t>
      </w:r>
      <w:r w:rsidRPr="007456D5" w:rsidR="0086556F">
        <w:rPr>
          <w:rFonts w:ascii="Verdana" w:hAnsi="Verdana" w:cs="Arial"/>
          <w:sz w:val="18"/>
          <w:szCs w:val="18"/>
        </w:rPr>
        <w:t xml:space="preserve"> (</w:t>
      </w:r>
      <w:r w:rsidRPr="007456D5" w:rsidR="0086556F">
        <w:rPr>
          <w:rFonts w:ascii="Verdana" w:hAnsi="Verdana" w:cs="Arial"/>
          <w:i/>
          <w:iCs/>
          <w:sz w:val="18"/>
          <w:szCs w:val="18"/>
        </w:rPr>
        <w:t>artikelen 3:33ba, 3:73c, 3:74a, 3:288i, 3:299, 3:303, 3A:63a, 4:49, 4:52, 4:90b, 4:90e, 4:91c, 4:91ea, 5:25ka, 5:25m, 5:32g, 5:32l, 5:74, 5:78, 5:87c, 5:87d, 5:87f, 5:89f</w:t>
      </w:r>
      <w:r w:rsidRPr="007456D5" w:rsidR="0086556F">
        <w:rPr>
          <w:rFonts w:ascii="Verdana" w:hAnsi="Verdana" w:cs="Arial"/>
          <w:sz w:val="18"/>
          <w:szCs w:val="18"/>
        </w:rPr>
        <w:t>)</w:t>
      </w:r>
      <w:r w:rsidRPr="007456D5" w:rsidR="002E12A5">
        <w:rPr>
          <w:rFonts w:ascii="Verdana" w:hAnsi="Verdana" w:cs="Arial"/>
          <w:sz w:val="18"/>
          <w:szCs w:val="18"/>
        </w:rPr>
        <w:t>, met uitzondering van W</w:t>
      </w:r>
      <w:r w:rsidRPr="007456D5" w:rsidR="0086556F">
        <w:rPr>
          <w:rFonts w:ascii="Verdana" w:hAnsi="Verdana" w:cs="Arial"/>
          <w:sz w:val="18"/>
          <w:szCs w:val="18"/>
        </w:rPr>
        <w:t xml:space="preserve"> (</w:t>
      </w:r>
      <w:r w:rsidRPr="007456D5" w:rsidR="0086556F">
        <w:rPr>
          <w:rFonts w:ascii="Verdana" w:hAnsi="Verdana" w:cs="Arial"/>
          <w:i/>
          <w:iCs/>
          <w:sz w:val="18"/>
          <w:szCs w:val="18"/>
        </w:rPr>
        <w:t>artikel 5:25o</w:t>
      </w:r>
      <w:r w:rsidRPr="007456D5" w:rsidR="0086556F">
        <w:rPr>
          <w:rFonts w:ascii="Verdana" w:hAnsi="Verdana" w:cs="Arial"/>
          <w:sz w:val="18"/>
          <w:szCs w:val="18"/>
        </w:rPr>
        <w:t>)</w:t>
      </w:r>
      <w:r w:rsidRPr="007456D5">
        <w:rPr>
          <w:rFonts w:ascii="Verdana" w:hAnsi="Verdana" w:cs="Arial"/>
          <w:sz w:val="18"/>
          <w:szCs w:val="18"/>
        </w:rPr>
        <w:t xml:space="preserve"> </w:t>
      </w:r>
    </w:p>
    <w:p w:rsidRPr="007456D5" w:rsidR="00D51773" w:rsidP="009C2659" w:rsidRDefault="00D51773" w14:paraId="59FA8A43" w14:textId="77777777">
      <w:pPr>
        <w:widowControl w:val="0"/>
        <w:tabs>
          <w:tab w:val="num" w:pos="720"/>
        </w:tabs>
        <w:spacing w:line="240" w:lineRule="atLeast"/>
        <w:contextualSpacing/>
        <w:rPr>
          <w:rFonts w:ascii="Verdana" w:hAnsi="Verdana" w:cs="Arial"/>
          <w:sz w:val="18"/>
          <w:szCs w:val="18"/>
        </w:rPr>
      </w:pPr>
    </w:p>
    <w:p w:rsidRPr="007456D5" w:rsidR="00D51773" w:rsidP="009C2659" w:rsidRDefault="002E12A5" w14:paraId="6FD15678" w14:textId="473BC065">
      <w:pPr>
        <w:widowControl w:val="0"/>
        <w:spacing w:line="240" w:lineRule="atLeast"/>
        <w:contextualSpacing/>
        <w:rPr>
          <w:rFonts w:ascii="Verdana" w:hAnsi="Verdana"/>
          <w:sz w:val="18"/>
          <w:szCs w:val="18"/>
        </w:rPr>
      </w:pPr>
      <w:r w:rsidRPr="007456D5">
        <w:rPr>
          <w:rFonts w:ascii="Verdana" w:hAnsi="Verdana" w:cs="Arial"/>
          <w:sz w:val="18"/>
          <w:szCs w:val="18"/>
        </w:rPr>
        <w:t>Voor de</w:t>
      </w:r>
      <w:r w:rsidRPr="007456D5" w:rsidR="00DB14C0">
        <w:rPr>
          <w:rFonts w:ascii="Verdana" w:hAnsi="Verdana" w:cs="Arial"/>
          <w:sz w:val="18"/>
          <w:szCs w:val="18"/>
        </w:rPr>
        <w:t xml:space="preserve"> artikelen</w:t>
      </w:r>
      <w:r w:rsidRPr="007456D5">
        <w:rPr>
          <w:rFonts w:ascii="Verdana" w:hAnsi="Verdana" w:cs="Arial"/>
          <w:sz w:val="18"/>
          <w:szCs w:val="18"/>
        </w:rPr>
        <w:t xml:space="preserve"> </w:t>
      </w:r>
      <w:r w:rsidRPr="007456D5" w:rsidR="00DB14C0">
        <w:rPr>
          <w:rFonts w:ascii="Verdana" w:hAnsi="Verdana" w:cs="Arial"/>
          <w:sz w:val="18"/>
          <w:szCs w:val="18"/>
        </w:rPr>
        <w:t>3:33ba, 3:73c, 3:74a, 3:288i, 3:299, 3:303, 3A:63a, 4:49, 4:52, 4:90b, 4:90</w:t>
      </w:r>
      <w:r w:rsidRPr="007456D5" w:rsidR="0086556F">
        <w:rPr>
          <w:rFonts w:ascii="Verdana" w:hAnsi="Verdana" w:cs="Arial"/>
          <w:sz w:val="18"/>
          <w:szCs w:val="18"/>
        </w:rPr>
        <w:t>e</w:t>
      </w:r>
      <w:r w:rsidRPr="007456D5" w:rsidR="00DB14C0">
        <w:rPr>
          <w:rFonts w:ascii="Verdana" w:hAnsi="Verdana" w:cs="Arial"/>
          <w:sz w:val="18"/>
          <w:szCs w:val="18"/>
        </w:rPr>
        <w:t>, 4:91c, 4:91ea, 5:25ka, 5:25m, 5:32g, 5:32l, 5:74, 5:78, 5:87c, 5:87d, 5:87f, 5:89f</w:t>
      </w:r>
      <w:r w:rsidRPr="007456D5">
        <w:rPr>
          <w:rFonts w:ascii="Verdana" w:hAnsi="Verdana" w:cs="Arial"/>
          <w:sz w:val="18"/>
          <w:szCs w:val="18"/>
        </w:rPr>
        <w:t xml:space="preserve"> geldt dat de in die artikelen genoemde adressanten bepaalde informatie gelijktijdig met het openbaar maken daarvan aan een verzamelende instantie moeten verstrekken</w:t>
      </w:r>
      <w:r w:rsidRPr="007456D5" w:rsidR="008310AF">
        <w:rPr>
          <w:rFonts w:ascii="Verdana" w:hAnsi="Verdana" w:cs="Arial"/>
          <w:sz w:val="18"/>
          <w:szCs w:val="18"/>
        </w:rPr>
        <w:t xml:space="preserve">, ten behoeve van </w:t>
      </w:r>
      <w:r w:rsidRPr="007456D5" w:rsidR="00DB14C0">
        <w:rPr>
          <w:rFonts w:ascii="Verdana" w:hAnsi="Verdana" w:cs="Arial"/>
          <w:sz w:val="18"/>
          <w:szCs w:val="18"/>
        </w:rPr>
        <w:t xml:space="preserve">openbaarmaking op </w:t>
      </w:r>
      <w:r w:rsidRPr="007456D5" w:rsidR="008310AF">
        <w:rPr>
          <w:rFonts w:ascii="Verdana" w:hAnsi="Verdana" w:cs="Arial"/>
          <w:sz w:val="18"/>
          <w:szCs w:val="18"/>
        </w:rPr>
        <w:t xml:space="preserve">het Europees centraal toegangspunt. </w:t>
      </w:r>
      <w:r w:rsidRPr="007456D5" w:rsidR="00DB14C0">
        <w:rPr>
          <w:rFonts w:ascii="Verdana" w:hAnsi="Verdana" w:cs="Arial"/>
          <w:sz w:val="18"/>
          <w:szCs w:val="18"/>
        </w:rPr>
        <w:t xml:space="preserve">Voor de wijze van verstrekking wordt verwezen naar de relevante gewijzigde richtlijnartikelen zoals opgenomen in de </w:t>
      </w:r>
      <w:r w:rsidR="00A65911">
        <w:rPr>
          <w:rFonts w:ascii="Verdana" w:hAnsi="Verdana" w:cs="Arial"/>
          <w:sz w:val="18"/>
          <w:szCs w:val="18"/>
        </w:rPr>
        <w:t>richtlijn ESAP</w:t>
      </w:r>
      <w:r w:rsidRPr="007456D5" w:rsidR="002D569B">
        <w:rPr>
          <w:rFonts w:ascii="Verdana" w:hAnsi="Verdana" w:cs="Arial"/>
          <w:sz w:val="18"/>
          <w:szCs w:val="18"/>
        </w:rPr>
        <w:t xml:space="preserve">. </w:t>
      </w:r>
      <w:r w:rsidRPr="007456D5" w:rsidR="00DB14C0">
        <w:rPr>
          <w:rFonts w:ascii="Verdana" w:hAnsi="Verdana" w:cs="Arial"/>
          <w:sz w:val="18"/>
          <w:szCs w:val="18"/>
        </w:rPr>
        <w:t>D</w:t>
      </w:r>
      <w:r w:rsidRPr="007456D5" w:rsidR="008C3F13">
        <w:rPr>
          <w:rFonts w:ascii="Verdana" w:hAnsi="Verdana"/>
          <w:sz w:val="18"/>
          <w:szCs w:val="18"/>
        </w:rPr>
        <w:t>e informatie</w:t>
      </w:r>
      <w:r w:rsidRPr="007456D5" w:rsidR="00DB14C0">
        <w:rPr>
          <w:rFonts w:ascii="Verdana" w:hAnsi="Verdana"/>
          <w:sz w:val="18"/>
          <w:szCs w:val="18"/>
        </w:rPr>
        <w:t xml:space="preserve"> dient te worden verstrekt</w:t>
      </w:r>
      <w:r w:rsidRPr="007456D5" w:rsidR="008C3F13">
        <w:rPr>
          <w:rFonts w:ascii="Verdana" w:hAnsi="Verdana"/>
          <w:sz w:val="18"/>
          <w:szCs w:val="18"/>
        </w:rPr>
        <w:t xml:space="preserve"> in een voor data-extractie geschikt formaat zoals gedefinieerd in artikel 2, onder</w:t>
      </w:r>
      <w:r w:rsidRPr="007456D5" w:rsidR="000C58BC">
        <w:rPr>
          <w:rFonts w:ascii="Verdana" w:hAnsi="Verdana"/>
          <w:sz w:val="18"/>
          <w:szCs w:val="18"/>
        </w:rPr>
        <w:t xml:space="preserve">deel </w:t>
      </w:r>
      <w:r w:rsidRPr="007456D5" w:rsidR="008C3F13">
        <w:rPr>
          <w:rFonts w:ascii="Verdana" w:hAnsi="Verdana"/>
          <w:sz w:val="18"/>
          <w:szCs w:val="18"/>
        </w:rPr>
        <w:t>3, van</w:t>
      </w:r>
      <w:r w:rsidRPr="007456D5" w:rsidR="00DB14C0">
        <w:rPr>
          <w:rFonts w:ascii="Verdana" w:hAnsi="Verdana"/>
          <w:sz w:val="18"/>
          <w:szCs w:val="18"/>
        </w:rPr>
        <w:t xml:space="preserve"> de</w:t>
      </w:r>
      <w:r w:rsidRPr="007456D5" w:rsidR="008C3F13">
        <w:rPr>
          <w:rFonts w:ascii="Verdana" w:hAnsi="Verdana"/>
          <w:sz w:val="18"/>
          <w:szCs w:val="18"/>
        </w:rPr>
        <w:t xml:space="preserve"> verordening oprichting ESAP of, wanneer dat door het Unierecht wordt vereist, in een machinaal leesbaar formaat zoals gedefinieerd in artikel 2, onder</w:t>
      </w:r>
      <w:r w:rsidRPr="007456D5" w:rsidR="000C58BC">
        <w:rPr>
          <w:rFonts w:ascii="Verdana" w:hAnsi="Verdana"/>
          <w:sz w:val="18"/>
          <w:szCs w:val="18"/>
        </w:rPr>
        <w:t>deel</w:t>
      </w:r>
      <w:r w:rsidRPr="007456D5" w:rsidR="008C3F13">
        <w:rPr>
          <w:rFonts w:ascii="Verdana" w:hAnsi="Verdana"/>
          <w:sz w:val="18"/>
          <w:szCs w:val="18"/>
        </w:rPr>
        <w:t xml:space="preserve"> 4, van d</w:t>
      </w:r>
      <w:r w:rsidRPr="007456D5" w:rsidR="00DB14C0">
        <w:rPr>
          <w:rFonts w:ascii="Verdana" w:hAnsi="Verdana"/>
          <w:sz w:val="18"/>
          <w:szCs w:val="18"/>
        </w:rPr>
        <w:t>e verordening oprichting ESAP</w:t>
      </w:r>
      <w:r w:rsidRPr="007456D5" w:rsidR="008C3F13">
        <w:rPr>
          <w:rFonts w:ascii="Verdana" w:hAnsi="Verdana"/>
          <w:sz w:val="18"/>
          <w:szCs w:val="18"/>
        </w:rPr>
        <w:t xml:space="preserve">. Hierbij </w:t>
      </w:r>
      <w:r w:rsidRPr="007456D5" w:rsidR="00DB14C0">
        <w:rPr>
          <w:rFonts w:ascii="Verdana" w:hAnsi="Verdana"/>
          <w:sz w:val="18"/>
          <w:szCs w:val="18"/>
        </w:rPr>
        <w:t xml:space="preserve">is het belangrijk dat </w:t>
      </w:r>
      <w:r w:rsidRPr="007456D5" w:rsidR="008C3F13">
        <w:rPr>
          <w:rFonts w:ascii="Verdana" w:hAnsi="Verdana"/>
          <w:sz w:val="18"/>
          <w:szCs w:val="18"/>
        </w:rPr>
        <w:t xml:space="preserve">de </w:t>
      </w:r>
      <w:r w:rsidRPr="007456D5" w:rsidR="00DB14C0">
        <w:rPr>
          <w:rFonts w:ascii="Verdana" w:hAnsi="Verdana"/>
          <w:sz w:val="18"/>
          <w:szCs w:val="18"/>
        </w:rPr>
        <w:t>verstrekte</w:t>
      </w:r>
      <w:r w:rsidRPr="007456D5" w:rsidR="008C3F13">
        <w:rPr>
          <w:rFonts w:ascii="Verdana" w:hAnsi="Verdana"/>
          <w:sz w:val="18"/>
          <w:szCs w:val="18"/>
        </w:rPr>
        <w:t xml:space="preserve"> informatie geschikt is voor data-extractie en dat het door mensen leesbaar is. Voor data-extractie geschikte formats is het niet noodzakelijk dat informatie zodanig is gestructureerd dat die machinaal leesbaar is, terwijl machinaal lees</w:t>
      </w:r>
      <w:r w:rsidRPr="007456D5" w:rsidR="008C3F13">
        <w:rPr>
          <w:rFonts w:ascii="Verdana" w:hAnsi="Verdana"/>
          <w:sz w:val="18"/>
          <w:szCs w:val="18"/>
        </w:rPr>
        <w:lastRenderedPageBreak/>
        <w:t xml:space="preserve">bare formats bestandsformaten zijn die zodanig zijn gestructureerd dat softwaretoepassingen specifieke data gemakkelijk kunnen identificeren, herkennen en extraheren. </w:t>
      </w:r>
    </w:p>
    <w:p w:rsidRPr="007456D5" w:rsidR="008C3F13" w:rsidP="009C2659" w:rsidRDefault="008C3F13" w14:paraId="3A527D83" w14:textId="77777777">
      <w:pPr>
        <w:widowControl w:val="0"/>
        <w:spacing w:line="240" w:lineRule="atLeast"/>
        <w:contextualSpacing/>
        <w:rPr>
          <w:rFonts w:ascii="Verdana" w:hAnsi="Verdana"/>
          <w:sz w:val="18"/>
          <w:szCs w:val="18"/>
        </w:rPr>
      </w:pPr>
    </w:p>
    <w:p w:rsidRPr="007456D5" w:rsidR="008C3F13" w:rsidP="009C2659" w:rsidRDefault="008C3F13" w14:paraId="3B4A8C5E" w14:textId="6CC5CA11">
      <w:pPr>
        <w:widowControl w:val="0"/>
        <w:spacing w:line="240" w:lineRule="atLeast"/>
        <w:contextualSpacing/>
        <w:rPr>
          <w:rFonts w:ascii="Verdana" w:hAnsi="Verdana"/>
          <w:sz w:val="18"/>
          <w:szCs w:val="18"/>
        </w:rPr>
      </w:pPr>
      <w:r w:rsidRPr="007456D5">
        <w:rPr>
          <w:rFonts w:ascii="Verdana" w:hAnsi="Verdana"/>
          <w:sz w:val="18"/>
          <w:szCs w:val="18"/>
        </w:rPr>
        <w:t>De informatieverstrekking geschied</w:t>
      </w:r>
      <w:r w:rsidRPr="007456D5" w:rsidR="000C58BC">
        <w:rPr>
          <w:rFonts w:ascii="Verdana" w:hAnsi="Verdana"/>
          <w:sz w:val="18"/>
          <w:szCs w:val="18"/>
        </w:rPr>
        <w:t>t</w:t>
      </w:r>
      <w:r w:rsidRPr="007456D5">
        <w:rPr>
          <w:rFonts w:ascii="Verdana" w:hAnsi="Verdana"/>
          <w:sz w:val="18"/>
          <w:szCs w:val="18"/>
        </w:rPr>
        <w:t xml:space="preserve"> onder vermelding van een aantal metadata. Voor de meeste artikelen gaat het om de naam, (indien van toepassing) identificatiecode en grootte van een onderneming, het type informatie (verplicht of vrijwillig) en een vermelding of er persoonsgegevens aanwezig zijn. Voor </w:t>
      </w:r>
      <w:r w:rsidRPr="007456D5" w:rsidR="00DB14C0">
        <w:rPr>
          <w:rFonts w:ascii="Verdana" w:hAnsi="Verdana"/>
          <w:sz w:val="18"/>
          <w:szCs w:val="18"/>
        </w:rPr>
        <w:t xml:space="preserve">de </w:t>
      </w:r>
      <w:r w:rsidRPr="007456D5">
        <w:rPr>
          <w:rFonts w:ascii="Verdana" w:hAnsi="Verdana"/>
          <w:sz w:val="18"/>
          <w:szCs w:val="18"/>
        </w:rPr>
        <w:t xml:space="preserve">artikelen 4:91c, 5:32g en 5:89f geldt de grootte van de onderneming niet als vereiste metadata. Voor de artikelen 5:25ka, 5:25m, 5:74, 5:78, 5:87c, 5:87d, 5:87f geldt een extra vereist </w:t>
      </w:r>
      <w:proofErr w:type="spellStart"/>
      <w:r w:rsidRPr="007456D5">
        <w:rPr>
          <w:rFonts w:ascii="Verdana" w:hAnsi="Verdana"/>
          <w:sz w:val="18"/>
          <w:szCs w:val="18"/>
        </w:rPr>
        <w:t>metadatapunt</w:t>
      </w:r>
      <w:proofErr w:type="spellEnd"/>
      <w:r w:rsidRPr="007456D5">
        <w:rPr>
          <w:rFonts w:ascii="Verdana" w:hAnsi="Verdana"/>
          <w:sz w:val="18"/>
          <w:szCs w:val="18"/>
        </w:rPr>
        <w:t>, namelijk de industriesector van de economische activiteiten.</w:t>
      </w:r>
    </w:p>
    <w:p w:rsidRPr="007456D5" w:rsidR="00615BF0" w:rsidP="009C2659" w:rsidRDefault="00615BF0" w14:paraId="6259C07B" w14:textId="77777777">
      <w:pPr>
        <w:widowControl w:val="0"/>
        <w:spacing w:line="240" w:lineRule="atLeast"/>
        <w:contextualSpacing/>
        <w:rPr>
          <w:rFonts w:ascii="Verdana" w:hAnsi="Verdana"/>
          <w:sz w:val="18"/>
          <w:szCs w:val="18"/>
        </w:rPr>
      </w:pPr>
    </w:p>
    <w:p w:rsidRPr="007456D5" w:rsidR="00615BF0" w:rsidP="009C2659" w:rsidRDefault="00615BF0" w14:paraId="55DE88EB" w14:textId="153B4A2B">
      <w:pPr>
        <w:widowControl w:val="0"/>
        <w:spacing w:line="240" w:lineRule="atLeast"/>
        <w:contextualSpacing/>
        <w:rPr>
          <w:rFonts w:ascii="Verdana" w:hAnsi="Verdana"/>
          <w:sz w:val="18"/>
          <w:szCs w:val="18"/>
        </w:rPr>
      </w:pPr>
      <w:r w:rsidRPr="007456D5">
        <w:rPr>
          <w:rFonts w:ascii="Verdana" w:hAnsi="Verdana"/>
          <w:sz w:val="18"/>
          <w:szCs w:val="18"/>
        </w:rPr>
        <w:t xml:space="preserve">Bij de artikelen 4:52, 4:91c, 5:32g, 5:32l en 5:89f </w:t>
      </w:r>
      <w:r w:rsidRPr="007456D5" w:rsidR="00D245BA">
        <w:rPr>
          <w:rFonts w:ascii="Verdana" w:hAnsi="Verdana"/>
          <w:sz w:val="18"/>
          <w:szCs w:val="18"/>
        </w:rPr>
        <w:t>worden</w:t>
      </w:r>
      <w:r w:rsidRPr="007456D5">
        <w:rPr>
          <w:rFonts w:ascii="Verdana" w:hAnsi="Verdana"/>
          <w:sz w:val="18"/>
          <w:szCs w:val="18"/>
        </w:rPr>
        <w:t xml:space="preserve"> twee leden toegevoegd. Dit zijn artikelen waar de betreffende informatie op basis van de Wft al naar de AFM moet worden gestuurd. In het eerste extra lid wordt beschreven welke informatie voortaan aan de </w:t>
      </w:r>
      <w:r w:rsidRPr="007456D5" w:rsidR="00D245BA">
        <w:rPr>
          <w:rFonts w:ascii="Verdana" w:hAnsi="Verdana"/>
          <w:sz w:val="18"/>
          <w:szCs w:val="18"/>
        </w:rPr>
        <w:t xml:space="preserve">AFM als </w:t>
      </w:r>
      <w:r w:rsidRPr="007456D5">
        <w:rPr>
          <w:rFonts w:ascii="Verdana" w:hAnsi="Verdana"/>
          <w:sz w:val="18"/>
          <w:szCs w:val="18"/>
        </w:rPr>
        <w:t xml:space="preserve">verzamelende instantie moet worden verstrekt en onder welke vereisten. In het tweede extra lid wordt bepaald dat indien een onderneming de informatie conform de vereisten van ESAP </w:t>
      </w:r>
      <w:r w:rsidRPr="007456D5" w:rsidR="00D245BA">
        <w:rPr>
          <w:rFonts w:ascii="Verdana" w:hAnsi="Verdana"/>
          <w:sz w:val="18"/>
          <w:szCs w:val="18"/>
        </w:rPr>
        <w:t xml:space="preserve">(het eerste extra lid) </w:t>
      </w:r>
      <w:r w:rsidRPr="007456D5">
        <w:rPr>
          <w:rFonts w:ascii="Verdana" w:hAnsi="Verdana"/>
          <w:sz w:val="18"/>
          <w:szCs w:val="18"/>
        </w:rPr>
        <w:t>aan de AFM verstrekt, zij wordt geacht te hebben voldaan aan haar verplichting op grond van bestaand recht. Dit voorkomt een dubbele verplichting voor ondernemingen.</w:t>
      </w:r>
    </w:p>
    <w:p w:rsidRPr="007456D5" w:rsidR="00D51773" w:rsidP="009C2659" w:rsidRDefault="00D51773" w14:paraId="72FFC727" w14:textId="77777777">
      <w:pPr>
        <w:widowControl w:val="0"/>
        <w:tabs>
          <w:tab w:val="num" w:pos="720"/>
        </w:tabs>
        <w:spacing w:line="240" w:lineRule="atLeast"/>
        <w:contextualSpacing/>
        <w:rPr>
          <w:rFonts w:ascii="Verdana" w:hAnsi="Verdana" w:cs="Arial"/>
          <w:sz w:val="18"/>
          <w:szCs w:val="18"/>
        </w:rPr>
      </w:pPr>
    </w:p>
    <w:p w:rsidRPr="007456D5" w:rsidR="00D51773" w:rsidP="009C2659" w:rsidRDefault="008C3F13" w14:paraId="56F2A2FC" w14:textId="1D0D77FE">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 xml:space="preserve">Voor de overzichtelijkheid is hieronder per artikel schematisch weergegeven om welke </w:t>
      </w:r>
      <w:r w:rsidRPr="007456D5" w:rsidR="00C34D9C">
        <w:rPr>
          <w:rFonts w:ascii="Verdana" w:hAnsi="Verdana" w:cs="Arial"/>
          <w:sz w:val="18"/>
          <w:szCs w:val="18"/>
        </w:rPr>
        <w:t>adressant</w:t>
      </w:r>
      <w:r w:rsidRPr="007456D5">
        <w:rPr>
          <w:rFonts w:ascii="Verdana" w:hAnsi="Verdana" w:cs="Arial"/>
          <w:sz w:val="18"/>
          <w:szCs w:val="18"/>
        </w:rPr>
        <w:t>, informatie en richtlijnbepaling het gaat:</w:t>
      </w:r>
    </w:p>
    <w:p w:rsidRPr="007456D5" w:rsidR="008C3F13" w:rsidP="007D25C5" w:rsidRDefault="008C3F13" w14:paraId="67593ED3" w14:textId="77777777">
      <w:pPr>
        <w:widowControl w:val="0"/>
        <w:tabs>
          <w:tab w:val="num" w:pos="720"/>
        </w:tabs>
        <w:spacing w:line="240" w:lineRule="exact"/>
        <w:contextualSpacing/>
        <w:rPr>
          <w:rFonts w:ascii="Verdana" w:hAnsi="Verdana" w:cs="Arial"/>
          <w:sz w:val="18"/>
          <w:szCs w:val="18"/>
        </w:rPr>
      </w:pPr>
    </w:p>
    <w:tbl>
      <w:tblPr>
        <w:tblStyle w:val="Tabelraster"/>
        <w:tblW w:w="7228" w:type="dxa"/>
        <w:tblLook w:val="04A0" w:firstRow="1" w:lastRow="0" w:firstColumn="1" w:lastColumn="0" w:noHBand="0" w:noVBand="1"/>
      </w:tblPr>
      <w:tblGrid>
        <w:gridCol w:w="1315"/>
        <w:gridCol w:w="2353"/>
        <w:gridCol w:w="2169"/>
        <w:gridCol w:w="1391"/>
      </w:tblGrid>
      <w:tr w:rsidRPr="007456D5" w:rsidR="00A165C4" w:rsidTr="00272F0A" w14:paraId="12D618BD" w14:textId="77777777">
        <w:trPr>
          <w:trHeight w:val="264"/>
        </w:trPr>
        <w:tc>
          <w:tcPr>
            <w:tcW w:w="0" w:type="auto"/>
          </w:tcPr>
          <w:p w:rsidRPr="007456D5" w:rsidR="00272F0A" w:rsidP="007D25C5" w:rsidRDefault="00272F0A" w14:paraId="1EB04729" w14:textId="027AB375">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Artikel</w:t>
            </w:r>
          </w:p>
        </w:tc>
        <w:tc>
          <w:tcPr>
            <w:tcW w:w="0" w:type="auto"/>
          </w:tcPr>
          <w:p w:rsidRPr="007456D5" w:rsidR="00272F0A" w:rsidP="007D25C5" w:rsidRDefault="00272F0A" w14:paraId="6BA6BC9E" w14:textId="69D27106">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Adressant</w:t>
            </w:r>
          </w:p>
        </w:tc>
        <w:tc>
          <w:tcPr>
            <w:tcW w:w="0" w:type="auto"/>
          </w:tcPr>
          <w:p w:rsidRPr="007456D5" w:rsidR="00272F0A" w:rsidP="007D25C5" w:rsidRDefault="00272F0A" w14:paraId="769EF999" w14:textId="611E6991">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Informatie</w:t>
            </w:r>
          </w:p>
        </w:tc>
        <w:tc>
          <w:tcPr>
            <w:tcW w:w="0" w:type="auto"/>
          </w:tcPr>
          <w:p w:rsidRPr="007456D5" w:rsidR="00272F0A" w:rsidP="007D25C5" w:rsidRDefault="00272F0A" w14:paraId="4BDA5AB1" w14:textId="053A2584">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Bepaling richtlijn</w:t>
            </w:r>
          </w:p>
        </w:tc>
      </w:tr>
      <w:tr w:rsidRPr="007456D5" w:rsidR="00A165C4" w:rsidTr="00272F0A" w14:paraId="5E7C3019" w14:textId="77777777">
        <w:trPr>
          <w:trHeight w:val="264"/>
        </w:trPr>
        <w:tc>
          <w:tcPr>
            <w:tcW w:w="0" w:type="auto"/>
          </w:tcPr>
          <w:p w:rsidRPr="007456D5" w:rsidR="00272F0A" w:rsidP="007D25C5" w:rsidRDefault="00272F0A" w14:paraId="3A7FB55F" w14:textId="0ECCBA61">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3:33ba</w:t>
            </w:r>
            <w:r w:rsidRPr="007456D5" w:rsidR="00ED6555">
              <w:rPr>
                <w:rFonts w:ascii="Verdana" w:hAnsi="Verdana" w:cs="Arial"/>
                <w:b/>
                <w:bCs/>
                <w:sz w:val="18"/>
                <w:szCs w:val="18"/>
              </w:rPr>
              <w:t>(4)</w:t>
            </w:r>
          </w:p>
        </w:tc>
        <w:tc>
          <w:tcPr>
            <w:tcW w:w="0" w:type="auto"/>
          </w:tcPr>
          <w:p w:rsidRPr="007456D5" w:rsidR="00272F0A" w:rsidP="007D25C5" w:rsidRDefault="00762BC8" w14:paraId="505DC584" w14:textId="19E8302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Bank</w:t>
            </w:r>
          </w:p>
        </w:tc>
        <w:tc>
          <w:tcPr>
            <w:tcW w:w="0" w:type="auto"/>
          </w:tcPr>
          <w:p w:rsidRPr="007456D5" w:rsidR="00272F0A" w:rsidP="007D25C5" w:rsidRDefault="00762BC8" w14:paraId="386F4826" w14:textId="479BAE45">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 over het programma van gedekte obligaties</w:t>
            </w:r>
          </w:p>
        </w:tc>
        <w:tc>
          <w:tcPr>
            <w:tcW w:w="0" w:type="auto"/>
          </w:tcPr>
          <w:p w:rsidRPr="007456D5" w:rsidR="00272F0A" w:rsidP="007D25C5" w:rsidRDefault="00762BC8" w14:paraId="202FA290" w14:textId="49B0836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26 bis, eerste lid, van de richtlijn gedekte obligaties</w:t>
            </w:r>
          </w:p>
        </w:tc>
      </w:tr>
      <w:tr w:rsidRPr="007456D5" w:rsidR="00A165C4" w:rsidTr="00272F0A" w14:paraId="44AF804B" w14:textId="77777777">
        <w:trPr>
          <w:trHeight w:val="264"/>
        </w:trPr>
        <w:tc>
          <w:tcPr>
            <w:tcW w:w="0" w:type="auto"/>
          </w:tcPr>
          <w:p w:rsidRPr="007456D5" w:rsidR="00272F0A" w:rsidP="007D25C5" w:rsidRDefault="00272F0A" w14:paraId="5D4E1B5A" w14:textId="3606FB4E">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3:73c</w:t>
            </w:r>
            <w:r w:rsidRPr="007456D5" w:rsidR="00ED6555">
              <w:rPr>
                <w:rFonts w:ascii="Verdana" w:hAnsi="Verdana" w:cs="Arial"/>
                <w:b/>
                <w:bCs/>
                <w:sz w:val="18"/>
                <w:szCs w:val="18"/>
              </w:rPr>
              <w:t>(3)</w:t>
            </w:r>
          </w:p>
        </w:tc>
        <w:tc>
          <w:tcPr>
            <w:tcW w:w="0" w:type="auto"/>
          </w:tcPr>
          <w:p w:rsidRPr="007456D5" w:rsidR="00272F0A" w:rsidP="007D25C5" w:rsidRDefault="009948A0" w14:paraId="187C3798" w14:textId="669957E1">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Verzekeraar, niet zijnde een verzekeraar met beperkte risico-omvang</w:t>
            </w:r>
          </w:p>
        </w:tc>
        <w:tc>
          <w:tcPr>
            <w:tcW w:w="0" w:type="auto"/>
          </w:tcPr>
          <w:p w:rsidRPr="007456D5" w:rsidR="00272F0A" w:rsidP="007D25C5" w:rsidRDefault="009948A0" w14:paraId="706D8B45" w14:textId="5D87AE4C">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Het rapport over zijn solvabiliteit en financiële positie</w:t>
            </w:r>
          </w:p>
        </w:tc>
        <w:tc>
          <w:tcPr>
            <w:tcW w:w="0" w:type="auto"/>
          </w:tcPr>
          <w:p w:rsidRPr="007456D5" w:rsidR="00272F0A" w:rsidP="007D25C5" w:rsidRDefault="009948A0" w14:paraId="3584DA17" w14:textId="1840A76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304 ter, eerste lid, van de richtlijn solvabiliteit</w:t>
            </w:r>
          </w:p>
        </w:tc>
      </w:tr>
      <w:tr w:rsidRPr="007456D5" w:rsidR="00A165C4" w:rsidTr="00272F0A" w14:paraId="37ABD2C0" w14:textId="77777777">
        <w:trPr>
          <w:trHeight w:val="264"/>
        </w:trPr>
        <w:tc>
          <w:tcPr>
            <w:tcW w:w="0" w:type="auto"/>
          </w:tcPr>
          <w:p w:rsidRPr="007456D5" w:rsidR="00272F0A" w:rsidP="007D25C5" w:rsidRDefault="00272F0A" w14:paraId="1BD99238" w14:textId="5B7AE42F">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3:74a(4)</w:t>
            </w:r>
          </w:p>
        </w:tc>
        <w:tc>
          <w:tcPr>
            <w:tcW w:w="0" w:type="auto"/>
          </w:tcPr>
          <w:p w:rsidRPr="007456D5" w:rsidR="00272F0A" w:rsidP="007D25C5" w:rsidRDefault="00AE5FF8" w14:paraId="04CB2113" w14:textId="734FA9FF">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Beleggingsonderneming</w:t>
            </w:r>
          </w:p>
        </w:tc>
        <w:tc>
          <w:tcPr>
            <w:tcW w:w="0" w:type="auto"/>
          </w:tcPr>
          <w:p w:rsidRPr="007456D5" w:rsidR="00272F0A" w:rsidP="007D25C5" w:rsidRDefault="00AE5FF8" w14:paraId="7FC08840" w14:textId="30CF8BEC">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w:t>
            </w:r>
            <w:r w:rsidRPr="007456D5" w:rsidR="00533FDF">
              <w:rPr>
                <w:rFonts w:ascii="Verdana" w:hAnsi="Verdana"/>
                <w:sz w:val="18"/>
                <w:szCs w:val="18"/>
              </w:rPr>
              <w:t>,</w:t>
            </w:r>
            <w:r w:rsidRPr="007456D5">
              <w:rPr>
                <w:rFonts w:ascii="Verdana" w:hAnsi="Verdana"/>
                <w:sz w:val="18"/>
                <w:szCs w:val="18"/>
              </w:rPr>
              <w:t xml:space="preserve"> bedoeld in het eerste lid</w:t>
            </w:r>
          </w:p>
        </w:tc>
        <w:tc>
          <w:tcPr>
            <w:tcW w:w="0" w:type="auto"/>
          </w:tcPr>
          <w:p w:rsidRPr="007456D5" w:rsidR="00272F0A" w:rsidP="007D25C5" w:rsidRDefault="00AE5FF8" w14:paraId="183801DA" w14:textId="06CB6D3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44 bis, eerste lid van de richtlijn prudentieel toezicht beleggingsondernemingen</w:t>
            </w:r>
          </w:p>
        </w:tc>
      </w:tr>
      <w:tr w:rsidRPr="007456D5" w:rsidR="00E13A8E" w:rsidTr="00272F0A" w14:paraId="5B1B826C" w14:textId="77777777">
        <w:trPr>
          <w:trHeight w:val="264"/>
        </w:trPr>
        <w:tc>
          <w:tcPr>
            <w:tcW w:w="0" w:type="auto"/>
          </w:tcPr>
          <w:p w:rsidRPr="007456D5" w:rsidR="00AE5FF8" w:rsidP="007D25C5" w:rsidRDefault="00AE5FF8" w14:paraId="55C0DF53" w14:textId="1EA73B9A">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3:74a(</w:t>
            </w:r>
            <w:r w:rsidRPr="007456D5" w:rsidR="00E379B6">
              <w:rPr>
                <w:rFonts w:ascii="Verdana" w:hAnsi="Verdana" w:cs="Arial"/>
                <w:b/>
                <w:bCs/>
                <w:sz w:val="18"/>
                <w:szCs w:val="18"/>
              </w:rPr>
              <w:t>4</w:t>
            </w:r>
            <w:r w:rsidRPr="007456D5">
              <w:rPr>
                <w:rFonts w:ascii="Verdana" w:hAnsi="Verdana" w:cs="Arial"/>
                <w:b/>
                <w:bCs/>
                <w:sz w:val="18"/>
                <w:szCs w:val="18"/>
              </w:rPr>
              <w:t>)</w:t>
            </w:r>
          </w:p>
        </w:tc>
        <w:tc>
          <w:tcPr>
            <w:tcW w:w="0" w:type="auto"/>
          </w:tcPr>
          <w:p w:rsidRPr="007456D5" w:rsidR="00AE5FF8" w:rsidP="007D25C5" w:rsidRDefault="00AE5FF8" w14:paraId="6344493E" w14:textId="1D25A475">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Moederonderneming</w:t>
            </w:r>
            <w:r w:rsidRPr="007456D5" w:rsidR="00061657">
              <w:rPr>
                <w:rFonts w:ascii="Verdana" w:hAnsi="Verdana" w:cs="Arial"/>
                <w:sz w:val="18"/>
                <w:szCs w:val="18"/>
              </w:rPr>
              <w:t xml:space="preserve"> van een groep waartoe een bank of beleggingsonderneming behoort</w:t>
            </w:r>
          </w:p>
        </w:tc>
        <w:tc>
          <w:tcPr>
            <w:tcW w:w="0" w:type="auto"/>
          </w:tcPr>
          <w:p w:rsidRPr="007456D5" w:rsidR="00AE5FF8" w:rsidP="007D25C5" w:rsidRDefault="00AE5FF8" w14:paraId="4DBAC469" w14:textId="1440017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Beschrijving van de juridische structuur en de governance- en organisatiestructuur van de groep</w:t>
            </w:r>
          </w:p>
        </w:tc>
        <w:tc>
          <w:tcPr>
            <w:tcW w:w="0" w:type="auto"/>
          </w:tcPr>
          <w:p w:rsidRPr="007456D5" w:rsidR="00AE5FF8" w:rsidP="007D25C5" w:rsidRDefault="00AE5FF8" w14:paraId="110DD7C6" w14:textId="291852F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44 bis, eerste lid van de richtlijn prudentieel toezicht beleggingsondernemingen</w:t>
            </w:r>
          </w:p>
        </w:tc>
      </w:tr>
      <w:tr w:rsidRPr="007456D5" w:rsidR="00E13A8E" w:rsidTr="00272F0A" w14:paraId="411E9E46" w14:textId="77777777">
        <w:trPr>
          <w:trHeight w:val="264"/>
        </w:trPr>
        <w:tc>
          <w:tcPr>
            <w:tcW w:w="0" w:type="auto"/>
          </w:tcPr>
          <w:p w:rsidRPr="007456D5" w:rsidR="00AE5FF8" w:rsidP="007D25C5" w:rsidRDefault="00AE5FF8" w14:paraId="49674B9D" w14:textId="0A80D1D4">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3:288i</w:t>
            </w:r>
            <w:r w:rsidRPr="007456D5" w:rsidR="00ED6555">
              <w:rPr>
                <w:rFonts w:ascii="Verdana" w:hAnsi="Verdana" w:cs="Arial"/>
                <w:b/>
                <w:bCs/>
                <w:sz w:val="18"/>
                <w:szCs w:val="18"/>
              </w:rPr>
              <w:t>(7)</w:t>
            </w:r>
          </w:p>
        </w:tc>
        <w:tc>
          <w:tcPr>
            <w:tcW w:w="0" w:type="auto"/>
          </w:tcPr>
          <w:p w:rsidRPr="007456D5" w:rsidR="00AE5FF8" w:rsidP="007D25C5" w:rsidRDefault="00323F86" w14:paraId="1ACCB2D5" w14:textId="72626490">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Nederlandse herverzekeraar, levensverzekeraar of schadeverzekeraar</w:t>
            </w:r>
          </w:p>
        </w:tc>
        <w:tc>
          <w:tcPr>
            <w:tcW w:w="0" w:type="auto"/>
          </w:tcPr>
          <w:p w:rsidRPr="007456D5" w:rsidR="00AE5FF8" w:rsidP="007D25C5" w:rsidRDefault="00323F86" w14:paraId="39F56554" w14:textId="759839B9">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Rapport over de solvabiliteit en de financiële toestand op het niveau van de verzekeringsrichtlijngroep</w:t>
            </w:r>
          </w:p>
        </w:tc>
        <w:tc>
          <w:tcPr>
            <w:tcW w:w="0" w:type="auto"/>
          </w:tcPr>
          <w:p w:rsidRPr="007456D5" w:rsidR="00AE5FF8" w:rsidP="007D25C5" w:rsidRDefault="00323F86" w14:paraId="163D1A17" w14:textId="592696A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304 ter, eerste lid, van de richtlijn solvabiliteit</w:t>
            </w:r>
          </w:p>
        </w:tc>
      </w:tr>
      <w:tr w:rsidRPr="007456D5" w:rsidR="00E13A8E" w:rsidTr="00272F0A" w14:paraId="384F6B27" w14:textId="77777777">
        <w:trPr>
          <w:trHeight w:val="264"/>
        </w:trPr>
        <w:tc>
          <w:tcPr>
            <w:tcW w:w="0" w:type="auto"/>
          </w:tcPr>
          <w:p w:rsidRPr="007456D5" w:rsidR="00AE5FF8" w:rsidP="007D25C5" w:rsidRDefault="00AE5FF8" w14:paraId="4EAACCEE" w14:textId="01BF65C5">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lastRenderedPageBreak/>
              <w:t>3:299</w:t>
            </w:r>
            <w:r w:rsidRPr="007456D5" w:rsidR="00ED6555">
              <w:rPr>
                <w:rFonts w:ascii="Verdana" w:hAnsi="Verdana" w:cs="Arial"/>
                <w:b/>
                <w:bCs/>
                <w:sz w:val="18"/>
                <w:szCs w:val="18"/>
              </w:rPr>
              <w:t>(3)</w:t>
            </w:r>
          </w:p>
        </w:tc>
        <w:tc>
          <w:tcPr>
            <w:tcW w:w="0" w:type="auto"/>
          </w:tcPr>
          <w:p w:rsidRPr="007456D5" w:rsidR="00AE5FF8" w:rsidP="007D25C5" w:rsidRDefault="00ED6555" w14:paraId="098496B6" w14:textId="077CAD2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Gereglementeerde entiteit</w:t>
            </w:r>
            <w:r w:rsidRPr="007456D5" w:rsidR="00EC1808">
              <w:rPr>
                <w:rFonts w:ascii="Verdana" w:hAnsi="Verdana" w:cs="Arial"/>
                <w:sz w:val="18"/>
                <w:szCs w:val="18"/>
              </w:rPr>
              <w:t xml:space="preserve"> als bedoeld in artikel 1:1 Wft</w:t>
            </w:r>
          </w:p>
        </w:tc>
        <w:tc>
          <w:tcPr>
            <w:tcW w:w="0" w:type="auto"/>
          </w:tcPr>
          <w:p w:rsidRPr="007456D5" w:rsidR="00AE5FF8" w:rsidP="007D25C5" w:rsidRDefault="00ED6555" w14:paraId="3E968C33" w14:textId="2537B95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Informatie</w:t>
            </w:r>
            <w:r w:rsidRPr="007456D5" w:rsidR="00533FDF">
              <w:rPr>
                <w:rFonts w:ascii="Verdana" w:hAnsi="Verdana" w:cs="Arial"/>
                <w:sz w:val="18"/>
                <w:szCs w:val="18"/>
              </w:rPr>
              <w:t>,</w:t>
            </w:r>
            <w:r w:rsidRPr="007456D5">
              <w:rPr>
                <w:rFonts w:ascii="Verdana" w:hAnsi="Verdana" w:cs="Arial"/>
                <w:sz w:val="18"/>
                <w:szCs w:val="18"/>
              </w:rPr>
              <w:t xml:space="preserve"> bedoeld in het tweede lid</w:t>
            </w:r>
          </w:p>
        </w:tc>
        <w:tc>
          <w:tcPr>
            <w:tcW w:w="0" w:type="auto"/>
          </w:tcPr>
          <w:p w:rsidRPr="007456D5" w:rsidR="00ED6555" w:rsidP="007D25C5" w:rsidRDefault="00ED6555" w14:paraId="308D5054" w14:textId="71D63216">
            <w:pPr>
              <w:spacing w:line="240" w:lineRule="exact"/>
              <w:contextualSpacing/>
              <w:rPr>
                <w:rFonts w:ascii="Verdana" w:hAnsi="Verdana" w:cs="Arial"/>
                <w:sz w:val="18"/>
                <w:szCs w:val="18"/>
              </w:rPr>
            </w:pPr>
            <w:r w:rsidRPr="007456D5">
              <w:rPr>
                <w:rFonts w:ascii="Verdana" w:hAnsi="Verdana"/>
                <w:sz w:val="18"/>
                <w:szCs w:val="18"/>
              </w:rPr>
              <w:t>30 ter, eerste lid, van de richtlijn financiële conglomeraten</w:t>
            </w:r>
          </w:p>
        </w:tc>
      </w:tr>
      <w:tr w:rsidRPr="007456D5" w:rsidR="00E13A8E" w:rsidTr="00272F0A" w14:paraId="3106A6BB" w14:textId="77777777">
        <w:trPr>
          <w:trHeight w:val="247"/>
        </w:trPr>
        <w:tc>
          <w:tcPr>
            <w:tcW w:w="0" w:type="auto"/>
          </w:tcPr>
          <w:p w:rsidRPr="007456D5" w:rsidR="00AE5FF8" w:rsidP="007D25C5" w:rsidRDefault="00AE5FF8" w14:paraId="59CE7954" w14:textId="7329A74D">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3:303</w:t>
            </w:r>
            <w:r w:rsidRPr="007456D5" w:rsidR="00ED6555">
              <w:rPr>
                <w:rFonts w:ascii="Verdana" w:hAnsi="Verdana" w:cs="Arial"/>
                <w:b/>
                <w:bCs/>
                <w:sz w:val="18"/>
                <w:szCs w:val="18"/>
              </w:rPr>
              <w:t>(3)</w:t>
            </w:r>
          </w:p>
        </w:tc>
        <w:tc>
          <w:tcPr>
            <w:tcW w:w="0" w:type="auto"/>
          </w:tcPr>
          <w:p w:rsidRPr="007456D5" w:rsidR="00AE5FF8" w:rsidP="007D25C5" w:rsidRDefault="00BB5CD4" w14:paraId="61117444" w14:textId="7A917002">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EU-moederinstelling met zetel in Nederland</w:t>
            </w:r>
          </w:p>
        </w:tc>
        <w:tc>
          <w:tcPr>
            <w:tcW w:w="0" w:type="auto"/>
          </w:tcPr>
          <w:p w:rsidRPr="007456D5" w:rsidR="00AE5FF8" w:rsidP="007D25C5" w:rsidRDefault="00BB5CD4" w14:paraId="75A62BFE" w14:textId="1C5C0EDC">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 xml:space="preserve">Verslag van de algemene vergadering en de informatie </w:t>
            </w:r>
          </w:p>
        </w:tc>
        <w:tc>
          <w:tcPr>
            <w:tcW w:w="0" w:type="auto"/>
          </w:tcPr>
          <w:p w:rsidRPr="007456D5" w:rsidR="00AE5FF8" w:rsidP="007D25C5" w:rsidRDefault="00BB5CD4" w14:paraId="02F2A092" w14:textId="4B0CDD41">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128 bis, eerste lid, van de richtlijn herstel en afwikkeling van banken en beleggingsondernemingen</w:t>
            </w:r>
          </w:p>
        </w:tc>
      </w:tr>
      <w:tr w:rsidRPr="007456D5" w:rsidR="00E13A8E" w:rsidTr="00272F0A" w14:paraId="4DDE1AAC" w14:textId="77777777">
        <w:trPr>
          <w:trHeight w:val="264"/>
        </w:trPr>
        <w:tc>
          <w:tcPr>
            <w:tcW w:w="0" w:type="auto"/>
          </w:tcPr>
          <w:p w:rsidRPr="007456D5" w:rsidR="00AE5FF8" w:rsidP="007D25C5" w:rsidRDefault="00AE5FF8" w14:paraId="6737156C" w14:textId="75843B02">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3A:63a</w:t>
            </w:r>
            <w:r w:rsidRPr="007456D5" w:rsidR="00BB5CD4">
              <w:rPr>
                <w:rFonts w:ascii="Verdana" w:hAnsi="Verdana" w:cs="Arial"/>
                <w:b/>
                <w:bCs/>
                <w:sz w:val="18"/>
                <w:szCs w:val="18"/>
              </w:rPr>
              <w:t>(3)</w:t>
            </w:r>
          </w:p>
        </w:tc>
        <w:tc>
          <w:tcPr>
            <w:tcW w:w="0" w:type="auto"/>
          </w:tcPr>
          <w:p w:rsidRPr="007456D5" w:rsidR="00AE5FF8" w:rsidP="007D25C5" w:rsidRDefault="00BB5CD4" w14:paraId="473DB7A3" w14:textId="6F38C9FE">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 xml:space="preserve">Entiteit als bedoeld in </w:t>
            </w:r>
            <w:r w:rsidRPr="007456D5" w:rsidR="00EC1808">
              <w:rPr>
                <w:rFonts w:ascii="Verdana" w:hAnsi="Verdana"/>
                <w:sz w:val="18"/>
                <w:szCs w:val="18"/>
              </w:rPr>
              <w:t>artikel 3a:63a,</w:t>
            </w:r>
            <w:r w:rsidRPr="007456D5">
              <w:rPr>
                <w:rFonts w:ascii="Verdana" w:hAnsi="Verdana"/>
                <w:sz w:val="18"/>
                <w:szCs w:val="18"/>
              </w:rPr>
              <w:t xml:space="preserve"> eerste lid</w:t>
            </w:r>
          </w:p>
        </w:tc>
        <w:tc>
          <w:tcPr>
            <w:tcW w:w="0" w:type="auto"/>
          </w:tcPr>
          <w:p w:rsidRPr="007456D5" w:rsidR="00AE5FF8" w:rsidP="007D25C5" w:rsidRDefault="00BB5CD4" w14:paraId="25BAB52B" w14:textId="65CE524A">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w:t>
            </w:r>
            <w:r w:rsidRPr="007456D5" w:rsidR="00533FDF">
              <w:rPr>
                <w:rFonts w:ascii="Verdana" w:hAnsi="Verdana"/>
                <w:sz w:val="18"/>
                <w:szCs w:val="18"/>
              </w:rPr>
              <w:t>,</w:t>
            </w:r>
            <w:r w:rsidRPr="007456D5">
              <w:rPr>
                <w:rFonts w:ascii="Verdana" w:hAnsi="Verdana"/>
                <w:sz w:val="18"/>
                <w:szCs w:val="18"/>
              </w:rPr>
              <w:t xml:space="preserve"> bedoeld in het eerste lid, onderdeel b</w:t>
            </w:r>
          </w:p>
        </w:tc>
        <w:tc>
          <w:tcPr>
            <w:tcW w:w="0" w:type="auto"/>
          </w:tcPr>
          <w:p w:rsidRPr="007456D5" w:rsidR="00AE5FF8" w:rsidP="007D25C5" w:rsidRDefault="007150A7" w14:paraId="06C4FB01" w14:textId="27299379">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128 bis, eerste lid, van de richtlijn herstel en afwikkeling van banken en beleggingsondernemingen</w:t>
            </w:r>
          </w:p>
        </w:tc>
      </w:tr>
      <w:tr w:rsidRPr="007456D5" w:rsidR="00E13A8E" w:rsidTr="00272F0A" w14:paraId="6A9C3BC7" w14:textId="77777777">
        <w:trPr>
          <w:trHeight w:val="264"/>
        </w:trPr>
        <w:tc>
          <w:tcPr>
            <w:tcW w:w="0" w:type="auto"/>
          </w:tcPr>
          <w:p w:rsidRPr="007456D5" w:rsidR="00AE5FF8" w:rsidP="007D25C5" w:rsidRDefault="00AE5FF8" w14:paraId="5CB212FF" w14:textId="1A13AF23">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4:49</w:t>
            </w:r>
            <w:r w:rsidRPr="007456D5" w:rsidR="00BB5CD4">
              <w:rPr>
                <w:rFonts w:ascii="Verdana" w:hAnsi="Verdana" w:cs="Arial"/>
                <w:b/>
                <w:bCs/>
                <w:sz w:val="18"/>
                <w:szCs w:val="18"/>
              </w:rPr>
              <w:t>(7)</w:t>
            </w:r>
          </w:p>
        </w:tc>
        <w:tc>
          <w:tcPr>
            <w:tcW w:w="0" w:type="auto"/>
          </w:tcPr>
          <w:p w:rsidRPr="007456D5" w:rsidR="00AE5FF8" w:rsidP="007D25C5" w:rsidRDefault="007150A7" w14:paraId="368FAAA9" w14:textId="2422327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Beheerder van een icbe</w:t>
            </w:r>
          </w:p>
        </w:tc>
        <w:tc>
          <w:tcPr>
            <w:tcW w:w="0" w:type="auto"/>
          </w:tcPr>
          <w:p w:rsidRPr="007456D5" w:rsidR="00AE5FF8" w:rsidP="007D25C5" w:rsidRDefault="007150A7" w14:paraId="4092F00F" w14:textId="001E101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Prospectus</w:t>
            </w:r>
          </w:p>
        </w:tc>
        <w:tc>
          <w:tcPr>
            <w:tcW w:w="0" w:type="auto"/>
          </w:tcPr>
          <w:p w:rsidRPr="007456D5" w:rsidR="00AE5FF8" w:rsidP="007D25C5" w:rsidRDefault="007150A7" w14:paraId="6010410B" w14:textId="1057FED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82 bis, eerste lid, van de richtlijn instellingen voor collectieve belegging in effecten</w:t>
            </w:r>
          </w:p>
        </w:tc>
      </w:tr>
      <w:tr w:rsidRPr="007456D5" w:rsidR="00E13A8E" w:rsidTr="00272F0A" w14:paraId="717DBF7B" w14:textId="77777777">
        <w:trPr>
          <w:trHeight w:val="264"/>
        </w:trPr>
        <w:tc>
          <w:tcPr>
            <w:tcW w:w="0" w:type="auto"/>
          </w:tcPr>
          <w:p w:rsidRPr="007456D5" w:rsidR="007150A7" w:rsidP="007D25C5" w:rsidRDefault="007150A7" w14:paraId="06AE3A02" w14:textId="399F57C7">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4:52(5)</w:t>
            </w:r>
          </w:p>
        </w:tc>
        <w:tc>
          <w:tcPr>
            <w:tcW w:w="0" w:type="auto"/>
          </w:tcPr>
          <w:p w:rsidRPr="007456D5" w:rsidR="007150A7" w:rsidP="007D25C5" w:rsidRDefault="007150A7" w14:paraId="64F403BD" w14:textId="071CBD81">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Beheerder van een icbe</w:t>
            </w:r>
          </w:p>
        </w:tc>
        <w:tc>
          <w:tcPr>
            <w:tcW w:w="0" w:type="auto"/>
          </w:tcPr>
          <w:p w:rsidRPr="007456D5" w:rsidR="007150A7" w:rsidP="007D25C5" w:rsidRDefault="007150A7" w14:paraId="00405F87" w14:textId="2D67CB2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Jaarrekening, bestuursverslag en overige gegevens, en de halfjaarcijfers</w:t>
            </w:r>
          </w:p>
        </w:tc>
        <w:tc>
          <w:tcPr>
            <w:tcW w:w="0" w:type="auto"/>
          </w:tcPr>
          <w:p w:rsidRPr="007456D5" w:rsidR="007150A7" w:rsidP="007D25C5" w:rsidRDefault="007150A7" w14:paraId="409D66CE" w14:textId="6CDC1352">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82 bis, eerste lid, van de richtlijn instellingen voor collectieve belegging in effecten</w:t>
            </w:r>
          </w:p>
        </w:tc>
      </w:tr>
      <w:tr w:rsidRPr="007456D5" w:rsidR="00E13A8E" w:rsidTr="00272F0A" w14:paraId="1E522E9F" w14:textId="77777777">
        <w:trPr>
          <w:trHeight w:val="264"/>
        </w:trPr>
        <w:tc>
          <w:tcPr>
            <w:tcW w:w="0" w:type="auto"/>
          </w:tcPr>
          <w:p w:rsidRPr="007456D5" w:rsidR="007150A7" w:rsidP="007D25C5" w:rsidRDefault="007150A7" w14:paraId="0027C753" w14:textId="1BF2CC21">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4:90b</w:t>
            </w:r>
            <w:r w:rsidRPr="007456D5" w:rsidR="008B35DF">
              <w:rPr>
                <w:rFonts w:ascii="Verdana" w:hAnsi="Verdana" w:cs="Arial"/>
                <w:b/>
                <w:bCs/>
                <w:sz w:val="18"/>
                <w:szCs w:val="18"/>
              </w:rPr>
              <w:t>(13)</w:t>
            </w:r>
          </w:p>
        </w:tc>
        <w:tc>
          <w:tcPr>
            <w:tcW w:w="0" w:type="auto"/>
          </w:tcPr>
          <w:p w:rsidRPr="007456D5" w:rsidR="007150A7" w:rsidP="007D25C5" w:rsidRDefault="008B35DF" w14:paraId="11167586" w14:textId="04F3AC0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Beleggingsonderneming</w:t>
            </w:r>
          </w:p>
        </w:tc>
        <w:tc>
          <w:tcPr>
            <w:tcW w:w="0" w:type="auto"/>
          </w:tcPr>
          <w:p w:rsidRPr="007456D5" w:rsidR="007150A7" w:rsidP="007D25C5" w:rsidRDefault="008B35DF" w14:paraId="25A75C44" w14:textId="11B54C4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Informatie over de kwaliteit van uitvoering van transacties op de relevante plaatsen van uitvoering en over haar belangrijkste plaatsen van uitvoering</w:t>
            </w:r>
          </w:p>
        </w:tc>
        <w:tc>
          <w:tcPr>
            <w:tcW w:w="0" w:type="auto"/>
          </w:tcPr>
          <w:p w:rsidRPr="007456D5" w:rsidR="007150A7" w:rsidP="007D25C5" w:rsidRDefault="008B35DF" w14:paraId="208B6298" w14:textId="6F4B26F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eerste lid, van de richtlijn markten voor financiële instrumenten 2014</w:t>
            </w:r>
          </w:p>
        </w:tc>
      </w:tr>
      <w:tr w:rsidRPr="007456D5" w:rsidR="00E13A8E" w:rsidTr="00272F0A" w14:paraId="53BE436C" w14:textId="77777777">
        <w:trPr>
          <w:trHeight w:val="264"/>
        </w:trPr>
        <w:tc>
          <w:tcPr>
            <w:tcW w:w="0" w:type="auto"/>
          </w:tcPr>
          <w:p w:rsidRPr="007456D5" w:rsidR="007150A7" w:rsidP="007D25C5" w:rsidRDefault="007150A7" w14:paraId="51D35597" w14:textId="06B3122D">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4:90</w:t>
            </w:r>
            <w:r w:rsidRPr="007456D5" w:rsidR="008B35DF">
              <w:rPr>
                <w:rFonts w:ascii="Verdana" w:hAnsi="Verdana" w:cs="Arial"/>
                <w:b/>
                <w:bCs/>
                <w:sz w:val="18"/>
                <w:szCs w:val="18"/>
              </w:rPr>
              <w:t>e(3)</w:t>
            </w:r>
          </w:p>
        </w:tc>
        <w:tc>
          <w:tcPr>
            <w:tcW w:w="0" w:type="auto"/>
          </w:tcPr>
          <w:p w:rsidRPr="007456D5" w:rsidR="007150A7" w:rsidP="007D25C5" w:rsidRDefault="00E32419" w14:paraId="338754CD" w14:textId="0B93CB99">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Plaats van uitvoering als bedoeld in artikel 4:90b, elfde lid, of, indien het een handelsplatform betreft, de exploitant daarvan</w:t>
            </w:r>
          </w:p>
        </w:tc>
        <w:tc>
          <w:tcPr>
            <w:tcW w:w="0" w:type="auto"/>
          </w:tcPr>
          <w:p w:rsidRPr="007456D5" w:rsidR="007150A7" w:rsidP="007D25C5" w:rsidRDefault="00E32419" w14:paraId="69CD193B" w14:textId="7EFFCAE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Gegevens over de kwaliteit van de uitvoering van transacties op de betrokken plaats van uitvoering</w:t>
            </w:r>
          </w:p>
        </w:tc>
        <w:tc>
          <w:tcPr>
            <w:tcW w:w="0" w:type="auto"/>
          </w:tcPr>
          <w:p w:rsidRPr="007456D5" w:rsidR="007150A7" w:rsidP="007D25C5" w:rsidRDefault="00E32419" w14:paraId="7C4DE7B0" w14:textId="073FA8CA">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eerste lid, van de richtlijn markten voor financiële instrumenten 2014</w:t>
            </w:r>
          </w:p>
        </w:tc>
      </w:tr>
      <w:tr w:rsidRPr="007456D5" w:rsidR="00E13A8E" w:rsidTr="00272F0A" w14:paraId="390BE9EA" w14:textId="77777777">
        <w:trPr>
          <w:trHeight w:val="264"/>
        </w:trPr>
        <w:tc>
          <w:tcPr>
            <w:tcW w:w="0" w:type="auto"/>
          </w:tcPr>
          <w:p w:rsidRPr="007456D5" w:rsidR="007150A7" w:rsidP="007D25C5" w:rsidRDefault="007150A7" w14:paraId="452D6312" w14:textId="1E9423B5">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lastRenderedPageBreak/>
              <w:t>4:91c</w:t>
            </w:r>
            <w:r w:rsidRPr="007456D5" w:rsidR="008B35DF">
              <w:rPr>
                <w:rFonts w:ascii="Verdana" w:hAnsi="Verdana" w:cs="Arial"/>
                <w:b/>
                <w:bCs/>
                <w:sz w:val="18"/>
                <w:szCs w:val="18"/>
              </w:rPr>
              <w:t>(5)</w:t>
            </w:r>
          </w:p>
        </w:tc>
        <w:tc>
          <w:tcPr>
            <w:tcW w:w="0" w:type="auto"/>
          </w:tcPr>
          <w:p w:rsidRPr="007456D5" w:rsidR="007150A7" w:rsidP="007D25C5" w:rsidRDefault="00E13A8E" w14:paraId="793E8566" w14:textId="74F7613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Beleggingsonderneming</w:t>
            </w:r>
          </w:p>
        </w:tc>
        <w:tc>
          <w:tcPr>
            <w:tcW w:w="0" w:type="auto"/>
          </w:tcPr>
          <w:p w:rsidRPr="007456D5" w:rsidR="007150A7" w:rsidP="007D25C5" w:rsidRDefault="00E13A8E" w14:paraId="6E908E6A" w14:textId="29A53FDB">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Beslissing om de handel in een financieel instrument en eventueel hiermee verband houdende afgeleide financiële instrumenten op te schorten, te onderbreken of van de handel uit te sluiten</w:t>
            </w:r>
          </w:p>
        </w:tc>
        <w:tc>
          <w:tcPr>
            <w:tcW w:w="0" w:type="auto"/>
          </w:tcPr>
          <w:p w:rsidRPr="007456D5" w:rsidR="007150A7" w:rsidP="007D25C5" w:rsidRDefault="00E13A8E" w14:paraId="3AB47C28" w14:textId="72669781">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vierde lid, van de richtlijn markten voor financiële instrumenten 2014</w:t>
            </w:r>
          </w:p>
        </w:tc>
      </w:tr>
      <w:tr w:rsidRPr="007456D5" w:rsidR="00E13A8E" w:rsidTr="00272F0A" w14:paraId="2E357C08" w14:textId="77777777">
        <w:trPr>
          <w:trHeight w:val="264"/>
        </w:trPr>
        <w:tc>
          <w:tcPr>
            <w:tcW w:w="0" w:type="auto"/>
          </w:tcPr>
          <w:p w:rsidRPr="007456D5" w:rsidR="007150A7" w:rsidP="007D25C5" w:rsidRDefault="007150A7" w14:paraId="1919989E" w14:textId="7452B2DA">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4:91ea</w:t>
            </w:r>
          </w:p>
        </w:tc>
        <w:tc>
          <w:tcPr>
            <w:tcW w:w="0" w:type="auto"/>
          </w:tcPr>
          <w:p w:rsidRPr="007456D5" w:rsidR="007150A7" w:rsidP="007D25C5" w:rsidRDefault="00A165C4" w14:paraId="06009A60" w14:textId="50E948B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Uitgevende instelling</w:t>
            </w:r>
          </w:p>
        </w:tc>
        <w:tc>
          <w:tcPr>
            <w:tcW w:w="0" w:type="auto"/>
          </w:tcPr>
          <w:p w:rsidRPr="007456D5" w:rsidR="007150A7" w:rsidP="007D25C5" w:rsidRDefault="00A165C4" w14:paraId="602F1875" w14:textId="7B89CB13">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 bedoeld in het eerste lid, onderdeel c, periodieke verslaggeving of de wettelijk voorgeschreven informatie met betrekking tot de uitgevende instellingen op de mkb-groeimarkt</w:t>
            </w:r>
          </w:p>
        </w:tc>
        <w:tc>
          <w:tcPr>
            <w:tcW w:w="0" w:type="auto"/>
          </w:tcPr>
          <w:p w:rsidRPr="007456D5" w:rsidR="007150A7" w:rsidP="007D25C5" w:rsidRDefault="00A165C4" w14:paraId="09CA3A91" w14:textId="2B0FF74F">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eerste lid, van de richtlijn markten voor financiële instrumenten 2014</w:t>
            </w:r>
          </w:p>
        </w:tc>
      </w:tr>
      <w:tr w:rsidRPr="007456D5" w:rsidR="00E13A8E" w:rsidTr="00272F0A" w14:paraId="6289DD41" w14:textId="77777777">
        <w:trPr>
          <w:trHeight w:val="264"/>
        </w:trPr>
        <w:tc>
          <w:tcPr>
            <w:tcW w:w="0" w:type="auto"/>
          </w:tcPr>
          <w:p w:rsidRPr="007456D5" w:rsidR="007150A7" w:rsidP="007D25C5" w:rsidRDefault="007150A7" w14:paraId="54E410F4" w14:textId="2DB08CEE">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5:25ka</w:t>
            </w:r>
            <w:r w:rsidRPr="007456D5" w:rsidR="00F97F72">
              <w:rPr>
                <w:rFonts w:ascii="Verdana" w:hAnsi="Verdana" w:cs="Arial"/>
                <w:b/>
                <w:bCs/>
                <w:sz w:val="18"/>
                <w:szCs w:val="18"/>
              </w:rPr>
              <w:t>(6)</w:t>
            </w:r>
          </w:p>
        </w:tc>
        <w:tc>
          <w:tcPr>
            <w:tcW w:w="0" w:type="auto"/>
          </w:tcPr>
          <w:p w:rsidRPr="007456D5" w:rsidR="007150A7" w:rsidP="007D25C5" w:rsidRDefault="00F97F72" w14:paraId="4C6B3682" w14:textId="262ECEA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Uitgevende instelling</w:t>
            </w:r>
          </w:p>
        </w:tc>
        <w:tc>
          <w:tcPr>
            <w:tcW w:w="0" w:type="auto"/>
          </w:tcPr>
          <w:p w:rsidRPr="007456D5" w:rsidR="007150A7" w:rsidP="007D25C5" w:rsidRDefault="00F97F72" w14:paraId="4816F936" w14:textId="1EC7D4D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Stemmingsresultaten</w:t>
            </w:r>
          </w:p>
        </w:tc>
        <w:tc>
          <w:tcPr>
            <w:tcW w:w="0" w:type="auto"/>
          </w:tcPr>
          <w:p w:rsidRPr="007456D5" w:rsidR="007150A7" w:rsidP="007D25C5" w:rsidRDefault="00F97F72" w14:paraId="34635A3E" w14:textId="5F8E5D69">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 xml:space="preserve">14 </w:t>
            </w:r>
            <w:proofErr w:type="spellStart"/>
            <w:r w:rsidRPr="007456D5">
              <w:rPr>
                <w:rFonts w:ascii="Verdana" w:hAnsi="Verdana"/>
                <w:sz w:val="18"/>
                <w:szCs w:val="18"/>
              </w:rPr>
              <w:t>quater</w:t>
            </w:r>
            <w:proofErr w:type="spellEnd"/>
            <w:r w:rsidRPr="007456D5">
              <w:rPr>
                <w:rFonts w:ascii="Verdana" w:hAnsi="Verdana"/>
                <w:sz w:val="18"/>
                <w:szCs w:val="18"/>
              </w:rPr>
              <w:t>, eerste lid, van de richtlijn aandeelhoudersrechten</w:t>
            </w:r>
          </w:p>
        </w:tc>
      </w:tr>
      <w:tr w:rsidRPr="007456D5" w:rsidR="00E13A8E" w:rsidTr="00272F0A" w14:paraId="2559C07F" w14:textId="77777777">
        <w:trPr>
          <w:trHeight w:val="264"/>
        </w:trPr>
        <w:tc>
          <w:tcPr>
            <w:tcW w:w="0" w:type="auto"/>
          </w:tcPr>
          <w:p w:rsidRPr="007456D5" w:rsidR="007150A7" w:rsidP="007D25C5" w:rsidRDefault="007150A7" w14:paraId="5DF9F38F" w14:textId="3579F982">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5:25m</w:t>
            </w:r>
            <w:r w:rsidRPr="007456D5" w:rsidR="00F97F72">
              <w:rPr>
                <w:rFonts w:ascii="Verdana" w:hAnsi="Verdana" w:cs="Arial"/>
                <w:b/>
                <w:bCs/>
                <w:sz w:val="18"/>
                <w:szCs w:val="18"/>
              </w:rPr>
              <w:t>(</w:t>
            </w:r>
            <w:r w:rsidR="00FF6D44">
              <w:rPr>
                <w:rFonts w:ascii="Verdana" w:hAnsi="Verdana" w:cs="Arial"/>
                <w:b/>
                <w:bCs/>
                <w:sz w:val="18"/>
                <w:szCs w:val="18"/>
              </w:rPr>
              <w:t>10</w:t>
            </w:r>
            <w:r w:rsidRPr="007456D5" w:rsidR="00F97F72">
              <w:rPr>
                <w:rFonts w:ascii="Verdana" w:hAnsi="Verdana" w:cs="Arial"/>
                <w:b/>
                <w:bCs/>
                <w:sz w:val="18"/>
                <w:szCs w:val="18"/>
              </w:rPr>
              <w:t>)</w:t>
            </w:r>
          </w:p>
        </w:tc>
        <w:tc>
          <w:tcPr>
            <w:tcW w:w="0" w:type="auto"/>
          </w:tcPr>
          <w:p w:rsidRPr="007456D5" w:rsidR="007150A7" w:rsidP="007D25C5" w:rsidRDefault="002E031B" w14:paraId="590192D5" w14:textId="2C21207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Uitgevende instelling</w:t>
            </w:r>
          </w:p>
        </w:tc>
        <w:tc>
          <w:tcPr>
            <w:tcW w:w="0" w:type="auto"/>
          </w:tcPr>
          <w:p w:rsidRPr="007456D5" w:rsidR="007150A7" w:rsidP="007D25C5" w:rsidRDefault="002E031B" w14:paraId="2C6AE613" w14:textId="3A3E04B5">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Gereglementeerde informatie en het persbericht, bedoeld in het derde lid</w:t>
            </w:r>
          </w:p>
        </w:tc>
        <w:tc>
          <w:tcPr>
            <w:tcW w:w="0" w:type="auto"/>
          </w:tcPr>
          <w:p w:rsidRPr="007456D5" w:rsidR="007150A7" w:rsidP="007D25C5" w:rsidRDefault="002E031B" w14:paraId="1C092193" w14:textId="7FAAB7AC">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23 bis, eerste lid, van de richtlijn transparantie</w:t>
            </w:r>
          </w:p>
        </w:tc>
      </w:tr>
      <w:tr w:rsidRPr="007456D5" w:rsidR="00E13A8E" w:rsidTr="00272F0A" w14:paraId="76527A8B" w14:textId="77777777">
        <w:trPr>
          <w:trHeight w:val="264"/>
        </w:trPr>
        <w:tc>
          <w:tcPr>
            <w:tcW w:w="0" w:type="auto"/>
          </w:tcPr>
          <w:p w:rsidRPr="007456D5" w:rsidR="007150A7" w:rsidP="007D25C5" w:rsidRDefault="007150A7" w14:paraId="7F3A9589" w14:textId="5B1B91BD">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5:32g</w:t>
            </w:r>
            <w:r w:rsidRPr="007456D5" w:rsidR="00F97F72">
              <w:rPr>
                <w:rFonts w:ascii="Verdana" w:hAnsi="Verdana" w:cs="Arial"/>
                <w:b/>
                <w:bCs/>
                <w:sz w:val="18"/>
                <w:szCs w:val="18"/>
              </w:rPr>
              <w:t>(5)</w:t>
            </w:r>
          </w:p>
        </w:tc>
        <w:tc>
          <w:tcPr>
            <w:tcW w:w="0" w:type="auto"/>
          </w:tcPr>
          <w:p w:rsidRPr="007456D5" w:rsidR="007150A7" w:rsidP="007D25C5" w:rsidRDefault="002F58AD" w14:paraId="05879AF7" w14:textId="71E5C51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Marktexploitant</w:t>
            </w:r>
          </w:p>
        </w:tc>
        <w:tc>
          <w:tcPr>
            <w:tcW w:w="0" w:type="auto"/>
          </w:tcPr>
          <w:p w:rsidRPr="007456D5" w:rsidR="007150A7" w:rsidP="007D25C5" w:rsidRDefault="002F58AD" w14:paraId="3E50A250" w14:textId="38323D42">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Beslissing om de handel in een financieel instrument en eventueel hiermee verband houdende afgeleide financiële instrumenten op te schorten, te onderbreken of van de handel uit te sluiten</w:t>
            </w:r>
          </w:p>
        </w:tc>
        <w:tc>
          <w:tcPr>
            <w:tcW w:w="0" w:type="auto"/>
          </w:tcPr>
          <w:p w:rsidRPr="007456D5" w:rsidR="007150A7" w:rsidP="007D25C5" w:rsidRDefault="002F58AD" w14:paraId="366FB3D3" w14:textId="1CF9A3B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vierde lid, van de richtlijn markten voor financiële instrumenten 2014</w:t>
            </w:r>
          </w:p>
        </w:tc>
      </w:tr>
      <w:tr w:rsidRPr="007456D5" w:rsidR="00E13A8E" w:rsidTr="00272F0A" w14:paraId="78A344D3" w14:textId="77777777">
        <w:trPr>
          <w:trHeight w:val="264"/>
        </w:trPr>
        <w:tc>
          <w:tcPr>
            <w:tcW w:w="0" w:type="auto"/>
          </w:tcPr>
          <w:p w:rsidRPr="007456D5" w:rsidR="007150A7" w:rsidP="007D25C5" w:rsidRDefault="007150A7" w14:paraId="55341EFB" w14:textId="0FC7346A">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5:32l</w:t>
            </w:r>
            <w:r w:rsidRPr="007456D5" w:rsidR="001F364E">
              <w:rPr>
                <w:rFonts w:ascii="Verdana" w:hAnsi="Verdana" w:cs="Arial"/>
                <w:b/>
                <w:bCs/>
                <w:sz w:val="18"/>
                <w:szCs w:val="18"/>
              </w:rPr>
              <w:t>(5)</w:t>
            </w:r>
          </w:p>
        </w:tc>
        <w:tc>
          <w:tcPr>
            <w:tcW w:w="0" w:type="auto"/>
          </w:tcPr>
          <w:p w:rsidRPr="007456D5" w:rsidR="007150A7" w:rsidP="007D25C5" w:rsidRDefault="002F58AD" w14:paraId="4B956005" w14:textId="202CDC9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Marktexploitant</w:t>
            </w:r>
          </w:p>
        </w:tc>
        <w:tc>
          <w:tcPr>
            <w:tcW w:w="0" w:type="auto"/>
          </w:tcPr>
          <w:p w:rsidRPr="007456D5" w:rsidR="007150A7" w:rsidP="007D25C5" w:rsidRDefault="002F58AD" w14:paraId="3C917BAE" w14:textId="1BDE9A85">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 bedoeld in het eerste lid, onderdeel c</w:t>
            </w:r>
          </w:p>
        </w:tc>
        <w:tc>
          <w:tcPr>
            <w:tcW w:w="0" w:type="auto"/>
          </w:tcPr>
          <w:p w:rsidRPr="007456D5" w:rsidR="007150A7" w:rsidP="007D25C5" w:rsidRDefault="002F58AD" w14:paraId="34429036" w14:textId="48ADE734">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eerste lid, van de richtlijn markten voor financiële instrumenten 2014</w:t>
            </w:r>
          </w:p>
        </w:tc>
      </w:tr>
      <w:tr w:rsidRPr="007456D5" w:rsidR="00E13A8E" w:rsidTr="00272F0A" w14:paraId="605D8D50" w14:textId="77777777">
        <w:trPr>
          <w:trHeight w:val="264"/>
        </w:trPr>
        <w:tc>
          <w:tcPr>
            <w:tcW w:w="0" w:type="auto"/>
          </w:tcPr>
          <w:p w:rsidRPr="007456D5" w:rsidR="007150A7" w:rsidP="007D25C5" w:rsidRDefault="007150A7" w14:paraId="2A94515C" w14:textId="4560F96F">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5:74</w:t>
            </w:r>
            <w:r w:rsidRPr="007456D5" w:rsidR="001F364E">
              <w:rPr>
                <w:rFonts w:ascii="Verdana" w:hAnsi="Verdana" w:cs="Arial"/>
                <w:b/>
                <w:bCs/>
                <w:sz w:val="18"/>
                <w:szCs w:val="18"/>
              </w:rPr>
              <w:t>(5)</w:t>
            </w:r>
          </w:p>
        </w:tc>
        <w:tc>
          <w:tcPr>
            <w:tcW w:w="0" w:type="auto"/>
          </w:tcPr>
          <w:p w:rsidRPr="007456D5" w:rsidR="004A0882" w:rsidP="007D25C5" w:rsidRDefault="00131E07" w14:paraId="1701EFE5" w14:textId="47DE2F2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Bieder</w:t>
            </w:r>
            <w:r w:rsidR="004A0882">
              <w:rPr>
                <w:rFonts w:ascii="Verdana" w:hAnsi="Verdana" w:cs="Arial"/>
                <w:sz w:val="18"/>
                <w:szCs w:val="18"/>
              </w:rPr>
              <w:t xml:space="preserve"> of de doelvennootschap</w:t>
            </w:r>
          </w:p>
        </w:tc>
        <w:tc>
          <w:tcPr>
            <w:tcW w:w="0" w:type="auto"/>
          </w:tcPr>
          <w:p w:rsidRPr="007456D5" w:rsidR="007150A7" w:rsidP="007D25C5" w:rsidRDefault="00131E07" w14:paraId="405CE3E1" w14:textId="1CA0BDA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Biedingsbericht</w:t>
            </w:r>
            <w:r w:rsidR="004A0882">
              <w:rPr>
                <w:rFonts w:ascii="Verdana" w:hAnsi="Verdana" w:cs="Arial"/>
                <w:sz w:val="18"/>
                <w:szCs w:val="18"/>
              </w:rPr>
              <w:t xml:space="preserve"> of </w:t>
            </w:r>
            <w:r w:rsidRPr="004A0882" w:rsidR="004A0882">
              <w:rPr>
                <w:rFonts w:ascii="Verdana" w:hAnsi="Verdana" w:cs="Arial"/>
                <w:sz w:val="18"/>
                <w:szCs w:val="18"/>
              </w:rPr>
              <w:t>de keuze, bedoeld in het derde lid</w:t>
            </w:r>
          </w:p>
        </w:tc>
        <w:tc>
          <w:tcPr>
            <w:tcW w:w="0" w:type="auto"/>
          </w:tcPr>
          <w:p w:rsidRPr="007456D5" w:rsidR="007150A7" w:rsidP="007D25C5" w:rsidRDefault="00131E07" w14:paraId="469F17B6" w14:textId="0DB2E304">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16 bis, eerste lid, van de richtlijn openbaar overnamebod</w:t>
            </w:r>
          </w:p>
        </w:tc>
      </w:tr>
      <w:tr w:rsidRPr="007456D5" w:rsidR="00E13A8E" w:rsidTr="00272F0A" w14:paraId="4DA91613" w14:textId="77777777">
        <w:trPr>
          <w:trHeight w:val="264"/>
        </w:trPr>
        <w:tc>
          <w:tcPr>
            <w:tcW w:w="0" w:type="auto"/>
          </w:tcPr>
          <w:p w:rsidRPr="007456D5" w:rsidR="007150A7" w:rsidP="007D25C5" w:rsidRDefault="007150A7" w14:paraId="00031AFF" w14:textId="521FCB83">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5:78</w:t>
            </w:r>
            <w:r w:rsidRPr="007456D5" w:rsidR="00C74321">
              <w:rPr>
                <w:rFonts w:ascii="Verdana" w:hAnsi="Verdana" w:cs="Arial"/>
                <w:b/>
                <w:bCs/>
                <w:sz w:val="18"/>
                <w:szCs w:val="18"/>
              </w:rPr>
              <w:t>(2)</w:t>
            </w:r>
          </w:p>
        </w:tc>
        <w:tc>
          <w:tcPr>
            <w:tcW w:w="0" w:type="auto"/>
          </w:tcPr>
          <w:p w:rsidRPr="007456D5" w:rsidR="007150A7" w:rsidP="007D25C5" w:rsidRDefault="00C74321" w14:paraId="122F4F74" w14:textId="4CFDA4B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Bieder</w:t>
            </w:r>
          </w:p>
        </w:tc>
        <w:tc>
          <w:tcPr>
            <w:tcW w:w="0" w:type="auto"/>
          </w:tcPr>
          <w:p w:rsidRPr="007456D5" w:rsidR="007150A7" w:rsidP="007D25C5" w:rsidRDefault="00C74321" w14:paraId="3C07CC11" w14:textId="5A7968BF">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 xml:space="preserve">Goedgekeurde biedingsbericht of een </w:t>
            </w:r>
            <w:r w:rsidRPr="007456D5">
              <w:rPr>
                <w:rFonts w:ascii="Verdana" w:hAnsi="Verdana"/>
                <w:sz w:val="18"/>
                <w:szCs w:val="18"/>
              </w:rPr>
              <w:lastRenderedPageBreak/>
              <w:t>openbare mededeling dat hij geen openbaar bod zal uitbrengen</w:t>
            </w:r>
          </w:p>
        </w:tc>
        <w:tc>
          <w:tcPr>
            <w:tcW w:w="0" w:type="auto"/>
          </w:tcPr>
          <w:p w:rsidRPr="007456D5" w:rsidR="007150A7" w:rsidP="007D25C5" w:rsidRDefault="00C74321" w14:paraId="122C6EF3" w14:textId="0B95B976">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lastRenderedPageBreak/>
              <w:t xml:space="preserve">16 bis, eerste lid, van </w:t>
            </w:r>
            <w:r w:rsidRPr="007456D5">
              <w:rPr>
                <w:rFonts w:ascii="Verdana" w:hAnsi="Verdana"/>
                <w:sz w:val="18"/>
                <w:szCs w:val="18"/>
              </w:rPr>
              <w:lastRenderedPageBreak/>
              <w:t>de richtlijn openbaar overnamebod</w:t>
            </w:r>
          </w:p>
        </w:tc>
      </w:tr>
      <w:tr w:rsidRPr="007456D5" w:rsidR="00E13A8E" w:rsidTr="00272F0A" w14:paraId="1FF7F4A7" w14:textId="77777777">
        <w:trPr>
          <w:trHeight w:val="247"/>
        </w:trPr>
        <w:tc>
          <w:tcPr>
            <w:tcW w:w="0" w:type="auto"/>
          </w:tcPr>
          <w:p w:rsidRPr="007456D5" w:rsidR="007150A7" w:rsidP="007D25C5" w:rsidRDefault="007150A7" w14:paraId="6AC0C0C6" w14:textId="4208B8C8">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lastRenderedPageBreak/>
              <w:t>5:87c</w:t>
            </w:r>
            <w:r w:rsidRPr="007456D5" w:rsidR="00C74321">
              <w:rPr>
                <w:rFonts w:ascii="Verdana" w:hAnsi="Verdana" w:cs="Arial"/>
                <w:b/>
                <w:bCs/>
                <w:sz w:val="18"/>
                <w:szCs w:val="18"/>
              </w:rPr>
              <w:t>(7)</w:t>
            </w:r>
          </w:p>
        </w:tc>
        <w:tc>
          <w:tcPr>
            <w:tcW w:w="0" w:type="auto"/>
          </w:tcPr>
          <w:p w:rsidRPr="007456D5" w:rsidR="007150A7" w:rsidP="007D25C5" w:rsidRDefault="00C74321" w14:paraId="7FB05F04" w14:textId="2C386856">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Institutionele belegger of vermogensbeheerder</w:t>
            </w:r>
          </w:p>
        </w:tc>
        <w:tc>
          <w:tcPr>
            <w:tcW w:w="0" w:type="auto"/>
          </w:tcPr>
          <w:p w:rsidRPr="007456D5" w:rsidR="007150A7" w:rsidP="007D25C5" w:rsidRDefault="00C74321" w14:paraId="2C3A1CA8" w14:textId="7EC90D98">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Betrokkenheidsbeleid en de informatie, bedoeld in het derde en vierde lid</w:t>
            </w:r>
          </w:p>
        </w:tc>
        <w:tc>
          <w:tcPr>
            <w:tcW w:w="0" w:type="auto"/>
          </w:tcPr>
          <w:p w:rsidRPr="007456D5" w:rsidR="007150A7" w:rsidP="007D25C5" w:rsidRDefault="00C74321" w14:paraId="4C6A2AC7" w14:textId="4636034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 xml:space="preserve">14 </w:t>
            </w:r>
            <w:proofErr w:type="spellStart"/>
            <w:r w:rsidRPr="007456D5">
              <w:rPr>
                <w:rFonts w:ascii="Verdana" w:hAnsi="Verdana"/>
                <w:sz w:val="18"/>
                <w:szCs w:val="18"/>
              </w:rPr>
              <w:t>quater</w:t>
            </w:r>
            <w:proofErr w:type="spellEnd"/>
            <w:r w:rsidRPr="007456D5">
              <w:rPr>
                <w:rFonts w:ascii="Verdana" w:hAnsi="Verdana"/>
                <w:sz w:val="18"/>
                <w:szCs w:val="18"/>
              </w:rPr>
              <w:t>, eerste lid, van de richtlijn aandeelhoudersrechten</w:t>
            </w:r>
          </w:p>
        </w:tc>
      </w:tr>
      <w:tr w:rsidRPr="007456D5" w:rsidR="00E13A8E" w:rsidTr="00272F0A" w14:paraId="20A11F58" w14:textId="77777777">
        <w:trPr>
          <w:trHeight w:val="264"/>
        </w:trPr>
        <w:tc>
          <w:tcPr>
            <w:tcW w:w="0" w:type="auto"/>
          </w:tcPr>
          <w:p w:rsidRPr="007456D5" w:rsidR="007150A7" w:rsidP="007D25C5" w:rsidRDefault="007150A7" w14:paraId="067174C7" w14:textId="7C3F0990">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5:87d</w:t>
            </w:r>
            <w:r w:rsidRPr="007456D5" w:rsidR="00C74321">
              <w:rPr>
                <w:rFonts w:ascii="Verdana" w:hAnsi="Verdana" w:cs="Arial"/>
                <w:b/>
                <w:bCs/>
                <w:sz w:val="18"/>
                <w:szCs w:val="18"/>
              </w:rPr>
              <w:t>(6)</w:t>
            </w:r>
          </w:p>
        </w:tc>
        <w:tc>
          <w:tcPr>
            <w:tcW w:w="0" w:type="auto"/>
          </w:tcPr>
          <w:p w:rsidRPr="007456D5" w:rsidR="007150A7" w:rsidP="007D25C5" w:rsidRDefault="00690DA0" w14:paraId="49999C0E" w14:textId="24699A0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Institutionele belegger</w:t>
            </w:r>
          </w:p>
        </w:tc>
        <w:tc>
          <w:tcPr>
            <w:tcW w:w="0" w:type="auto"/>
          </w:tcPr>
          <w:p w:rsidRPr="007456D5" w:rsidR="007150A7" w:rsidP="007D25C5" w:rsidRDefault="00690DA0" w14:paraId="2504B3E8" w14:textId="587619BA">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 bedoeld in het eerste tot en met derde lid</w:t>
            </w:r>
          </w:p>
        </w:tc>
        <w:tc>
          <w:tcPr>
            <w:tcW w:w="0" w:type="auto"/>
          </w:tcPr>
          <w:p w:rsidRPr="007456D5" w:rsidR="007150A7" w:rsidP="007D25C5" w:rsidRDefault="00690DA0" w14:paraId="4076978F" w14:textId="41F0248C">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 xml:space="preserve">14 </w:t>
            </w:r>
            <w:proofErr w:type="spellStart"/>
            <w:r w:rsidRPr="007456D5">
              <w:rPr>
                <w:rFonts w:ascii="Verdana" w:hAnsi="Verdana"/>
                <w:sz w:val="18"/>
                <w:szCs w:val="18"/>
              </w:rPr>
              <w:t>quater</w:t>
            </w:r>
            <w:proofErr w:type="spellEnd"/>
            <w:r w:rsidRPr="007456D5">
              <w:rPr>
                <w:rFonts w:ascii="Verdana" w:hAnsi="Verdana"/>
                <w:sz w:val="18"/>
                <w:szCs w:val="18"/>
              </w:rPr>
              <w:t>, eerste lid, van de richtlijn aandeelhoudersrechten</w:t>
            </w:r>
          </w:p>
        </w:tc>
      </w:tr>
      <w:tr w:rsidRPr="007456D5" w:rsidR="00E13A8E" w:rsidTr="00272F0A" w14:paraId="550187C7" w14:textId="77777777">
        <w:trPr>
          <w:trHeight w:val="264"/>
        </w:trPr>
        <w:tc>
          <w:tcPr>
            <w:tcW w:w="0" w:type="auto"/>
          </w:tcPr>
          <w:p w:rsidRPr="007456D5" w:rsidR="007150A7" w:rsidP="007D25C5" w:rsidRDefault="007150A7" w14:paraId="603C3701" w14:textId="0FFA6842">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5:87f</w:t>
            </w:r>
            <w:r w:rsidRPr="007456D5" w:rsidR="00C74321">
              <w:rPr>
                <w:rFonts w:ascii="Verdana" w:hAnsi="Verdana" w:cs="Arial"/>
                <w:b/>
                <w:bCs/>
                <w:sz w:val="18"/>
                <w:szCs w:val="18"/>
              </w:rPr>
              <w:t>(7)</w:t>
            </w:r>
          </w:p>
        </w:tc>
        <w:tc>
          <w:tcPr>
            <w:tcW w:w="0" w:type="auto"/>
          </w:tcPr>
          <w:p w:rsidRPr="007456D5" w:rsidR="007150A7" w:rsidP="007D25C5" w:rsidRDefault="00533FDF" w14:paraId="0116F882" w14:textId="6D180B51">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Stemadviseur</w:t>
            </w:r>
          </w:p>
        </w:tc>
        <w:tc>
          <w:tcPr>
            <w:tcW w:w="0" w:type="auto"/>
          </w:tcPr>
          <w:p w:rsidRPr="007456D5" w:rsidR="007150A7" w:rsidP="007D25C5" w:rsidRDefault="00533FDF" w14:paraId="69485037" w14:textId="4870F764">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Informatie, bedoeld in het eerste en tweede lid</w:t>
            </w:r>
          </w:p>
        </w:tc>
        <w:tc>
          <w:tcPr>
            <w:tcW w:w="0" w:type="auto"/>
          </w:tcPr>
          <w:p w:rsidRPr="007456D5" w:rsidR="007150A7" w:rsidP="007D25C5" w:rsidRDefault="005D1791" w14:paraId="163A48A4" w14:textId="4DEECD31">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vijfde lid, van de richtlijn markten voor financiële instrumenten 2014</w:t>
            </w:r>
          </w:p>
        </w:tc>
      </w:tr>
      <w:tr w:rsidRPr="007456D5" w:rsidR="00A165C4" w:rsidTr="00272F0A" w14:paraId="7D2503EC" w14:textId="77777777">
        <w:trPr>
          <w:trHeight w:val="264"/>
        </w:trPr>
        <w:tc>
          <w:tcPr>
            <w:tcW w:w="0" w:type="auto"/>
          </w:tcPr>
          <w:p w:rsidRPr="007456D5" w:rsidR="007150A7" w:rsidP="007D25C5" w:rsidRDefault="007150A7" w14:paraId="79645740" w14:textId="6DED904C">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5:89f</w:t>
            </w:r>
            <w:r w:rsidRPr="007456D5" w:rsidR="00C74321">
              <w:rPr>
                <w:rFonts w:ascii="Verdana" w:hAnsi="Verdana" w:cs="Arial"/>
                <w:b/>
                <w:bCs/>
                <w:sz w:val="18"/>
                <w:szCs w:val="18"/>
              </w:rPr>
              <w:t>(6)</w:t>
            </w:r>
          </w:p>
        </w:tc>
        <w:tc>
          <w:tcPr>
            <w:tcW w:w="0" w:type="auto"/>
          </w:tcPr>
          <w:p w:rsidRPr="007456D5" w:rsidR="007150A7" w:rsidP="007D25C5" w:rsidRDefault="0052423F" w14:paraId="2DD89159" w14:textId="77777777">
            <w:pPr>
              <w:widowControl w:val="0"/>
              <w:tabs>
                <w:tab w:val="num" w:pos="720"/>
              </w:tabs>
              <w:spacing w:line="240" w:lineRule="exact"/>
              <w:contextualSpacing/>
              <w:rPr>
                <w:rFonts w:ascii="Verdana" w:hAnsi="Verdana"/>
                <w:sz w:val="18"/>
                <w:szCs w:val="18"/>
              </w:rPr>
            </w:pPr>
            <w:r w:rsidRPr="007456D5">
              <w:rPr>
                <w:rFonts w:ascii="Verdana" w:hAnsi="Verdana"/>
                <w:sz w:val="18"/>
                <w:szCs w:val="18"/>
              </w:rPr>
              <w:t>Beleggingsonderneming of marktexploitant die een in Nederland gelegen handelsplatform exploiteert of beheert waarop wordt gehandeld in grondstoffenderivaten, emissierechten of van emissierechten afgeleide instrumenten</w:t>
            </w:r>
          </w:p>
          <w:p w:rsidRPr="007456D5" w:rsidR="0052423F" w:rsidP="007D25C5" w:rsidRDefault="0052423F" w14:paraId="197429B0" w14:textId="2C59BC4E">
            <w:pPr>
              <w:widowControl w:val="0"/>
              <w:tabs>
                <w:tab w:val="num" w:pos="720"/>
              </w:tabs>
              <w:spacing w:line="240" w:lineRule="exact"/>
              <w:contextualSpacing/>
              <w:rPr>
                <w:rFonts w:ascii="Verdana" w:hAnsi="Verdana" w:cs="Arial"/>
                <w:sz w:val="18"/>
                <w:szCs w:val="18"/>
              </w:rPr>
            </w:pPr>
          </w:p>
        </w:tc>
        <w:tc>
          <w:tcPr>
            <w:tcW w:w="0" w:type="auto"/>
          </w:tcPr>
          <w:p w:rsidRPr="007456D5" w:rsidR="007150A7" w:rsidP="007D25C5" w:rsidRDefault="005C698A" w14:paraId="18700D19" w14:textId="30C7A7B8">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Rapport van de geaggregeerde posities van de personen die in financiële instrumenten op het handelsplatform handelen</w:t>
            </w:r>
          </w:p>
        </w:tc>
        <w:tc>
          <w:tcPr>
            <w:tcW w:w="0" w:type="auto"/>
          </w:tcPr>
          <w:p w:rsidRPr="007456D5" w:rsidR="007150A7" w:rsidP="007D25C5" w:rsidRDefault="0052423F" w14:paraId="1DB3287D" w14:textId="09CF0BCD">
            <w:pPr>
              <w:widowControl w:val="0"/>
              <w:tabs>
                <w:tab w:val="num" w:pos="720"/>
              </w:tabs>
              <w:spacing w:line="240" w:lineRule="exact"/>
              <w:contextualSpacing/>
              <w:rPr>
                <w:rFonts w:ascii="Verdana" w:hAnsi="Verdana" w:cs="Arial"/>
                <w:sz w:val="18"/>
                <w:szCs w:val="18"/>
              </w:rPr>
            </w:pPr>
            <w:r w:rsidRPr="007456D5">
              <w:rPr>
                <w:rFonts w:ascii="Verdana" w:hAnsi="Verdana"/>
                <w:sz w:val="18"/>
                <w:szCs w:val="18"/>
              </w:rPr>
              <w:t>87 bis, vijfde lid, van de richtlijn markten voor financiële instrumenten 2014</w:t>
            </w:r>
          </w:p>
        </w:tc>
      </w:tr>
    </w:tbl>
    <w:p w:rsidRPr="007456D5" w:rsidR="00FB3BF0" w:rsidP="007D25C5" w:rsidRDefault="00FB3BF0" w14:paraId="698147B7" w14:textId="77777777">
      <w:pPr>
        <w:widowControl w:val="0"/>
        <w:tabs>
          <w:tab w:val="num" w:pos="720"/>
        </w:tabs>
        <w:spacing w:line="240" w:lineRule="exact"/>
        <w:contextualSpacing/>
        <w:rPr>
          <w:rFonts w:ascii="Verdana" w:hAnsi="Verdana" w:cs="Arial"/>
          <w:sz w:val="18"/>
          <w:szCs w:val="18"/>
        </w:rPr>
      </w:pPr>
    </w:p>
    <w:p w:rsidRPr="007456D5" w:rsidR="009C680C" w:rsidP="001A189C" w:rsidRDefault="00531591" w14:paraId="5DC1F4C4" w14:textId="2BEEDFDE">
      <w:pPr>
        <w:widowControl w:val="0"/>
        <w:spacing w:line="240" w:lineRule="atLeast"/>
        <w:contextualSpacing/>
        <w:rPr>
          <w:rFonts w:ascii="Verdana" w:hAnsi="Verdana"/>
          <w:i/>
          <w:iCs/>
          <w:sz w:val="18"/>
          <w:szCs w:val="18"/>
        </w:rPr>
      </w:pPr>
      <w:r w:rsidRPr="007456D5">
        <w:rPr>
          <w:rFonts w:ascii="Verdana" w:hAnsi="Verdana"/>
          <w:sz w:val="18"/>
          <w:szCs w:val="18"/>
        </w:rPr>
        <w:t>W</w:t>
      </w:r>
      <w:r w:rsidRPr="007456D5" w:rsidR="009C680C">
        <w:rPr>
          <w:rFonts w:ascii="Verdana" w:hAnsi="Verdana"/>
          <w:sz w:val="18"/>
          <w:szCs w:val="18"/>
        </w:rPr>
        <w:t xml:space="preserve"> </w:t>
      </w:r>
      <w:r w:rsidRPr="007456D5" w:rsidR="009C680C">
        <w:rPr>
          <w:rFonts w:ascii="Verdana" w:hAnsi="Verdana"/>
          <w:i/>
          <w:iCs/>
          <w:sz w:val="18"/>
          <w:szCs w:val="18"/>
        </w:rPr>
        <w:t>(artikel 5:25o)</w:t>
      </w:r>
    </w:p>
    <w:p w:rsidRPr="007456D5" w:rsidR="009C680C" w:rsidP="001A189C" w:rsidRDefault="009C680C" w14:paraId="352C877A" w14:textId="77777777">
      <w:pPr>
        <w:widowControl w:val="0"/>
        <w:spacing w:line="240" w:lineRule="atLeast"/>
        <w:contextualSpacing/>
        <w:rPr>
          <w:rFonts w:ascii="Verdana" w:hAnsi="Verdana"/>
          <w:sz w:val="18"/>
          <w:szCs w:val="18"/>
        </w:rPr>
      </w:pPr>
    </w:p>
    <w:p w:rsidRPr="007456D5" w:rsidR="009C680C" w:rsidP="001A189C" w:rsidRDefault="009C680C" w14:paraId="7C65A1B3" w14:textId="75AC7087">
      <w:pPr>
        <w:widowControl w:val="0"/>
        <w:spacing w:line="240" w:lineRule="atLeast"/>
        <w:contextualSpacing/>
        <w:rPr>
          <w:rFonts w:ascii="Verdana" w:hAnsi="Verdana"/>
          <w:sz w:val="18"/>
          <w:szCs w:val="18"/>
        </w:rPr>
      </w:pPr>
      <w:r w:rsidRPr="007456D5">
        <w:rPr>
          <w:rFonts w:ascii="Verdana" w:hAnsi="Verdana"/>
          <w:sz w:val="18"/>
          <w:szCs w:val="18"/>
        </w:rPr>
        <w:t xml:space="preserve">Door de toevoeging van artikel 2:394a aan het Burgerlijk Wetboek over de jaarverslaggevingsstukken die in ESAP toegankelijk gemaakt moeten worden, </w:t>
      </w:r>
      <w:r w:rsidR="00C7152E">
        <w:rPr>
          <w:rFonts w:ascii="Verdana" w:hAnsi="Verdana"/>
          <w:sz w:val="18"/>
          <w:szCs w:val="18"/>
        </w:rPr>
        <w:t>dient deze ESAP-verplichting</w:t>
      </w:r>
      <w:r w:rsidRPr="007456D5">
        <w:rPr>
          <w:rFonts w:ascii="Verdana" w:hAnsi="Verdana"/>
          <w:sz w:val="18"/>
          <w:szCs w:val="18"/>
        </w:rPr>
        <w:t xml:space="preserve"> ook opgenomen te worden in artikel 5:25o Wft. De AFM blijft net als nu het geval is, de instantie waaraan beursvennootschappen de jaarrekening en het bestuursverslag zenden en de AFM blijft die doorzenden naar de K</w:t>
      </w:r>
      <w:r w:rsidR="001E249E">
        <w:rPr>
          <w:rFonts w:ascii="Verdana" w:hAnsi="Verdana"/>
          <w:sz w:val="18"/>
          <w:szCs w:val="18"/>
        </w:rPr>
        <w:t>vK</w:t>
      </w:r>
      <w:r w:rsidRPr="007456D5">
        <w:rPr>
          <w:rFonts w:ascii="Verdana" w:hAnsi="Verdana"/>
          <w:sz w:val="18"/>
          <w:szCs w:val="18"/>
        </w:rPr>
        <w:t>. De K</w:t>
      </w:r>
      <w:r w:rsidR="001E249E">
        <w:rPr>
          <w:rFonts w:ascii="Verdana" w:hAnsi="Verdana"/>
          <w:sz w:val="18"/>
          <w:szCs w:val="18"/>
        </w:rPr>
        <w:t>vK</w:t>
      </w:r>
      <w:r w:rsidRPr="007456D5">
        <w:rPr>
          <w:rFonts w:ascii="Verdana" w:hAnsi="Verdana"/>
          <w:sz w:val="18"/>
          <w:szCs w:val="18"/>
        </w:rPr>
        <w:t xml:space="preserve"> wordt de </w:t>
      </w:r>
      <w:r w:rsidR="00C7152E">
        <w:rPr>
          <w:rFonts w:ascii="Verdana" w:hAnsi="Verdana"/>
          <w:sz w:val="18"/>
          <w:szCs w:val="18"/>
        </w:rPr>
        <w:t xml:space="preserve">verzamelende </w:t>
      </w:r>
      <w:r w:rsidRPr="007456D5">
        <w:rPr>
          <w:rFonts w:ascii="Verdana" w:hAnsi="Verdana"/>
          <w:sz w:val="18"/>
          <w:szCs w:val="18"/>
        </w:rPr>
        <w:t xml:space="preserve">instantie die </w:t>
      </w:r>
      <w:r w:rsidRPr="007456D5" w:rsidR="00CC483E">
        <w:rPr>
          <w:rFonts w:ascii="Verdana" w:hAnsi="Verdana"/>
          <w:sz w:val="18"/>
          <w:szCs w:val="18"/>
        </w:rPr>
        <w:t xml:space="preserve">vervolgens de </w:t>
      </w:r>
      <w:r w:rsidRPr="007456D5">
        <w:rPr>
          <w:rFonts w:ascii="Verdana" w:hAnsi="Verdana"/>
          <w:sz w:val="18"/>
          <w:szCs w:val="18"/>
        </w:rPr>
        <w:t xml:space="preserve">stukken </w:t>
      </w:r>
      <w:r w:rsidRPr="007456D5" w:rsidR="00C04C83">
        <w:rPr>
          <w:rFonts w:ascii="Verdana" w:hAnsi="Verdana"/>
          <w:sz w:val="18"/>
          <w:szCs w:val="18"/>
        </w:rPr>
        <w:t xml:space="preserve">verstrekt </w:t>
      </w:r>
      <w:r w:rsidR="00B9660D">
        <w:rPr>
          <w:rFonts w:ascii="Verdana" w:hAnsi="Verdana"/>
          <w:sz w:val="18"/>
          <w:szCs w:val="18"/>
        </w:rPr>
        <w:t>aan het ESAP</w:t>
      </w:r>
      <w:r w:rsidRPr="007456D5">
        <w:rPr>
          <w:rFonts w:ascii="Verdana" w:hAnsi="Verdana"/>
          <w:sz w:val="18"/>
          <w:szCs w:val="18"/>
        </w:rPr>
        <w:t>.</w:t>
      </w:r>
    </w:p>
    <w:p w:rsidRPr="007456D5" w:rsidR="009B32FD" w:rsidP="001A189C" w:rsidRDefault="009B32FD" w14:paraId="101723DE" w14:textId="77777777">
      <w:pPr>
        <w:widowControl w:val="0"/>
        <w:spacing w:line="240" w:lineRule="atLeast"/>
        <w:contextualSpacing/>
        <w:rPr>
          <w:rFonts w:ascii="Verdana" w:hAnsi="Verdana"/>
          <w:sz w:val="18"/>
          <w:szCs w:val="18"/>
        </w:rPr>
      </w:pPr>
    </w:p>
    <w:p w:rsidRPr="007456D5" w:rsidR="009B32FD" w:rsidP="001A189C" w:rsidRDefault="00C7152E" w14:paraId="6B0FD656" w14:textId="5E185FEE">
      <w:pPr>
        <w:widowControl w:val="0"/>
        <w:spacing w:line="240" w:lineRule="atLeast"/>
        <w:contextualSpacing/>
        <w:rPr>
          <w:rFonts w:ascii="Verdana" w:hAnsi="Verdana"/>
          <w:sz w:val="18"/>
          <w:szCs w:val="18"/>
        </w:rPr>
      </w:pPr>
      <w:r>
        <w:rPr>
          <w:rFonts w:ascii="Verdana" w:hAnsi="Verdana"/>
          <w:sz w:val="18"/>
          <w:szCs w:val="18"/>
        </w:rPr>
        <w:t>Het vijfde lid bepaalt dat de jaarrekening, het bestuursverslag en de overige gegevens aan de AFM ver</w:t>
      </w:r>
      <w:r w:rsidR="00EE64CC">
        <w:rPr>
          <w:rFonts w:ascii="Verdana" w:hAnsi="Verdana"/>
          <w:sz w:val="18"/>
          <w:szCs w:val="18"/>
        </w:rPr>
        <w:t>s</w:t>
      </w:r>
      <w:r>
        <w:rPr>
          <w:rFonts w:ascii="Verdana" w:hAnsi="Verdana"/>
          <w:sz w:val="18"/>
          <w:szCs w:val="18"/>
        </w:rPr>
        <w:t>trekt moeten worden conform de vereisten uit artikel 23 bis, eerste lid, van de richtlijn transparantie. Het nieuwe zesde lid (huidige vijfde lid) zorgt ervoor dat de AFM de stukken volgens het al bestaande systeem moet doorzenden naar de KvK.</w:t>
      </w:r>
    </w:p>
    <w:p w:rsidR="0027157C" w:rsidP="001A189C" w:rsidRDefault="0027157C" w14:paraId="50A936AC" w14:textId="77777777">
      <w:pPr>
        <w:widowControl w:val="0"/>
        <w:spacing w:line="240" w:lineRule="atLeast"/>
        <w:contextualSpacing/>
        <w:rPr>
          <w:rFonts w:ascii="Verdana" w:hAnsi="Verdana"/>
          <w:sz w:val="18"/>
          <w:szCs w:val="18"/>
        </w:rPr>
      </w:pPr>
    </w:p>
    <w:p w:rsidRPr="007456D5" w:rsidR="00B36C58" w:rsidP="001A189C" w:rsidRDefault="00B36C58" w14:paraId="21286F64" w14:textId="3CEC4F41">
      <w:pPr>
        <w:widowControl w:val="0"/>
        <w:spacing w:line="240" w:lineRule="atLeast"/>
        <w:contextualSpacing/>
        <w:rPr>
          <w:rFonts w:ascii="Verdana" w:hAnsi="Verdana"/>
          <w:sz w:val="18"/>
          <w:szCs w:val="18"/>
        </w:rPr>
      </w:pPr>
      <w:r w:rsidRPr="007456D5">
        <w:rPr>
          <w:rFonts w:ascii="Verdana" w:hAnsi="Verdana"/>
          <w:sz w:val="18"/>
          <w:szCs w:val="18"/>
        </w:rPr>
        <w:t>A</w:t>
      </w:r>
      <w:r w:rsidRPr="007456D5" w:rsidR="00531591">
        <w:rPr>
          <w:rFonts w:ascii="Verdana" w:hAnsi="Verdana"/>
          <w:sz w:val="18"/>
          <w:szCs w:val="18"/>
        </w:rPr>
        <w:t>F</w:t>
      </w:r>
      <w:r w:rsidRPr="007456D5" w:rsidR="00A44C2C">
        <w:rPr>
          <w:rFonts w:ascii="Verdana" w:hAnsi="Verdana"/>
          <w:sz w:val="18"/>
          <w:szCs w:val="18"/>
        </w:rPr>
        <w:t xml:space="preserve"> en A</w:t>
      </w:r>
      <w:r w:rsidRPr="007456D5" w:rsidR="00531591">
        <w:rPr>
          <w:rFonts w:ascii="Verdana" w:hAnsi="Verdana"/>
          <w:sz w:val="18"/>
          <w:szCs w:val="18"/>
        </w:rPr>
        <w:t>G</w:t>
      </w:r>
      <w:r w:rsidRPr="007456D5" w:rsidR="0014120F">
        <w:rPr>
          <w:rFonts w:ascii="Verdana" w:hAnsi="Verdana"/>
          <w:sz w:val="18"/>
          <w:szCs w:val="18"/>
        </w:rPr>
        <w:t xml:space="preserve"> (</w:t>
      </w:r>
      <w:r w:rsidRPr="007456D5" w:rsidR="0014120F">
        <w:rPr>
          <w:rFonts w:ascii="Verdana" w:hAnsi="Verdana"/>
          <w:i/>
          <w:iCs/>
          <w:sz w:val="18"/>
          <w:szCs w:val="18"/>
        </w:rPr>
        <w:t>bijlagen bij de artikelen 1:79 en 1:80</w:t>
      </w:r>
      <w:r w:rsidRPr="007456D5" w:rsidR="0014120F">
        <w:rPr>
          <w:rFonts w:ascii="Verdana" w:hAnsi="Verdana"/>
          <w:sz w:val="18"/>
          <w:szCs w:val="18"/>
        </w:rPr>
        <w:t>)</w:t>
      </w:r>
    </w:p>
    <w:p w:rsidRPr="007456D5" w:rsidR="00B36C58" w:rsidP="001A189C" w:rsidRDefault="00B36C58" w14:paraId="5AF7B5DE" w14:textId="77777777">
      <w:pPr>
        <w:widowControl w:val="0"/>
        <w:spacing w:line="240" w:lineRule="atLeast"/>
        <w:contextualSpacing/>
        <w:rPr>
          <w:rFonts w:ascii="Verdana" w:hAnsi="Verdana"/>
          <w:sz w:val="18"/>
          <w:szCs w:val="18"/>
        </w:rPr>
      </w:pPr>
    </w:p>
    <w:p w:rsidR="00A44C2C" w:rsidP="001A189C" w:rsidRDefault="00334422" w14:paraId="6DEA9C8A" w14:textId="58E11842">
      <w:pPr>
        <w:widowControl w:val="0"/>
        <w:spacing w:line="240" w:lineRule="atLeast"/>
        <w:contextualSpacing/>
        <w:rPr>
          <w:rFonts w:ascii="Verdana" w:hAnsi="Verdana" w:cs="Arial"/>
          <w:sz w:val="18"/>
          <w:szCs w:val="18"/>
        </w:rPr>
      </w:pPr>
      <w:r>
        <w:rPr>
          <w:rFonts w:ascii="Verdana" w:hAnsi="Verdana" w:cs="Arial"/>
          <w:sz w:val="18"/>
          <w:szCs w:val="18"/>
        </w:rPr>
        <w:t>In de bijlagen bij de Wft is opgenomen bij overtreding van welke artikelen de AFM en DNB handhavend kunnen optreden. Daartoe worden d</w:t>
      </w:r>
      <w:r w:rsidRPr="007456D5" w:rsidR="00A44C2C">
        <w:rPr>
          <w:rFonts w:ascii="Verdana" w:hAnsi="Verdana" w:cs="Arial"/>
          <w:sz w:val="18"/>
          <w:szCs w:val="18"/>
        </w:rPr>
        <w:t xml:space="preserve">e bijlagen bij de artikelen 1:79 en 1:80 gewijzigd om een aantal in dit wetsvoorstel opgenomen </w:t>
      </w:r>
      <w:r w:rsidRPr="007456D5" w:rsidR="00A44C2C">
        <w:rPr>
          <w:rFonts w:ascii="Verdana" w:hAnsi="Verdana" w:cs="Arial"/>
          <w:sz w:val="18"/>
          <w:szCs w:val="18"/>
        </w:rPr>
        <w:lastRenderedPageBreak/>
        <w:t>bepalingen te kunnen handhaven door middel van het opleggen van een last onder dwangsom of een bestuurlijke boete.</w:t>
      </w:r>
    </w:p>
    <w:p w:rsidRPr="007456D5" w:rsidR="00550CC5" w:rsidP="001A189C" w:rsidRDefault="00550CC5" w14:paraId="1EC85205" w14:textId="77777777">
      <w:pPr>
        <w:widowControl w:val="0"/>
        <w:tabs>
          <w:tab w:val="num" w:pos="720"/>
        </w:tabs>
        <w:spacing w:line="240" w:lineRule="atLeast"/>
        <w:contextualSpacing/>
        <w:rPr>
          <w:rFonts w:ascii="Verdana" w:hAnsi="Verdana" w:cs="Arial"/>
          <w:sz w:val="18"/>
          <w:szCs w:val="18"/>
        </w:rPr>
      </w:pPr>
    </w:p>
    <w:p w:rsidR="00774664" w:rsidP="001A189C" w:rsidRDefault="00774664" w14:paraId="251A9E1E" w14:textId="77777777">
      <w:pPr>
        <w:widowControl w:val="0"/>
        <w:tabs>
          <w:tab w:val="num" w:pos="720"/>
        </w:tabs>
        <w:spacing w:line="240" w:lineRule="atLeast"/>
        <w:contextualSpacing/>
        <w:rPr>
          <w:rFonts w:ascii="Verdana" w:hAnsi="Verdana" w:cs="Arial"/>
          <w:b/>
          <w:sz w:val="18"/>
          <w:szCs w:val="18"/>
        </w:rPr>
      </w:pPr>
    </w:p>
    <w:p w:rsidRPr="007456D5" w:rsidR="00550CC5" w:rsidP="001A189C" w:rsidRDefault="00550CC5" w14:paraId="05FF48FC" w14:textId="0A777D9D">
      <w:pPr>
        <w:widowControl w:val="0"/>
        <w:tabs>
          <w:tab w:val="num" w:pos="720"/>
        </w:tabs>
        <w:spacing w:line="240" w:lineRule="atLeast"/>
        <w:contextualSpacing/>
        <w:rPr>
          <w:rFonts w:ascii="Verdana" w:hAnsi="Verdana" w:cs="Arial"/>
          <w:sz w:val="18"/>
          <w:szCs w:val="18"/>
        </w:rPr>
      </w:pPr>
      <w:r w:rsidRPr="007456D5">
        <w:rPr>
          <w:rFonts w:ascii="Verdana" w:hAnsi="Verdana" w:cs="Arial"/>
          <w:b/>
          <w:sz w:val="18"/>
          <w:szCs w:val="18"/>
        </w:rPr>
        <w:t>ARTIKEL II (</w:t>
      </w:r>
      <w:r w:rsidRPr="007456D5" w:rsidR="001A049B">
        <w:rPr>
          <w:rFonts w:ascii="Verdana" w:hAnsi="Verdana" w:cs="Arial"/>
          <w:b/>
          <w:sz w:val="18"/>
          <w:szCs w:val="18"/>
        </w:rPr>
        <w:t>Wet toezicht accountantsorganisaties</w:t>
      </w:r>
      <w:r w:rsidRPr="007456D5">
        <w:rPr>
          <w:rFonts w:ascii="Verdana" w:hAnsi="Verdana" w:cs="Arial"/>
          <w:b/>
          <w:sz w:val="18"/>
          <w:szCs w:val="18"/>
        </w:rPr>
        <w:t>)</w:t>
      </w:r>
    </w:p>
    <w:p w:rsidRPr="007456D5" w:rsidR="00550CC5" w:rsidP="001A189C" w:rsidRDefault="00550CC5" w14:paraId="2D9FA3BF" w14:textId="77777777">
      <w:pPr>
        <w:widowControl w:val="0"/>
        <w:tabs>
          <w:tab w:val="num" w:pos="720"/>
        </w:tabs>
        <w:spacing w:line="240" w:lineRule="atLeast"/>
        <w:contextualSpacing/>
        <w:rPr>
          <w:rFonts w:ascii="Verdana" w:hAnsi="Verdana" w:cs="Arial"/>
          <w:sz w:val="18"/>
          <w:szCs w:val="18"/>
        </w:rPr>
      </w:pPr>
    </w:p>
    <w:p w:rsidRPr="007456D5" w:rsidR="00550CC5" w:rsidP="001A189C" w:rsidRDefault="004057A4" w14:paraId="605992B4" w14:textId="5011F805">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A (</w:t>
      </w:r>
      <w:r w:rsidRPr="007456D5" w:rsidR="002B7C09">
        <w:rPr>
          <w:rFonts w:ascii="Verdana" w:hAnsi="Verdana" w:cs="Arial"/>
          <w:i/>
          <w:iCs/>
          <w:sz w:val="18"/>
          <w:szCs w:val="18"/>
        </w:rPr>
        <w:t>a</w:t>
      </w:r>
      <w:r w:rsidRPr="007456D5">
        <w:rPr>
          <w:rFonts w:ascii="Verdana" w:hAnsi="Verdana" w:cs="Arial"/>
          <w:i/>
          <w:iCs/>
          <w:sz w:val="18"/>
          <w:szCs w:val="18"/>
        </w:rPr>
        <w:t>rtikel 11a</w:t>
      </w:r>
      <w:r w:rsidRPr="007456D5">
        <w:rPr>
          <w:rFonts w:ascii="Verdana" w:hAnsi="Verdana" w:cs="Arial"/>
          <w:sz w:val="18"/>
          <w:szCs w:val="18"/>
        </w:rPr>
        <w:t>)</w:t>
      </w:r>
    </w:p>
    <w:p w:rsidRPr="007456D5" w:rsidR="004057A4" w:rsidP="001A189C" w:rsidRDefault="004057A4" w14:paraId="16BDA236" w14:textId="77777777">
      <w:pPr>
        <w:widowControl w:val="0"/>
        <w:spacing w:line="240" w:lineRule="atLeast"/>
        <w:contextualSpacing/>
        <w:rPr>
          <w:rFonts w:ascii="Verdana" w:hAnsi="Verdana"/>
          <w:sz w:val="18"/>
          <w:szCs w:val="18"/>
        </w:rPr>
      </w:pPr>
    </w:p>
    <w:p w:rsidRPr="007456D5" w:rsidR="003231C1" w:rsidP="001A189C" w:rsidRDefault="004057A4" w14:paraId="15451F9C" w14:textId="752EC979">
      <w:pPr>
        <w:widowControl w:val="0"/>
        <w:spacing w:line="240" w:lineRule="atLeast"/>
        <w:contextualSpacing/>
        <w:rPr>
          <w:rFonts w:ascii="Verdana" w:hAnsi="Verdana"/>
          <w:sz w:val="18"/>
          <w:szCs w:val="18"/>
        </w:rPr>
      </w:pPr>
      <w:r w:rsidRPr="007456D5">
        <w:rPr>
          <w:rFonts w:ascii="Verdana" w:hAnsi="Verdana"/>
          <w:sz w:val="18"/>
          <w:szCs w:val="18"/>
        </w:rPr>
        <w:t xml:space="preserve">Het voorgestelde nieuwe artikel 11a </w:t>
      </w:r>
      <w:proofErr w:type="spellStart"/>
      <w:r w:rsidRPr="007456D5">
        <w:rPr>
          <w:rFonts w:ascii="Verdana" w:hAnsi="Verdana"/>
          <w:sz w:val="18"/>
          <w:szCs w:val="18"/>
        </w:rPr>
        <w:t>Wta</w:t>
      </w:r>
      <w:proofErr w:type="spellEnd"/>
      <w:r w:rsidRPr="007456D5">
        <w:rPr>
          <w:rFonts w:ascii="Verdana" w:hAnsi="Verdana"/>
          <w:sz w:val="18"/>
          <w:szCs w:val="18"/>
        </w:rPr>
        <w:t xml:space="preserve"> implementeert </w:t>
      </w:r>
      <w:r w:rsidRPr="007456D5" w:rsidR="0036543A">
        <w:rPr>
          <w:rFonts w:ascii="Verdana" w:hAnsi="Verdana"/>
          <w:sz w:val="18"/>
          <w:szCs w:val="18"/>
        </w:rPr>
        <w:t xml:space="preserve">artikel 4 van de </w:t>
      </w:r>
      <w:r w:rsidR="00A65911">
        <w:rPr>
          <w:rFonts w:ascii="Verdana" w:hAnsi="Verdana"/>
          <w:sz w:val="18"/>
          <w:szCs w:val="18"/>
        </w:rPr>
        <w:t>richtlijn ESAP</w:t>
      </w:r>
      <w:r w:rsidRPr="007456D5" w:rsidR="0036543A">
        <w:rPr>
          <w:rFonts w:ascii="Verdana" w:hAnsi="Verdana"/>
          <w:sz w:val="18"/>
          <w:szCs w:val="18"/>
        </w:rPr>
        <w:t xml:space="preserve">. Het betreft </w:t>
      </w:r>
      <w:r w:rsidRPr="007456D5">
        <w:rPr>
          <w:rFonts w:ascii="Verdana" w:hAnsi="Verdana"/>
          <w:sz w:val="18"/>
          <w:szCs w:val="18"/>
        </w:rPr>
        <w:t xml:space="preserve">artikel 20 bis, tweede </w:t>
      </w:r>
      <w:r w:rsidRPr="007456D5" w:rsidR="003D6D98">
        <w:rPr>
          <w:rFonts w:ascii="Verdana" w:hAnsi="Verdana"/>
          <w:sz w:val="18"/>
          <w:szCs w:val="18"/>
        </w:rPr>
        <w:t>lid</w:t>
      </w:r>
      <w:r w:rsidRPr="007456D5">
        <w:rPr>
          <w:rFonts w:ascii="Verdana" w:hAnsi="Verdana"/>
          <w:sz w:val="18"/>
          <w:szCs w:val="18"/>
        </w:rPr>
        <w:t xml:space="preserve">, van de Auditrichtlijn. </w:t>
      </w:r>
      <w:r w:rsidRPr="007456D5" w:rsidR="0036543A">
        <w:rPr>
          <w:rFonts w:ascii="Verdana" w:hAnsi="Verdana"/>
          <w:sz w:val="18"/>
          <w:szCs w:val="18"/>
        </w:rPr>
        <w:t xml:space="preserve">De Auditrichtlijn geeft voorschriften over de wettelijke controle van de financiële verslaggeving en het assurance-onderzoek van de duurzaamheidsrapportering door accountants en accountantsorganisaties. </w:t>
      </w:r>
      <w:r w:rsidRPr="007456D5">
        <w:rPr>
          <w:rFonts w:ascii="Verdana" w:hAnsi="Verdana"/>
          <w:sz w:val="18"/>
          <w:szCs w:val="18"/>
        </w:rPr>
        <w:t xml:space="preserve">Op grond van artikel 11a dient de informatie die op basis van artikel 11 in het openbare register van de AFM is opgenomen, ook door de AFM in de hoedanigheid van verzamelende instantie, </w:t>
      </w:r>
      <w:r w:rsidRPr="007456D5" w:rsidR="00F62386">
        <w:rPr>
          <w:rFonts w:ascii="Verdana" w:hAnsi="Verdana"/>
          <w:sz w:val="18"/>
          <w:szCs w:val="18"/>
        </w:rPr>
        <w:t xml:space="preserve">te worden verstrekt </w:t>
      </w:r>
      <w:r w:rsidR="00B9660D">
        <w:rPr>
          <w:rFonts w:ascii="Verdana" w:hAnsi="Verdana"/>
          <w:sz w:val="18"/>
          <w:szCs w:val="18"/>
        </w:rPr>
        <w:t>aan het ESAP</w:t>
      </w:r>
      <w:r w:rsidRPr="007456D5">
        <w:rPr>
          <w:rFonts w:ascii="Verdana" w:hAnsi="Verdana"/>
          <w:sz w:val="18"/>
          <w:szCs w:val="18"/>
        </w:rPr>
        <w:t xml:space="preserve">. Het gaat om informatie over </w:t>
      </w:r>
      <w:proofErr w:type="spellStart"/>
      <w:r w:rsidRPr="007456D5">
        <w:rPr>
          <w:rFonts w:ascii="Verdana" w:hAnsi="Verdana"/>
          <w:sz w:val="18"/>
          <w:szCs w:val="18"/>
        </w:rPr>
        <w:t>vergunninghoudende</w:t>
      </w:r>
      <w:proofErr w:type="spellEnd"/>
      <w:r w:rsidRPr="007456D5">
        <w:rPr>
          <w:rFonts w:ascii="Verdana" w:hAnsi="Verdana"/>
          <w:sz w:val="18"/>
          <w:szCs w:val="18"/>
        </w:rPr>
        <w:t xml:space="preserve"> accountantsorganisaties, auditkantoren, auditorganisaties van een derde land, alsmede over de daarbij werkzame of daaraan verbonden auditors van een derde land, en externe accountants. Het betreft ook de informatie die op grond van artikel 4 van het Besluit toezicht accountantsorganisaties (artikel 11, derde lid, </w:t>
      </w:r>
      <w:proofErr w:type="spellStart"/>
      <w:r w:rsidRPr="007456D5">
        <w:rPr>
          <w:rFonts w:ascii="Verdana" w:hAnsi="Verdana"/>
          <w:sz w:val="18"/>
          <w:szCs w:val="18"/>
        </w:rPr>
        <w:t>Wta</w:t>
      </w:r>
      <w:proofErr w:type="spellEnd"/>
      <w:r w:rsidRPr="007456D5">
        <w:rPr>
          <w:rFonts w:ascii="Verdana" w:hAnsi="Verdana"/>
          <w:sz w:val="18"/>
          <w:szCs w:val="18"/>
        </w:rPr>
        <w:t>) in het openbare register wordt opgenomen, zoals de datum van vergunningverlening en de rechtsvorm van de accountantsorganisatie.</w:t>
      </w:r>
      <w:r w:rsidRPr="007456D5" w:rsidR="000B7FF2">
        <w:rPr>
          <w:rFonts w:ascii="Verdana" w:hAnsi="Verdana"/>
          <w:sz w:val="18"/>
          <w:szCs w:val="18"/>
        </w:rPr>
        <w:t xml:space="preserve"> </w:t>
      </w:r>
      <w:r w:rsidRPr="007456D5" w:rsidR="003231C1">
        <w:rPr>
          <w:rFonts w:ascii="Verdana" w:hAnsi="Verdana"/>
          <w:sz w:val="18"/>
          <w:szCs w:val="18"/>
        </w:rPr>
        <w:t>De AFM verstrekt de informatie onder vermelding van de naam en</w:t>
      </w:r>
      <w:r w:rsidRPr="007456D5" w:rsidR="0036543A">
        <w:rPr>
          <w:rFonts w:ascii="Verdana" w:hAnsi="Verdana"/>
          <w:sz w:val="18"/>
          <w:szCs w:val="18"/>
        </w:rPr>
        <w:t>, indien beschikbaar, de</w:t>
      </w:r>
      <w:r w:rsidRPr="007456D5" w:rsidR="003231C1">
        <w:rPr>
          <w:rFonts w:ascii="Verdana" w:hAnsi="Verdana"/>
          <w:sz w:val="18"/>
          <w:szCs w:val="18"/>
        </w:rPr>
        <w:t xml:space="preserve"> identificatiecode van de betrokken entiteit (onderdelen a en b). Daarnaast moet de AFM aangeven of de informatie verplicht of vrijwillig wordt ver</w:t>
      </w:r>
      <w:r w:rsidR="008B1ED4">
        <w:rPr>
          <w:rFonts w:ascii="Verdana" w:hAnsi="Verdana"/>
          <w:sz w:val="18"/>
          <w:szCs w:val="18"/>
        </w:rPr>
        <w:t>s</w:t>
      </w:r>
      <w:r w:rsidRPr="007456D5" w:rsidR="003231C1">
        <w:rPr>
          <w:rFonts w:ascii="Verdana" w:hAnsi="Verdana"/>
          <w:sz w:val="18"/>
          <w:szCs w:val="18"/>
        </w:rPr>
        <w:t>trekt ten behoeve van openbaarmaking op het Europees centraal toegangspunt (onderdeel c) en of er persoonsgegevens aanwezig zijn (onderdeel d).</w:t>
      </w:r>
      <w:r w:rsidRPr="007456D5" w:rsidR="000B7FF2">
        <w:rPr>
          <w:rFonts w:ascii="Verdana" w:hAnsi="Verdana"/>
          <w:sz w:val="18"/>
          <w:szCs w:val="18"/>
        </w:rPr>
        <w:t xml:space="preserve"> Verstrekking geschiedt</w:t>
      </w:r>
      <w:r w:rsidRPr="007456D5" w:rsidR="003231C1">
        <w:rPr>
          <w:rFonts w:ascii="Verdana" w:hAnsi="Verdana"/>
          <w:sz w:val="18"/>
          <w:szCs w:val="18"/>
        </w:rPr>
        <w:t xml:space="preserve"> in een voor data-extractie geschikt formaat zoals gedefinieerd in artikel 2, onder 3, van Verordening (EU) 2023/2859 (verordening oprichting ESAP). </w:t>
      </w:r>
    </w:p>
    <w:p w:rsidRPr="00AC0526" w:rsidR="00AC0526" w:rsidP="001A189C" w:rsidRDefault="00AC0526" w14:paraId="26B56C8E" w14:textId="77777777">
      <w:pPr>
        <w:widowControl w:val="0"/>
        <w:tabs>
          <w:tab w:val="num" w:pos="720"/>
        </w:tabs>
        <w:spacing w:line="240" w:lineRule="atLeast"/>
        <w:contextualSpacing/>
        <w:rPr>
          <w:rFonts w:ascii="Verdana" w:hAnsi="Verdana" w:cs="Arial"/>
          <w:sz w:val="18"/>
          <w:szCs w:val="18"/>
        </w:rPr>
      </w:pPr>
    </w:p>
    <w:p w:rsidRPr="00AC0526" w:rsidR="00AC0526" w:rsidP="001A189C" w:rsidRDefault="00E31E40" w14:paraId="6ED69B72" w14:textId="4F05A922">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B</w:t>
      </w:r>
      <w:r w:rsidRPr="00AC0526" w:rsidR="00AC0526">
        <w:rPr>
          <w:rFonts w:ascii="Verdana" w:hAnsi="Verdana" w:cs="Arial"/>
          <w:sz w:val="18"/>
          <w:szCs w:val="18"/>
        </w:rPr>
        <w:t xml:space="preserve"> en </w:t>
      </w:r>
      <w:r>
        <w:rPr>
          <w:rFonts w:ascii="Verdana" w:hAnsi="Verdana" w:cs="Arial"/>
          <w:sz w:val="18"/>
          <w:szCs w:val="18"/>
        </w:rPr>
        <w:t>C</w:t>
      </w:r>
      <w:r w:rsidRPr="00AC0526" w:rsidR="00AC0526">
        <w:rPr>
          <w:rFonts w:ascii="Verdana" w:hAnsi="Verdana" w:cs="Arial"/>
          <w:sz w:val="18"/>
          <w:szCs w:val="18"/>
        </w:rPr>
        <w:t xml:space="preserve"> (</w:t>
      </w:r>
      <w:r w:rsidRPr="00AC0526" w:rsidR="00AC0526">
        <w:rPr>
          <w:rFonts w:ascii="Verdana" w:hAnsi="Verdana" w:cs="Arial"/>
          <w:i/>
          <w:iCs/>
          <w:sz w:val="18"/>
          <w:szCs w:val="18"/>
        </w:rPr>
        <w:t>artikelen 53 en 54</w:t>
      </w:r>
      <w:r w:rsidRPr="00AC0526" w:rsidR="00AC0526">
        <w:rPr>
          <w:rFonts w:ascii="Verdana" w:hAnsi="Verdana" w:cs="Arial"/>
          <w:sz w:val="18"/>
          <w:szCs w:val="18"/>
        </w:rPr>
        <w:t>)</w:t>
      </w:r>
    </w:p>
    <w:p w:rsidRPr="00AC0526" w:rsidR="00AC0526" w:rsidP="001A189C" w:rsidRDefault="00AC0526" w14:paraId="028A6060" w14:textId="77777777">
      <w:pPr>
        <w:widowControl w:val="0"/>
        <w:tabs>
          <w:tab w:val="num" w:pos="720"/>
        </w:tabs>
        <w:spacing w:line="240" w:lineRule="atLeast"/>
        <w:contextualSpacing/>
        <w:rPr>
          <w:rFonts w:ascii="Verdana" w:hAnsi="Verdana" w:cs="Arial"/>
          <w:sz w:val="18"/>
          <w:szCs w:val="18"/>
        </w:rPr>
      </w:pPr>
    </w:p>
    <w:p w:rsidRPr="00AC0526" w:rsidR="00AC0526" w:rsidP="001A189C" w:rsidRDefault="00AC0526" w14:paraId="2F23A143" w14:textId="77777777">
      <w:pPr>
        <w:spacing w:line="240" w:lineRule="atLeast"/>
        <w:rPr>
          <w:rFonts w:ascii="Verdana" w:hAnsi="Verdana"/>
          <w:sz w:val="18"/>
          <w:szCs w:val="18"/>
        </w:rPr>
      </w:pPr>
      <w:r w:rsidRPr="00AC0526">
        <w:rPr>
          <w:rFonts w:ascii="Verdana" w:hAnsi="Verdana"/>
          <w:sz w:val="18"/>
          <w:szCs w:val="18"/>
        </w:rPr>
        <w:t xml:space="preserve">De artikelen 53 en 54 </w:t>
      </w:r>
      <w:proofErr w:type="spellStart"/>
      <w:r w:rsidRPr="00AC0526">
        <w:rPr>
          <w:rFonts w:ascii="Verdana" w:hAnsi="Verdana"/>
          <w:sz w:val="18"/>
          <w:szCs w:val="18"/>
        </w:rPr>
        <w:t>Wta</w:t>
      </w:r>
      <w:proofErr w:type="spellEnd"/>
      <w:r w:rsidRPr="00AC0526">
        <w:rPr>
          <w:rFonts w:ascii="Verdana" w:hAnsi="Verdana"/>
          <w:sz w:val="18"/>
          <w:szCs w:val="18"/>
        </w:rPr>
        <w:t xml:space="preserve"> worden aangepast zodat de AFM ook handhavend kan optreden indien de accountantsorganisatie niet aan de verplichting heeft voldaan om het transparantieverslag in te dienen </w:t>
      </w:r>
      <w:r w:rsidRPr="00AC0526">
        <w:rPr>
          <w:rFonts w:ascii="Verdana" w:hAnsi="Verdana"/>
          <w:color w:val="000000" w:themeColor="text1"/>
          <w:sz w:val="18"/>
          <w:szCs w:val="18"/>
        </w:rPr>
        <w:t>bij de AFM</w:t>
      </w:r>
      <w:r w:rsidRPr="00AC0526">
        <w:rPr>
          <w:rFonts w:ascii="Verdana" w:hAnsi="Verdana"/>
          <w:sz w:val="18"/>
          <w:szCs w:val="18"/>
        </w:rPr>
        <w:t>. De AFM kan een last onder dwangsom of een bestuurlijke boete opleggen. In het Besluit bestuurlijke boetes financiële sector zal worden geregeld dat het om een boete van boetecategorie 1 gaat.</w:t>
      </w:r>
    </w:p>
    <w:p w:rsidRPr="00AC0526" w:rsidR="00AC0526" w:rsidP="001A189C" w:rsidRDefault="00AC0526" w14:paraId="4224DC13" w14:textId="77777777">
      <w:pPr>
        <w:widowControl w:val="0"/>
        <w:tabs>
          <w:tab w:val="num" w:pos="720"/>
        </w:tabs>
        <w:spacing w:line="240" w:lineRule="atLeast"/>
        <w:contextualSpacing/>
        <w:rPr>
          <w:rFonts w:ascii="Verdana" w:hAnsi="Verdana" w:cs="Arial"/>
          <w:sz w:val="18"/>
          <w:szCs w:val="18"/>
        </w:rPr>
      </w:pPr>
    </w:p>
    <w:p w:rsidR="00E31E40" w:rsidP="001A189C" w:rsidRDefault="00E31E40" w14:paraId="69827291" w14:textId="06607026">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D</w:t>
      </w:r>
      <w:r w:rsidR="00BB24DE">
        <w:rPr>
          <w:rFonts w:ascii="Verdana" w:hAnsi="Verdana" w:cs="Arial"/>
          <w:sz w:val="18"/>
          <w:szCs w:val="18"/>
        </w:rPr>
        <w:t xml:space="preserve"> (</w:t>
      </w:r>
      <w:r w:rsidRPr="00BB24DE" w:rsidR="00BB24DE">
        <w:rPr>
          <w:rFonts w:ascii="Verdana" w:hAnsi="Verdana" w:cs="Arial"/>
          <w:i/>
          <w:iCs/>
          <w:sz w:val="18"/>
          <w:szCs w:val="18"/>
        </w:rPr>
        <w:t>artikel 63n</w:t>
      </w:r>
      <w:r w:rsidR="00BB24DE">
        <w:rPr>
          <w:rFonts w:ascii="Verdana" w:hAnsi="Verdana" w:cs="Arial"/>
          <w:sz w:val="18"/>
          <w:szCs w:val="18"/>
        </w:rPr>
        <w:t>)</w:t>
      </w:r>
    </w:p>
    <w:p w:rsidR="00E31E40" w:rsidP="001A189C" w:rsidRDefault="00E31E40" w14:paraId="50401174" w14:textId="77777777">
      <w:pPr>
        <w:widowControl w:val="0"/>
        <w:tabs>
          <w:tab w:val="num" w:pos="720"/>
        </w:tabs>
        <w:spacing w:line="240" w:lineRule="atLeast"/>
        <w:contextualSpacing/>
        <w:rPr>
          <w:rFonts w:ascii="Verdana" w:hAnsi="Verdana" w:cs="Arial"/>
          <w:sz w:val="18"/>
          <w:szCs w:val="18"/>
        </w:rPr>
      </w:pPr>
    </w:p>
    <w:p w:rsidR="00E31E40" w:rsidP="00E31E40" w:rsidRDefault="00E31E40" w14:paraId="5057F31D" w14:textId="77777777">
      <w:pPr>
        <w:spacing w:line="240" w:lineRule="atLeast"/>
        <w:contextualSpacing/>
        <w:rPr>
          <w:rFonts w:ascii="Verdana" w:hAnsi="Verdana"/>
          <w:sz w:val="18"/>
          <w:szCs w:val="18"/>
        </w:rPr>
      </w:pPr>
      <w:r w:rsidRPr="00AC0526">
        <w:rPr>
          <w:rFonts w:ascii="Verdana" w:hAnsi="Verdana"/>
          <w:sz w:val="18"/>
          <w:szCs w:val="18"/>
        </w:rPr>
        <w:t xml:space="preserve">Op grond van artikel 13 van de Auditverordening (EU) 537/2014 maken accountantsorganisaties die wettelijke controles bij organisaties van openbaar belang verrichten een transparantieverslag openbaar. Artikel 13 bis van de </w:t>
      </w:r>
    </w:p>
    <w:p w:rsidRPr="00AC0526" w:rsidR="00E31E40" w:rsidP="00E31E40" w:rsidRDefault="00E31E40" w14:paraId="21EBAB44" w14:textId="3148C91C">
      <w:pPr>
        <w:spacing w:line="240" w:lineRule="atLeast"/>
        <w:contextualSpacing/>
        <w:rPr>
          <w:rFonts w:ascii="Verdana" w:hAnsi="Verdana"/>
          <w:sz w:val="18"/>
          <w:szCs w:val="18"/>
        </w:rPr>
      </w:pPr>
      <w:r>
        <w:rPr>
          <w:rFonts w:ascii="Verdana" w:hAnsi="Verdana"/>
          <w:sz w:val="18"/>
          <w:szCs w:val="18"/>
        </w:rPr>
        <w:t xml:space="preserve">Auditverordening </w:t>
      </w:r>
      <w:r w:rsidRPr="00AC0526">
        <w:rPr>
          <w:rFonts w:ascii="Verdana" w:hAnsi="Verdana"/>
          <w:sz w:val="18"/>
          <w:szCs w:val="18"/>
        </w:rPr>
        <w:t xml:space="preserve">schrijft voor dat een accountantsorganisatie op het moment dat deze het transparantieverslag openbaar maakt, de informatie ook dient in te dienen bij de verzamelende instantie. In artikel </w:t>
      </w:r>
      <w:r>
        <w:rPr>
          <w:rFonts w:ascii="Verdana" w:hAnsi="Verdana"/>
          <w:sz w:val="18"/>
          <w:szCs w:val="18"/>
        </w:rPr>
        <w:t>63n</w:t>
      </w:r>
      <w:r w:rsidRPr="00AC0526">
        <w:rPr>
          <w:rFonts w:ascii="Verdana" w:hAnsi="Verdana"/>
          <w:sz w:val="18"/>
          <w:szCs w:val="18"/>
        </w:rPr>
        <w:t xml:space="preserve"> </w:t>
      </w:r>
      <w:proofErr w:type="spellStart"/>
      <w:r w:rsidRPr="00AC0526">
        <w:rPr>
          <w:rFonts w:ascii="Verdana" w:hAnsi="Verdana"/>
          <w:sz w:val="18"/>
          <w:szCs w:val="18"/>
        </w:rPr>
        <w:t>Wta</w:t>
      </w:r>
      <w:proofErr w:type="spellEnd"/>
      <w:r w:rsidRPr="00AC0526">
        <w:rPr>
          <w:rFonts w:ascii="Verdana" w:hAnsi="Verdana"/>
          <w:sz w:val="18"/>
          <w:szCs w:val="18"/>
        </w:rPr>
        <w:t xml:space="preserve"> wordt opgenomen dat de verzamelende instantie de AFM betreft.</w:t>
      </w:r>
    </w:p>
    <w:p w:rsidR="00E31E40" w:rsidP="001A189C" w:rsidRDefault="00E31E40" w14:paraId="73762C90" w14:textId="77777777">
      <w:pPr>
        <w:widowControl w:val="0"/>
        <w:tabs>
          <w:tab w:val="num" w:pos="720"/>
        </w:tabs>
        <w:spacing w:line="240" w:lineRule="atLeast"/>
        <w:contextualSpacing/>
        <w:rPr>
          <w:rFonts w:ascii="Verdana" w:hAnsi="Verdana" w:cs="Arial"/>
          <w:sz w:val="18"/>
          <w:szCs w:val="18"/>
        </w:rPr>
      </w:pPr>
    </w:p>
    <w:p w:rsidRPr="00EE64CC" w:rsidR="00122332" w:rsidP="001A189C" w:rsidRDefault="00AC0526" w14:paraId="0F1B7425" w14:textId="44EA817B">
      <w:pPr>
        <w:widowControl w:val="0"/>
        <w:tabs>
          <w:tab w:val="num" w:pos="720"/>
        </w:tabs>
        <w:spacing w:line="240" w:lineRule="atLeast"/>
        <w:contextualSpacing/>
        <w:rPr>
          <w:rFonts w:ascii="Verdana" w:hAnsi="Verdana" w:cs="Arial"/>
          <w:sz w:val="18"/>
          <w:szCs w:val="18"/>
        </w:rPr>
      </w:pPr>
      <w:r w:rsidRPr="00EE64CC">
        <w:rPr>
          <w:rFonts w:ascii="Verdana" w:hAnsi="Verdana" w:cs="Arial"/>
          <w:sz w:val="18"/>
          <w:szCs w:val="18"/>
        </w:rPr>
        <w:t>E</w:t>
      </w:r>
      <w:r w:rsidRPr="00EE64CC" w:rsidR="004057A4">
        <w:rPr>
          <w:rFonts w:ascii="Verdana" w:hAnsi="Verdana" w:cs="Arial"/>
          <w:sz w:val="18"/>
          <w:szCs w:val="18"/>
        </w:rPr>
        <w:t xml:space="preserve"> (</w:t>
      </w:r>
      <w:r w:rsidRPr="00EE64CC" w:rsidR="002B7C09">
        <w:rPr>
          <w:rFonts w:ascii="Verdana" w:hAnsi="Verdana" w:cs="Arial"/>
          <w:i/>
          <w:iCs/>
          <w:sz w:val="18"/>
          <w:szCs w:val="18"/>
        </w:rPr>
        <w:t>a</w:t>
      </w:r>
      <w:r w:rsidRPr="00EE64CC" w:rsidR="004057A4">
        <w:rPr>
          <w:rFonts w:ascii="Verdana" w:hAnsi="Verdana" w:cs="Arial"/>
          <w:i/>
          <w:iCs/>
          <w:sz w:val="18"/>
          <w:szCs w:val="18"/>
        </w:rPr>
        <w:t>rtikel 72</w:t>
      </w:r>
      <w:r w:rsidRPr="00EE64CC" w:rsidR="004057A4">
        <w:rPr>
          <w:rFonts w:ascii="Verdana" w:hAnsi="Verdana" w:cs="Arial"/>
          <w:sz w:val="18"/>
          <w:szCs w:val="18"/>
        </w:rPr>
        <w:t>)</w:t>
      </w:r>
    </w:p>
    <w:p w:rsidRPr="00EE64CC" w:rsidR="001A049B" w:rsidP="001A189C" w:rsidRDefault="001A049B" w14:paraId="0E0A33EC" w14:textId="77777777">
      <w:pPr>
        <w:widowControl w:val="0"/>
        <w:tabs>
          <w:tab w:val="num" w:pos="720"/>
        </w:tabs>
        <w:spacing w:line="240" w:lineRule="atLeast"/>
        <w:contextualSpacing/>
        <w:rPr>
          <w:rFonts w:ascii="Verdana" w:hAnsi="Verdana" w:cs="Arial"/>
          <w:sz w:val="18"/>
          <w:szCs w:val="18"/>
        </w:rPr>
      </w:pPr>
    </w:p>
    <w:p w:rsidRPr="007456D5" w:rsidR="00FE2F2D" w:rsidP="001A189C" w:rsidRDefault="004057A4" w14:paraId="6F690E28" w14:textId="63424BBB">
      <w:pPr>
        <w:widowControl w:val="0"/>
        <w:spacing w:line="240" w:lineRule="atLeast"/>
        <w:contextualSpacing/>
        <w:rPr>
          <w:rFonts w:ascii="Verdana" w:hAnsi="Verdana"/>
          <w:sz w:val="18"/>
          <w:szCs w:val="18"/>
        </w:rPr>
      </w:pPr>
      <w:r w:rsidRPr="007456D5">
        <w:rPr>
          <w:rFonts w:ascii="Verdana" w:hAnsi="Verdana"/>
          <w:sz w:val="18"/>
          <w:szCs w:val="18"/>
        </w:rPr>
        <w:t xml:space="preserve">Het voorgestelde nieuwe artikel 72 </w:t>
      </w:r>
      <w:proofErr w:type="spellStart"/>
      <w:r w:rsidRPr="007456D5">
        <w:rPr>
          <w:rFonts w:ascii="Verdana" w:hAnsi="Verdana"/>
          <w:sz w:val="18"/>
          <w:szCs w:val="18"/>
        </w:rPr>
        <w:t>Wta</w:t>
      </w:r>
      <w:proofErr w:type="spellEnd"/>
      <w:r w:rsidRPr="007456D5">
        <w:rPr>
          <w:rFonts w:ascii="Verdana" w:hAnsi="Verdana"/>
          <w:sz w:val="18"/>
          <w:szCs w:val="18"/>
        </w:rPr>
        <w:t xml:space="preserve"> verwerkt artikel 20bis, eerste lid, van de Auditrichtlijn (artikel 4 van de </w:t>
      </w:r>
      <w:r w:rsidR="00A65911">
        <w:rPr>
          <w:rFonts w:ascii="Verdana" w:hAnsi="Verdana"/>
          <w:sz w:val="18"/>
          <w:szCs w:val="18"/>
        </w:rPr>
        <w:t>richtlijn ESAP</w:t>
      </w:r>
      <w:r w:rsidRPr="007456D5">
        <w:rPr>
          <w:rFonts w:ascii="Verdana" w:hAnsi="Verdana"/>
          <w:sz w:val="18"/>
          <w:szCs w:val="18"/>
        </w:rPr>
        <w:t>). De AFM dient besluiten tot het opleggen van</w:t>
      </w:r>
      <w:r w:rsidRPr="007456D5" w:rsidR="002B7C09">
        <w:rPr>
          <w:rFonts w:ascii="Verdana" w:hAnsi="Verdana"/>
          <w:sz w:val="18"/>
          <w:szCs w:val="18"/>
        </w:rPr>
        <w:t xml:space="preserve"> een</w:t>
      </w:r>
      <w:r w:rsidRPr="007456D5">
        <w:rPr>
          <w:rFonts w:ascii="Verdana" w:hAnsi="Verdana"/>
          <w:sz w:val="18"/>
          <w:szCs w:val="18"/>
        </w:rPr>
        <w:t xml:space="preserve"> bestuurlijke boete openbaar te maken. </w:t>
      </w:r>
      <w:r w:rsidRPr="007456D5" w:rsidR="00693BE9">
        <w:rPr>
          <w:rFonts w:ascii="Verdana" w:hAnsi="Verdana"/>
          <w:sz w:val="18"/>
          <w:szCs w:val="18"/>
        </w:rPr>
        <w:t>Tevens</w:t>
      </w:r>
      <w:r w:rsidRPr="007456D5">
        <w:rPr>
          <w:rFonts w:ascii="Verdana" w:hAnsi="Verdana"/>
          <w:sz w:val="18"/>
          <w:szCs w:val="18"/>
        </w:rPr>
        <w:t xml:space="preserve"> dient de AFM besluiten tot het opleggen van een last onder dwangsom openbaar te maken wanneer een dwangsom wordt verbeurd. Dit volgt uit de artikelen 67 tot en </w:t>
      </w:r>
      <w:r w:rsidRPr="007456D5">
        <w:rPr>
          <w:rFonts w:ascii="Verdana" w:hAnsi="Verdana"/>
          <w:sz w:val="18"/>
          <w:szCs w:val="18"/>
        </w:rPr>
        <w:lastRenderedPageBreak/>
        <w:t xml:space="preserve">met 70 </w:t>
      </w:r>
      <w:proofErr w:type="spellStart"/>
      <w:r w:rsidRPr="007456D5">
        <w:rPr>
          <w:rFonts w:ascii="Verdana" w:hAnsi="Verdana"/>
          <w:sz w:val="18"/>
          <w:szCs w:val="18"/>
        </w:rPr>
        <w:t>Wta</w:t>
      </w:r>
      <w:proofErr w:type="spellEnd"/>
      <w:r w:rsidRPr="007456D5">
        <w:rPr>
          <w:rFonts w:ascii="Verdana" w:hAnsi="Verdana"/>
          <w:sz w:val="18"/>
          <w:szCs w:val="18"/>
        </w:rPr>
        <w:t>. Op grond van</w:t>
      </w:r>
      <w:r w:rsidRPr="007456D5" w:rsidR="000B3835">
        <w:rPr>
          <w:rFonts w:ascii="Verdana" w:hAnsi="Verdana"/>
          <w:sz w:val="18"/>
          <w:szCs w:val="18"/>
        </w:rPr>
        <w:t xml:space="preserve"> </w:t>
      </w:r>
      <w:r w:rsidRPr="007456D5">
        <w:rPr>
          <w:rFonts w:ascii="Verdana" w:hAnsi="Verdana"/>
          <w:sz w:val="18"/>
          <w:szCs w:val="18"/>
        </w:rPr>
        <w:t xml:space="preserve">artikel 20bis Auditrichtlijn dient de AFM deze informatie </w:t>
      </w:r>
      <w:r w:rsidRPr="007456D5" w:rsidR="00930FB7">
        <w:rPr>
          <w:rFonts w:ascii="Verdana" w:hAnsi="Verdana"/>
          <w:sz w:val="18"/>
          <w:szCs w:val="18"/>
        </w:rPr>
        <w:t xml:space="preserve">te verstrekken </w:t>
      </w:r>
      <w:r w:rsidR="00B9660D">
        <w:rPr>
          <w:rFonts w:ascii="Verdana" w:hAnsi="Verdana"/>
          <w:sz w:val="18"/>
          <w:szCs w:val="18"/>
        </w:rPr>
        <w:t>aan het ESAP</w:t>
      </w:r>
      <w:r w:rsidRPr="007456D5">
        <w:rPr>
          <w:rFonts w:ascii="Verdana" w:hAnsi="Verdana"/>
          <w:sz w:val="18"/>
          <w:szCs w:val="18"/>
        </w:rPr>
        <w:t xml:space="preserve">. </w:t>
      </w:r>
      <w:r w:rsidRPr="007456D5" w:rsidR="005B66FE">
        <w:rPr>
          <w:rFonts w:ascii="Verdana" w:hAnsi="Verdana"/>
          <w:sz w:val="18"/>
          <w:szCs w:val="18"/>
        </w:rPr>
        <w:t>In</w:t>
      </w:r>
      <w:r w:rsidRPr="007456D5">
        <w:rPr>
          <w:rFonts w:ascii="Verdana" w:hAnsi="Verdana"/>
          <w:sz w:val="18"/>
          <w:szCs w:val="18"/>
        </w:rPr>
        <w:t xml:space="preserve"> artikel 67 </w:t>
      </w:r>
      <w:proofErr w:type="spellStart"/>
      <w:r w:rsidRPr="007456D5">
        <w:rPr>
          <w:rFonts w:ascii="Verdana" w:hAnsi="Verdana"/>
          <w:sz w:val="18"/>
          <w:szCs w:val="18"/>
        </w:rPr>
        <w:t>Wta</w:t>
      </w:r>
      <w:proofErr w:type="spellEnd"/>
      <w:r w:rsidRPr="007456D5">
        <w:rPr>
          <w:rFonts w:ascii="Verdana" w:hAnsi="Verdana"/>
          <w:sz w:val="18"/>
          <w:szCs w:val="18"/>
        </w:rPr>
        <w:t xml:space="preserve"> is reeds geregeld in welke gevallen publicatie anoniem dient te geschieden.</w:t>
      </w:r>
      <w:r w:rsidRPr="007456D5" w:rsidR="000B7FF2">
        <w:rPr>
          <w:rFonts w:ascii="Verdana" w:hAnsi="Verdana"/>
          <w:sz w:val="18"/>
          <w:szCs w:val="18"/>
        </w:rPr>
        <w:t xml:space="preserve"> </w:t>
      </w:r>
      <w:r w:rsidRPr="007456D5" w:rsidR="005B66FE">
        <w:rPr>
          <w:rFonts w:ascii="Verdana" w:hAnsi="Verdana"/>
          <w:sz w:val="18"/>
          <w:szCs w:val="18"/>
        </w:rPr>
        <w:t xml:space="preserve">De AFM </w:t>
      </w:r>
      <w:r w:rsidRPr="007456D5" w:rsidR="008A4A70">
        <w:rPr>
          <w:rFonts w:ascii="Verdana" w:hAnsi="Verdana"/>
          <w:sz w:val="18"/>
          <w:szCs w:val="18"/>
        </w:rPr>
        <w:t>verstrekt</w:t>
      </w:r>
      <w:r w:rsidRPr="007456D5" w:rsidR="005B66FE">
        <w:rPr>
          <w:rFonts w:ascii="Verdana" w:hAnsi="Verdana"/>
          <w:sz w:val="18"/>
          <w:szCs w:val="18"/>
        </w:rPr>
        <w:t xml:space="preserve"> de informatie</w:t>
      </w:r>
      <w:r w:rsidRPr="007456D5" w:rsidR="002B7C09">
        <w:rPr>
          <w:rFonts w:ascii="Verdana" w:hAnsi="Verdana"/>
          <w:sz w:val="18"/>
          <w:szCs w:val="18"/>
        </w:rPr>
        <w:t xml:space="preserve"> </w:t>
      </w:r>
      <w:r w:rsidR="00B9660D">
        <w:rPr>
          <w:rFonts w:ascii="Verdana" w:hAnsi="Verdana"/>
          <w:sz w:val="18"/>
          <w:szCs w:val="18"/>
        </w:rPr>
        <w:t>aan het ESAP</w:t>
      </w:r>
      <w:r w:rsidRPr="007456D5" w:rsidR="005B66FE">
        <w:rPr>
          <w:rFonts w:ascii="Verdana" w:hAnsi="Verdana"/>
          <w:sz w:val="18"/>
          <w:szCs w:val="18"/>
        </w:rPr>
        <w:t xml:space="preserve"> onder vermelding van de naam en identificatiecode van de betrokken entiteit (onderdelen a en b). Daarnaast moet de AFM aangeven </w:t>
      </w:r>
      <w:r w:rsidR="008B1ED4">
        <w:rPr>
          <w:rFonts w:ascii="Verdana" w:hAnsi="Verdana"/>
          <w:sz w:val="18"/>
          <w:szCs w:val="18"/>
        </w:rPr>
        <w:t xml:space="preserve">dat </w:t>
      </w:r>
      <w:r w:rsidRPr="007456D5" w:rsidR="005B66FE">
        <w:rPr>
          <w:rFonts w:ascii="Verdana" w:hAnsi="Verdana"/>
          <w:sz w:val="18"/>
          <w:szCs w:val="18"/>
        </w:rPr>
        <w:t>de informatie verplicht wordt ver</w:t>
      </w:r>
      <w:r w:rsidR="008B1ED4">
        <w:rPr>
          <w:rFonts w:ascii="Verdana" w:hAnsi="Verdana"/>
          <w:sz w:val="18"/>
          <w:szCs w:val="18"/>
        </w:rPr>
        <w:t>s</w:t>
      </w:r>
      <w:r w:rsidRPr="007456D5" w:rsidR="005B66FE">
        <w:rPr>
          <w:rFonts w:ascii="Verdana" w:hAnsi="Verdana"/>
          <w:sz w:val="18"/>
          <w:szCs w:val="18"/>
        </w:rPr>
        <w:t xml:space="preserve">trekt ten behoeve van openbaarmaking </w:t>
      </w:r>
      <w:r w:rsidR="00B9660D">
        <w:rPr>
          <w:rFonts w:ascii="Verdana" w:hAnsi="Verdana"/>
          <w:sz w:val="18"/>
          <w:szCs w:val="18"/>
        </w:rPr>
        <w:t>op het ESAP</w:t>
      </w:r>
      <w:r w:rsidRPr="007456D5" w:rsidR="002B7C09">
        <w:rPr>
          <w:rFonts w:ascii="Verdana" w:hAnsi="Verdana"/>
          <w:sz w:val="18"/>
          <w:szCs w:val="18"/>
        </w:rPr>
        <w:t xml:space="preserve"> </w:t>
      </w:r>
      <w:r w:rsidRPr="007456D5" w:rsidR="005B66FE">
        <w:rPr>
          <w:rFonts w:ascii="Verdana" w:hAnsi="Verdana"/>
          <w:sz w:val="18"/>
          <w:szCs w:val="18"/>
        </w:rPr>
        <w:t>(onderdeel c) en of er persoonsgegevens aanwezig zijn (onderdeel d).</w:t>
      </w:r>
      <w:r w:rsidRPr="007456D5" w:rsidR="000B7FF2">
        <w:rPr>
          <w:rFonts w:ascii="Verdana" w:hAnsi="Verdana"/>
          <w:sz w:val="18"/>
          <w:szCs w:val="18"/>
        </w:rPr>
        <w:t xml:space="preserve"> Verstrekking geschiedt in een voor data-extractie geschikt formaat zoals gedefinieerd in artikel 2, onder 3, van Verordening (EU) 2023/2859 (verordening oprichting ESAP).</w:t>
      </w:r>
    </w:p>
    <w:p w:rsidRPr="007456D5" w:rsidR="000B7FF2" w:rsidP="001A189C" w:rsidRDefault="000B7FF2" w14:paraId="4551FF8F" w14:textId="77777777">
      <w:pPr>
        <w:widowControl w:val="0"/>
        <w:spacing w:line="240" w:lineRule="atLeast"/>
        <w:contextualSpacing/>
        <w:rPr>
          <w:rFonts w:ascii="Verdana" w:hAnsi="Verdana"/>
          <w:sz w:val="18"/>
          <w:szCs w:val="18"/>
        </w:rPr>
      </w:pPr>
    </w:p>
    <w:p w:rsidR="00774664" w:rsidP="001A189C" w:rsidRDefault="00774664" w14:paraId="717AAE24" w14:textId="77777777">
      <w:pPr>
        <w:spacing w:after="160" w:line="240" w:lineRule="atLeast"/>
        <w:contextualSpacing/>
        <w:rPr>
          <w:rFonts w:ascii="Verdana" w:hAnsi="Verdana" w:eastAsia="Calibri"/>
          <w:b/>
          <w:bCs/>
          <w:kern w:val="2"/>
          <w:sz w:val="18"/>
          <w:szCs w:val="18"/>
          <w:lang w:eastAsia="en-US"/>
          <w14:ligatures w14:val="standardContextual"/>
        </w:rPr>
      </w:pPr>
    </w:p>
    <w:p w:rsidRPr="007456D5" w:rsidR="00FE2F2D" w:rsidP="001A189C" w:rsidRDefault="00FE2F2D" w14:paraId="61699C94" w14:textId="7DEC68BA">
      <w:pPr>
        <w:spacing w:after="160"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b/>
          <w:bCs/>
          <w:kern w:val="2"/>
          <w:sz w:val="18"/>
          <w:szCs w:val="18"/>
          <w:lang w:eastAsia="en-US"/>
          <w14:ligatures w14:val="standardContextual"/>
        </w:rPr>
        <w:t>A</w:t>
      </w:r>
      <w:r w:rsidRPr="007456D5" w:rsidR="007456D5">
        <w:rPr>
          <w:rFonts w:ascii="Verdana" w:hAnsi="Verdana" w:eastAsia="Calibri"/>
          <w:b/>
          <w:bCs/>
          <w:kern w:val="2"/>
          <w:sz w:val="18"/>
          <w:szCs w:val="18"/>
          <w:lang w:eastAsia="en-US"/>
          <w14:ligatures w14:val="standardContextual"/>
        </w:rPr>
        <w:t>RTIKEL</w:t>
      </w:r>
      <w:r w:rsidRPr="007456D5">
        <w:rPr>
          <w:rFonts w:ascii="Verdana" w:hAnsi="Verdana" w:eastAsia="Calibri"/>
          <w:b/>
          <w:bCs/>
          <w:kern w:val="2"/>
          <w:sz w:val="18"/>
          <w:szCs w:val="18"/>
          <w:lang w:eastAsia="en-US"/>
          <w14:ligatures w14:val="standardContextual"/>
        </w:rPr>
        <w:t xml:space="preserve"> III (Boek 2 Burgerlijk Wetboek)</w:t>
      </w:r>
    </w:p>
    <w:p w:rsidR="00CB00E4" w:rsidP="001A189C" w:rsidRDefault="00CB00E4" w14:paraId="183D1048" w14:textId="77777777">
      <w:pPr>
        <w:spacing w:after="160" w:line="240" w:lineRule="atLeast"/>
        <w:contextualSpacing/>
        <w:rPr>
          <w:rFonts w:ascii="Verdana" w:hAnsi="Verdana" w:eastAsia="Calibri"/>
          <w:kern w:val="2"/>
          <w:sz w:val="18"/>
          <w:szCs w:val="18"/>
          <w:lang w:eastAsia="en-US"/>
          <w14:ligatures w14:val="standardContextual"/>
        </w:rPr>
      </w:pPr>
    </w:p>
    <w:p w:rsidRPr="007456D5" w:rsidR="00FE2F2D" w:rsidP="001A189C" w:rsidRDefault="00FE2F2D" w14:paraId="2BA8D6AC" w14:textId="0E135F56">
      <w:pPr>
        <w:spacing w:after="160"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A en B </w:t>
      </w:r>
      <w:r w:rsidRPr="007456D5">
        <w:rPr>
          <w:rFonts w:ascii="Verdana" w:hAnsi="Verdana" w:eastAsia="Calibri"/>
          <w:i/>
          <w:iCs/>
          <w:kern w:val="2"/>
          <w:sz w:val="18"/>
          <w:szCs w:val="18"/>
          <w:lang w:eastAsia="en-US"/>
          <w14:ligatures w14:val="standardContextual"/>
        </w:rPr>
        <w:t>(artikelen 135a en 135b)</w:t>
      </w:r>
    </w:p>
    <w:p w:rsidR="00627534" w:rsidP="001A189C" w:rsidRDefault="00627534" w14:paraId="781785D5" w14:textId="77777777">
      <w:pPr>
        <w:widowControl w:val="0"/>
        <w:spacing w:line="240" w:lineRule="atLeast"/>
        <w:contextualSpacing/>
        <w:rPr>
          <w:rFonts w:ascii="Verdana" w:hAnsi="Verdana" w:eastAsia="Calibri"/>
          <w:kern w:val="2"/>
          <w:sz w:val="18"/>
          <w:szCs w:val="18"/>
          <w:lang w:eastAsia="en-US"/>
          <w14:ligatures w14:val="standardContextual"/>
        </w:rPr>
      </w:pPr>
      <w:bookmarkStart w:name="_Hlk203578403" w:id="7"/>
    </w:p>
    <w:p w:rsidR="00FE2F2D" w:rsidP="001A189C" w:rsidRDefault="00FE2F2D" w14:paraId="07405676" w14:textId="644D71D0">
      <w:pPr>
        <w:widowControl w:val="0"/>
        <w:spacing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De wijziging van de artikelen 2:135a en 2:135b </w:t>
      </w:r>
      <w:r w:rsidR="006A4DFD">
        <w:rPr>
          <w:rFonts w:ascii="Verdana" w:hAnsi="Verdana" w:eastAsia="Calibri"/>
          <w:kern w:val="2"/>
          <w:sz w:val="18"/>
          <w:szCs w:val="18"/>
          <w:lang w:eastAsia="en-US"/>
          <w14:ligatures w14:val="standardContextual"/>
        </w:rPr>
        <w:t xml:space="preserve">Burgerlijk Wetboek (hierna: </w:t>
      </w:r>
      <w:r w:rsidRPr="007456D5">
        <w:rPr>
          <w:rFonts w:ascii="Verdana" w:hAnsi="Verdana" w:eastAsia="Calibri"/>
          <w:kern w:val="2"/>
          <w:sz w:val="18"/>
          <w:szCs w:val="18"/>
          <w:lang w:eastAsia="en-US"/>
          <w14:ligatures w14:val="standardContextual"/>
        </w:rPr>
        <w:t>BW</w:t>
      </w:r>
      <w:r w:rsidR="006A4DFD">
        <w:rPr>
          <w:rFonts w:ascii="Verdana" w:hAnsi="Verdana" w:eastAsia="Calibri"/>
          <w:kern w:val="2"/>
          <w:sz w:val="18"/>
          <w:szCs w:val="18"/>
          <w:lang w:eastAsia="en-US"/>
          <w14:ligatures w14:val="standardContextual"/>
        </w:rPr>
        <w:t>)</w:t>
      </w:r>
      <w:r w:rsidRPr="007456D5">
        <w:rPr>
          <w:rFonts w:ascii="Verdana" w:hAnsi="Verdana" w:eastAsia="Calibri"/>
          <w:kern w:val="2"/>
          <w:sz w:val="18"/>
          <w:szCs w:val="18"/>
          <w:lang w:eastAsia="en-US"/>
          <w14:ligatures w14:val="standardContextual"/>
        </w:rPr>
        <w:t xml:space="preserve"> volgt uit artikel 5 van </w:t>
      </w:r>
      <w:r w:rsidR="00D82101">
        <w:rPr>
          <w:rFonts w:ascii="Verdana" w:hAnsi="Verdana" w:eastAsia="Calibri"/>
          <w:kern w:val="2"/>
          <w:sz w:val="18"/>
          <w:szCs w:val="18"/>
          <w:lang w:eastAsia="en-US"/>
          <w14:ligatures w14:val="standardContextual"/>
        </w:rPr>
        <w:t>r</w:t>
      </w:r>
      <w:r w:rsidR="00A65911">
        <w:rPr>
          <w:rFonts w:ascii="Verdana" w:hAnsi="Verdana" w:eastAsia="Calibri"/>
          <w:kern w:val="2"/>
          <w:sz w:val="18"/>
          <w:szCs w:val="18"/>
          <w:lang w:eastAsia="en-US"/>
          <w14:ligatures w14:val="standardContextual"/>
        </w:rPr>
        <w:t>ichtlijn ESAP</w:t>
      </w:r>
      <w:r w:rsidRPr="007456D5">
        <w:rPr>
          <w:rFonts w:ascii="Verdana" w:hAnsi="Verdana" w:eastAsia="Calibri"/>
          <w:kern w:val="2"/>
          <w:sz w:val="18"/>
          <w:szCs w:val="18"/>
          <w:lang w:eastAsia="en-US"/>
          <w14:ligatures w14:val="standardContextual"/>
        </w:rPr>
        <w:t xml:space="preserve">, dat artikel 14quater toevoegt aan de aandeelhoudersrichtlijn 2007/36/EG. Artikel 2:135a BW gaat over </w:t>
      </w:r>
      <w:bookmarkEnd w:id="7"/>
      <w:r w:rsidRPr="007456D5">
        <w:rPr>
          <w:rFonts w:ascii="Verdana" w:hAnsi="Verdana" w:eastAsia="Calibri"/>
          <w:kern w:val="2"/>
          <w:sz w:val="18"/>
          <w:szCs w:val="18"/>
          <w:lang w:eastAsia="en-US"/>
          <w14:ligatures w14:val="standardContextual"/>
        </w:rPr>
        <w:t>de verplichting voor beursvennootschappen (met uitzondering van beleggingsmaatschappijen met veranderlijk kapitaal) om minimaal iedere vier jaar het bezoldigingsbeleid te laten vaststellen door de algemene vergadering. Artikel 2:135b BW gaat over het jaarlijks door de beursvennootschap op te stellen bezoldigingsverslag, waarin een overzicht staat van alle bezoldigingen die in het voorgaande boekjaar aan individuele bestuurders zijn toegekend of verschuldigd zijn. Beide documenten moet</w:t>
      </w:r>
      <w:r w:rsidRPr="007456D5" w:rsidR="00DF17C0">
        <w:rPr>
          <w:rFonts w:ascii="Verdana" w:hAnsi="Verdana" w:eastAsia="Calibri"/>
          <w:kern w:val="2"/>
          <w:sz w:val="18"/>
          <w:szCs w:val="18"/>
          <w:lang w:eastAsia="en-US"/>
          <w14:ligatures w14:val="standardContextual"/>
        </w:rPr>
        <w:t>en</w:t>
      </w:r>
      <w:r w:rsidRPr="007456D5">
        <w:rPr>
          <w:rFonts w:ascii="Verdana" w:hAnsi="Verdana" w:eastAsia="Calibri"/>
          <w:kern w:val="2"/>
          <w:sz w:val="18"/>
          <w:szCs w:val="18"/>
          <w:lang w:eastAsia="en-US"/>
          <w14:ligatures w14:val="standardContextual"/>
        </w:rPr>
        <w:t xml:space="preserve"> onverwijld na de algemene vergadering waarin ze geagendeerd waren, openbaar worden gemaakt op de website van de vennootschap. Daarbij voegt het wetsvoorstel nu het voorschrift toe om het bezoldigingsbeleid en het bezoldigingsverslag ook gelijktijdig met de publicatie op de website, naar de</w:t>
      </w:r>
      <w:r w:rsidRPr="007456D5" w:rsidR="00676CD2">
        <w:rPr>
          <w:rFonts w:ascii="Verdana" w:hAnsi="Verdana" w:eastAsia="Calibri"/>
          <w:kern w:val="2"/>
          <w:sz w:val="18"/>
          <w:szCs w:val="18"/>
          <w:lang w:eastAsia="en-US"/>
          <w14:ligatures w14:val="standardContextual"/>
        </w:rPr>
        <w:t xml:space="preserve"> </w:t>
      </w:r>
      <w:r w:rsidRPr="007456D5" w:rsidR="0093768A">
        <w:rPr>
          <w:rFonts w:ascii="Verdana" w:hAnsi="Verdana" w:eastAsia="Calibri"/>
          <w:kern w:val="2"/>
          <w:sz w:val="18"/>
          <w:szCs w:val="18"/>
          <w:lang w:eastAsia="en-US"/>
          <w14:ligatures w14:val="standardContextual"/>
        </w:rPr>
        <w:t>AFM</w:t>
      </w:r>
      <w:r w:rsidRPr="007456D5" w:rsidR="00676CD2">
        <w:rPr>
          <w:rFonts w:ascii="Verdana" w:hAnsi="Verdana" w:eastAsia="Calibri"/>
          <w:kern w:val="2"/>
          <w:sz w:val="18"/>
          <w:szCs w:val="18"/>
          <w:lang w:eastAsia="en-US"/>
          <w14:ligatures w14:val="standardContextual"/>
        </w:rPr>
        <w:t xml:space="preserve"> als</w:t>
      </w:r>
      <w:r w:rsidRPr="007456D5">
        <w:rPr>
          <w:rFonts w:ascii="Verdana" w:hAnsi="Verdana" w:eastAsia="Calibri"/>
          <w:kern w:val="2"/>
          <w:sz w:val="18"/>
          <w:szCs w:val="18"/>
          <w:lang w:eastAsia="en-US"/>
          <w14:ligatures w14:val="standardContextual"/>
        </w:rPr>
        <w:t xml:space="preserve"> verzamelende instantie te sturen, die ze </w:t>
      </w:r>
      <w:r w:rsidRPr="007456D5" w:rsidR="00DF17C0">
        <w:rPr>
          <w:rFonts w:ascii="Verdana" w:hAnsi="Verdana" w:eastAsia="Calibri"/>
          <w:kern w:val="2"/>
          <w:sz w:val="18"/>
          <w:szCs w:val="18"/>
          <w:lang w:eastAsia="en-US"/>
          <w14:ligatures w14:val="standardContextual"/>
        </w:rPr>
        <w:t>verstrekt aan</w:t>
      </w:r>
      <w:r w:rsidRPr="007456D5">
        <w:rPr>
          <w:rFonts w:ascii="Verdana" w:hAnsi="Verdana" w:eastAsia="Calibri"/>
          <w:kern w:val="2"/>
          <w:sz w:val="18"/>
          <w:szCs w:val="18"/>
          <w:lang w:eastAsia="en-US"/>
          <w14:ligatures w14:val="standardContextual"/>
        </w:rPr>
        <w:t xml:space="preserve"> het ESAP. </w:t>
      </w:r>
      <w:bookmarkStart w:name="_Hlk203577654" w:id="8"/>
      <w:r w:rsidRPr="007456D5">
        <w:rPr>
          <w:rFonts w:ascii="Verdana" w:hAnsi="Verdana" w:eastAsia="Calibri"/>
          <w:kern w:val="2"/>
          <w:sz w:val="18"/>
          <w:szCs w:val="18"/>
          <w:lang w:eastAsia="en-US"/>
          <w14:ligatures w14:val="standardContextual"/>
        </w:rPr>
        <w:t>Het bezoldigingsbeleid en het bezoldigingsverslag moeten aan de gebruikelijk</w:t>
      </w:r>
      <w:r w:rsidRPr="007456D5" w:rsidR="00DF17C0">
        <w:rPr>
          <w:rFonts w:ascii="Verdana" w:hAnsi="Verdana" w:eastAsia="Calibri"/>
          <w:kern w:val="2"/>
          <w:sz w:val="18"/>
          <w:szCs w:val="18"/>
          <w:lang w:eastAsia="en-US"/>
          <w14:ligatures w14:val="standardContextual"/>
        </w:rPr>
        <w:t>e</w:t>
      </w:r>
      <w:r w:rsidRPr="007456D5">
        <w:rPr>
          <w:rFonts w:ascii="Verdana" w:hAnsi="Verdana" w:eastAsia="Calibri"/>
          <w:kern w:val="2"/>
          <w:sz w:val="18"/>
          <w:szCs w:val="18"/>
          <w:lang w:eastAsia="en-US"/>
          <w14:ligatures w14:val="standardContextual"/>
        </w:rPr>
        <w:t xml:space="preserve"> eisen voldoen wat betreft formaat en metadata</w:t>
      </w:r>
      <w:bookmarkEnd w:id="8"/>
      <w:r w:rsidRPr="007456D5">
        <w:rPr>
          <w:rFonts w:ascii="Verdana" w:hAnsi="Verdana" w:eastAsia="Calibri"/>
          <w:kern w:val="2"/>
          <w:sz w:val="18"/>
          <w:szCs w:val="18"/>
          <w:lang w:eastAsia="en-US"/>
          <w14:ligatures w14:val="standardContextual"/>
        </w:rPr>
        <w:t>.</w:t>
      </w:r>
      <w:r w:rsidRPr="007456D5" w:rsidR="00B549E3">
        <w:rPr>
          <w:rFonts w:ascii="Verdana" w:hAnsi="Verdana"/>
          <w:sz w:val="18"/>
          <w:szCs w:val="18"/>
        </w:rPr>
        <w:t xml:space="preserve"> Zie voor een verdere toelichting waaraan de informatieverstrekking moet voldoen de toelichting bij</w:t>
      </w:r>
      <w:r w:rsidRPr="007456D5" w:rsidR="00E71EBC">
        <w:rPr>
          <w:rFonts w:ascii="Verdana" w:hAnsi="Verdana"/>
          <w:sz w:val="18"/>
          <w:szCs w:val="18"/>
        </w:rPr>
        <w:t xml:space="preserve"> artikel 1, onderdeel </w:t>
      </w:r>
      <w:r w:rsidRPr="007456D5" w:rsidR="00E71EBC">
        <w:rPr>
          <w:rFonts w:ascii="Verdana" w:hAnsi="Verdana" w:cs="Arial"/>
          <w:sz w:val="18"/>
          <w:szCs w:val="18"/>
        </w:rPr>
        <w:t>H t/m AE</w:t>
      </w:r>
      <w:r w:rsidRPr="007456D5" w:rsidR="00B549E3">
        <w:rPr>
          <w:rFonts w:ascii="Verdana" w:hAnsi="Verdana"/>
          <w:sz w:val="18"/>
          <w:szCs w:val="18"/>
        </w:rPr>
        <w:t>.</w:t>
      </w:r>
      <w:r w:rsidRPr="007456D5" w:rsidR="00E71EBC">
        <w:rPr>
          <w:rFonts w:ascii="Verdana" w:hAnsi="Verdana"/>
          <w:sz w:val="18"/>
          <w:szCs w:val="18"/>
        </w:rPr>
        <w:t xml:space="preserve"> </w:t>
      </w:r>
      <w:r w:rsidRPr="007456D5">
        <w:rPr>
          <w:rFonts w:ascii="Verdana" w:hAnsi="Verdana" w:eastAsia="Calibri"/>
          <w:kern w:val="2"/>
          <w:sz w:val="18"/>
          <w:szCs w:val="18"/>
          <w:lang w:eastAsia="en-US"/>
          <w14:ligatures w14:val="standardContextual"/>
        </w:rPr>
        <w:t>Het bezoldigingsverslag zal jaarlijks via ESAP openbaar gemaakt moeten worden, het bezoldigingsbeleid zo vaak als het wordt vastgesteld en dus minimaal iedere vier jaar.</w:t>
      </w:r>
    </w:p>
    <w:p w:rsidR="00D82101" w:rsidP="001A189C" w:rsidRDefault="00D82101" w14:paraId="31F10D52" w14:textId="77777777">
      <w:pPr>
        <w:widowControl w:val="0"/>
        <w:spacing w:line="240" w:lineRule="atLeast"/>
        <w:contextualSpacing/>
        <w:rPr>
          <w:rFonts w:ascii="Verdana" w:hAnsi="Verdana" w:eastAsia="Calibri"/>
          <w:kern w:val="2"/>
          <w:sz w:val="18"/>
          <w:szCs w:val="18"/>
          <w:lang w:eastAsia="en-US"/>
          <w14:ligatures w14:val="standardContextual"/>
        </w:rPr>
      </w:pPr>
    </w:p>
    <w:p w:rsidRPr="007456D5" w:rsidR="000D3D44" w:rsidP="001A189C" w:rsidRDefault="001D3706" w14:paraId="49313778" w14:textId="48FE5B5A">
      <w:pPr>
        <w:widowControl w:val="0"/>
        <w:spacing w:line="240" w:lineRule="atLeast"/>
        <w:contextualSpacing/>
        <w:rPr>
          <w:rFonts w:ascii="Verdana" w:hAnsi="Verdana" w:eastAsia="Calibri"/>
          <w:kern w:val="2"/>
          <w:sz w:val="18"/>
          <w:szCs w:val="18"/>
          <w:lang w:eastAsia="en-US"/>
          <w14:ligatures w14:val="standardContextual"/>
        </w:rPr>
      </w:pPr>
      <w:r>
        <w:rPr>
          <w:rFonts w:ascii="Verdana" w:hAnsi="Verdana" w:eastAsia="Calibri"/>
          <w:kern w:val="2"/>
          <w:sz w:val="18"/>
          <w:szCs w:val="18"/>
          <w:lang w:eastAsia="en-US"/>
          <w14:ligatures w14:val="standardContextual"/>
        </w:rPr>
        <w:t xml:space="preserve">Ondernemingen nemen het </w:t>
      </w:r>
      <w:r w:rsidRPr="000D3D44" w:rsidR="000D3D44">
        <w:rPr>
          <w:rFonts w:ascii="Verdana" w:hAnsi="Verdana" w:eastAsia="Calibri"/>
          <w:kern w:val="2"/>
          <w:sz w:val="18"/>
          <w:szCs w:val="18"/>
          <w:lang w:eastAsia="en-US"/>
          <w14:ligatures w14:val="standardContextual"/>
        </w:rPr>
        <w:t xml:space="preserve">bezoldigingsverslag </w:t>
      </w:r>
      <w:r>
        <w:rPr>
          <w:rFonts w:ascii="Verdana" w:hAnsi="Verdana" w:eastAsia="Calibri"/>
          <w:kern w:val="2"/>
          <w:sz w:val="18"/>
          <w:szCs w:val="18"/>
          <w:lang w:eastAsia="en-US"/>
          <w14:ligatures w14:val="standardContextual"/>
        </w:rPr>
        <w:t xml:space="preserve">veelal op </w:t>
      </w:r>
      <w:r w:rsidR="00FF7A71">
        <w:rPr>
          <w:rFonts w:ascii="Verdana" w:hAnsi="Verdana" w:eastAsia="Calibri"/>
          <w:kern w:val="2"/>
          <w:sz w:val="18"/>
          <w:szCs w:val="18"/>
          <w:lang w:eastAsia="en-US"/>
          <w14:ligatures w14:val="standardContextual"/>
        </w:rPr>
        <w:t>bij</w:t>
      </w:r>
      <w:r>
        <w:rPr>
          <w:rFonts w:ascii="Verdana" w:hAnsi="Verdana" w:eastAsia="Calibri"/>
          <w:kern w:val="2"/>
          <w:sz w:val="18"/>
          <w:szCs w:val="18"/>
          <w:lang w:eastAsia="en-US"/>
          <w14:ligatures w14:val="standardContextual"/>
        </w:rPr>
        <w:t xml:space="preserve"> de stukken die jaarlijks naar de AFM of KvK worden gestuurd, dus samen met de jaarrekening, bestuursverslag e.d. </w:t>
      </w:r>
      <w:r w:rsidRPr="000D3D44" w:rsidR="000D3D44">
        <w:rPr>
          <w:rFonts w:ascii="Verdana" w:hAnsi="Verdana" w:eastAsia="Calibri"/>
          <w:kern w:val="2"/>
          <w:sz w:val="18"/>
          <w:szCs w:val="18"/>
          <w:lang w:eastAsia="en-US"/>
          <w14:ligatures w14:val="standardContextual"/>
        </w:rPr>
        <w:t xml:space="preserve">in één document, soms aangeduid als ‘jaarverslag’ of ‘jaarverantwoording’. In dat geval </w:t>
      </w:r>
      <w:r w:rsidR="00F00FA6">
        <w:rPr>
          <w:rFonts w:ascii="Verdana" w:hAnsi="Verdana" w:eastAsia="Calibri"/>
          <w:kern w:val="2"/>
          <w:sz w:val="18"/>
          <w:szCs w:val="18"/>
          <w:lang w:eastAsia="en-US"/>
          <w14:ligatures w14:val="standardContextual"/>
        </w:rPr>
        <w:t>hoeft</w:t>
      </w:r>
      <w:r w:rsidRPr="000D3D44" w:rsidR="000D3D44">
        <w:rPr>
          <w:rFonts w:ascii="Verdana" w:hAnsi="Verdana" w:eastAsia="Calibri"/>
          <w:kern w:val="2"/>
          <w:sz w:val="18"/>
          <w:szCs w:val="18"/>
          <w:lang w:eastAsia="en-US"/>
          <w14:ligatures w14:val="standardContextual"/>
        </w:rPr>
        <w:t xml:space="preserve"> het bezoldigingsrapport niet ‘separaat’ </w:t>
      </w:r>
      <w:r w:rsidR="00F00FA6">
        <w:rPr>
          <w:rFonts w:ascii="Verdana" w:hAnsi="Verdana" w:eastAsia="Calibri"/>
          <w:kern w:val="2"/>
          <w:sz w:val="18"/>
          <w:szCs w:val="18"/>
          <w:lang w:eastAsia="en-US"/>
          <w14:ligatures w14:val="standardContextual"/>
        </w:rPr>
        <w:t xml:space="preserve">te </w:t>
      </w:r>
      <w:r w:rsidRPr="000D3D44" w:rsidR="000D3D44">
        <w:rPr>
          <w:rFonts w:ascii="Verdana" w:hAnsi="Verdana" w:eastAsia="Calibri"/>
          <w:kern w:val="2"/>
          <w:sz w:val="18"/>
          <w:szCs w:val="18"/>
          <w:lang w:eastAsia="en-US"/>
          <w14:ligatures w14:val="standardContextual"/>
        </w:rPr>
        <w:t xml:space="preserve">worden toegezonden aan de </w:t>
      </w:r>
      <w:r w:rsidR="00FF7A71">
        <w:rPr>
          <w:rFonts w:ascii="Verdana" w:hAnsi="Verdana" w:eastAsia="Calibri"/>
          <w:kern w:val="2"/>
          <w:sz w:val="18"/>
          <w:szCs w:val="18"/>
          <w:lang w:eastAsia="en-US"/>
          <w14:ligatures w14:val="standardContextual"/>
        </w:rPr>
        <w:t xml:space="preserve">AFM of </w:t>
      </w:r>
      <w:r w:rsidRPr="000D3D44" w:rsidR="000D3D44">
        <w:rPr>
          <w:rFonts w:ascii="Verdana" w:hAnsi="Verdana" w:eastAsia="Calibri"/>
          <w:kern w:val="2"/>
          <w:sz w:val="18"/>
          <w:szCs w:val="18"/>
          <w:lang w:eastAsia="en-US"/>
          <w14:ligatures w14:val="standardContextual"/>
        </w:rPr>
        <w:t>KVK</w:t>
      </w:r>
      <w:r w:rsidR="00F00FA6">
        <w:rPr>
          <w:rFonts w:ascii="Verdana" w:hAnsi="Verdana" w:eastAsia="Calibri"/>
          <w:kern w:val="2"/>
          <w:sz w:val="18"/>
          <w:szCs w:val="18"/>
          <w:lang w:eastAsia="en-US"/>
          <w14:ligatures w14:val="standardContextual"/>
        </w:rPr>
        <w:t xml:space="preserve">, mits </w:t>
      </w:r>
      <w:r w:rsidR="00FF7A71">
        <w:rPr>
          <w:rFonts w:ascii="Verdana" w:hAnsi="Verdana" w:eastAsia="Calibri"/>
          <w:kern w:val="2"/>
          <w:sz w:val="18"/>
          <w:szCs w:val="18"/>
          <w:lang w:eastAsia="en-US"/>
          <w14:ligatures w14:val="standardContextual"/>
        </w:rPr>
        <w:t>dat verzameldocument is opgesteld overeenkomstig de eisen aan het format en de metadata</w:t>
      </w:r>
      <w:r w:rsidR="00F00FA6">
        <w:rPr>
          <w:rFonts w:ascii="Verdana" w:hAnsi="Verdana" w:eastAsia="Calibri"/>
          <w:kern w:val="2"/>
          <w:sz w:val="18"/>
          <w:szCs w:val="18"/>
          <w:lang w:eastAsia="en-US"/>
          <w14:ligatures w14:val="standardContextual"/>
        </w:rPr>
        <w:t>. D</w:t>
      </w:r>
      <w:r w:rsidR="00FF7A71">
        <w:rPr>
          <w:rFonts w:ascii="Verdana" w:hAnsi="Verdana" w:eastAsia="Calibri"/>
          <w:kern w:val="2"/>
          <w:sz w:val="18"/>
          <w:szCs w:val="18"/>
          <w:lang w:eastAsia="en-US"/>
          <w14:ligatures w14:val="standardContextual"/>
        </w:rPr>
        <w:t xml:space="preserve">e onderneming </w:t>
      </w:r>
      <w:r w:rsidR="00F00FA6">
        <w:rPr>
          <w:rFonts w:ascii="Verdana" w:hAnsi="Verdana" w:eastAsia="Calibri"/>
          <w:kern w:val="2"/>
          <w:sz w:val="18"/>
          <w:szCs w:val="18"/>
          <w:lang w:eastAsia="en-US"/>
          <w14:ligatures w14:val="standardContextual"/>
        </w:rPr>
        <w:t xml:space="preserve">heeft </w:t>
      </w:r>
      <w:r w:rsidR="00FF7A71">
        <w:rPr>
          <w:rFonts w:ascii="Verdana" w:hAnsi="Verdana" w:eastAsia="Calibri"/>
          <w:kern w:val="2"/>
          <w:sz w:val="18"/>
          <w:szCs w:val="18"/>
          <w:lang w:eastAsia="en-US"/>
          <w14:ligatures w14:val="standardContextual"/>
        </w:rPr>
        <w:t xml:space="preserve">daarmee voldaan aan de verplichting uit hoofde van </w:t>
      </w:r>
      <w:r w:rsidR="00F00FA6">
        <w:rPr>
          <w:rFonts w:ascii="Verdana" w:hAnsi="Verdana" w:eastAsia="Calibri"/>
          <w:kern w:val="2"/>
          <w:sz w:val="18"/>
          <w:szCs w:val="18"/>
          <w:lang w:eastAsia="en-US"/>
          <w14:ligatures w14:val="standardContextual"/>
        </w:rPr>
        <w:t>artikel 135b, zevende lid.</w:t>
      </w:r>
    </w:p>
    <w:p w:rsidRPr="007456D5" w:rsidR="00E71EBC" w:rsidP="001A189C" w:rsidRDefault="00E71EBC" w14:paraId="0531A22B" w14:textId="77777777">
      <w:pPr>
        <w:widowControl w:val="0"/>
        <w:spacing w:line="240" w:lineRule="atLeast"/>
        <w:contextualSpacing/>
        <w:rPr>
          <w:rFonts w:ascii="Verdana" w:hAnsi="Verdana"/>
          <w:sz w:val="18"/>
          <w:szCs w:val="18"/>
        </w:rPr>
      </w:pPr>
    </w:p>
    <w:p w:rsidR="00FE2F2D" w:rsidP="001A189C" w:rsidRDefault="00FE2F2D" w14:paraId="4A419567" w14:textId="048820AF">
      <w:pPr>
        <w:spacing w:after="160" w:line="240" w:lineRule="atLeast"/>
        <w:contextualSpacing/>
        <w:rPr>
          <w:rFonts w:ascii="Verdana" w:hAnsi="Verdana" w:eastAsia="Calibri"/>
          <w:i/>
          <w:iCs/>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C en D </w:t>
      </w:r>
      <w:r w:rsidRPr="007456D5">
        <w:rPr>
          <w:rFonts w:ascii="Verdana" w:hAnsi="Verdana" w:eastAsia="Calibri"/>
          <w:i/>
          <w:iCs/>
          <w:kern w:val="2"/>
          <w:sz w:val="18"/>
          <w:szCs w:val="18"/>
          <w:lang w:eastAsia="en-US"/>
          <w14:ligatures w14:val="standardContextual"/>
        </w:rPr>
        <w:t>(artikel</w:t>
      </w:r>
      <w:r w:rsidRPr="007456D5" w:rsidR="00B549E3">
        <w:rPr>
          <w:rFonts w:ascii="Verdana" w:hAnsi="Verdana" w:eastAsia="Calibri"/>
          <w:i/>
          <w:iCs/>
          <w:kern w:val="2"/>
          <w:sz w:val="18"/>
          <w:szCs w:val="18"/>
          <w:lang w:eastAsia="en-US"/>
          <w14:ligatures w14:val="standardContextual"/>
        </w:rPr>
        <w:t>en</w:t>
      </w:r>
      <w:r w:rsidRPr="007456D5">
        <w:rPr>
          <w:rFonts w:ascii="Verdana" w:hAnsi="Verdana" w:eastAsia="Calibri"/>
          <w:i/>
          <w:iCs/>
          <w:kern w:val="2"/>
          <w:sz w:val="18"/>
          <w:szCs w:val="18"/>
          <w:lang w:eastAsia="en-US"/>
          <w14:ligatures w14:val="standardContextual"/>
        </w:rPr>
        <w:t xml:space="preserve"> 169 en 170)</w:t>
      </w:r>
    </w:p>
    <w:p w:rsidRPr="007456D5" w:rsidR="00627534" w:rsidP="001A189C" w:rsidRDefault="00627534" w14:paraId="06780378" w14:textId="77777777">
      <w:pPr>
        <w:spacing w:after="160" w:line="240" w:lineRule="atLeast"/>
        <w:contextualSpacing/>
        <w:rPr>
          <w:rFonts w:ascii="Verdana" w:hAnsi="Verdana" w:eastAsia="Calibri"/>
          <w:kern w:val="2"/>
          <w:sz w:val="18"/>
          <w:szCs w:val="18"/>
          <w:lang w:eastAsia="en-US"/>
          <w14:ligatures w14:val="standardContextual"/>
        </w:rPr>
      </w:pPr>
    </w:p>
    <w:p w:rsidRPr="007456D5" w:rsidR="00FE2F2D" w:rsidP="001A189C" w:rsidRDefault="00FE2F2D" w14:paraId="510D7485" w14:textId="2E7480A6">
      <w:pPr>
        <w:widowControl w:val="0"/>
        <w:spacing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De wijziging van de artikelen 2:169 en 2:170 BW volg</w:t>
      </w:r>
      <w:r w:rsidRPr="007456D5" w:rsidR="00DF17C0">
        <w:rPr>
          <w:rFonts w:ascii="Verdana" w:hAnsi="Verdana" w:eastAsia="Calibri"/>
          <w:kern w:val="2"/>
          <w:sz w:val="18"/>
          <w:szCs w:val="18"/>
          <w:lang w:eastAsia="en-US"/>
          <w14:ligatures w14:val="standardContextual"/>
        </w:rPr>
        <w:t>t</w:t>
      </w:r>
      <w:r w:rsidRPr="007456D5">
        <w:rPr>
          <w:rFonts w:ascii="Verdana" w:hAnsi="Verdana" w:eastAsia="Calibri"/>
          <w:kern w:val="2"/>
          <w:sz w:val="18"/>
          <w:szCs w:val="18"/>
          <w:lang w:eastAsia="en-US"/>
          <w14:ligatures w14:val="standardContextual"/>
        </w:rPr>
        <w:t xml:space="preserve"> uit artikel 5 van </w:t>
      </w:r>
      <w:r w:rsidR="00A65911">
        <w:rPr>
          <w:rFonts w:ascii="Verdana" w:hAnsi="Verdana" w:eastAsia="Calibri"/>
          <w:kern w:val="2"/>
          <w:sz w:val="18"/>
          <w:szCs w:val="18"/>
          <w:lang w:eastAsia="en-US"/>
          <w14:ligatures w14:val="standardContextual"/>
        </w:rPr>
        <w:t>Richtlijn ESAP</w:t>
      </w:r>
      <w:r w:rsidRPr="007456D5" w:rsidR="0093768A">
        <w:rPr>
          <w:rFonts w:ascii="Verdana" w:hAnsi="Verdana" w:eastAsia="Calibri"/>
          <w:kern w:val="2"/>
          <w:sz w:val="18"/>
          <w:szCs w:val="18"/>
          <w:lang w:eastAsia="en-US"/>
          <w14:ligatures w14:val="standardContextual"/>
        </w:rPr>
        <w:t xml:space="preserve">, </w:t>
      </w:r>
      <w:r w:rsidRPr="007456D5">
        <w:rPr>
          <w:rFonts w:ascii="Verdana" w:hAnsi="Verdana" w:eastAsia="Calibri"/>
          <w:kern w:val="2"/>
          <w:sz w:val="18"/>
          <w:szCs w:val="18"/>
          <w:lang w:eastAsia="en-US"/>
          <w14:ligatures w14:val="standardContextual"/>
        </w:rPr>
        <w:t>dat artikel 14quater toevoegt aan de aandeelhoudersrichtlijn 2007/36/EG. Artikel 2:169 BW bevat de verplichting voor beursvennootschappen (met uitzondering van beleggingsmaatschappijen met veranderlijk kapitaal) om materiële transacties met een verbonden partij die niet in het kader van de normale bedrijfsvoering of niet onder normale marktvoorwaarden zijn aangegaan, openbaar te maken op het moment dat de transactie is aangegaan. Die openbaarmaking kan bijvoorbeeld op de website van de vennootschap, via een persbericht of op een andere</w:t>
      </w:r>
      <w:r w:rsidR="00334422">
        <w:rPr>
          <w:rFonts w:ascii="Verdana" w:hAnsi="Verdana" w:eastAsia="Calibri"/>
          <w:kern w:val="2"/>
          <w:sz w:val="18"/>
          <w:szCs w:val="18"/>
          <w:lang w:eastAsia="en-US"/>
          <w14:ligatures w14:val="standardContextual"/>
        </w:rPr>
        <w:t>,</w:t>
      </w:r>
      <w:r w:rsidRPr="007456D5">
        <w:rPr>
          <w:rFonts w:ascii="Verdana" w:hAnsi="Verdana" w:eastAsia="Calibri"/>
          <w:kern w:val="2"/>
          <w:sz w:val="18"/>
          <w:szCs w:val="18"/>
          <w:lang w:eastAsia="en-US"/>
          <w14:ligatures w14:val="standardContextual"/>
        </w:rPr>
        <w:t xml:space="preserve"> vlot toegankelijke wijze plaatsvinden. Daaraan voegt het wetsvoorstel toe dat die transacties gelijktijdig aan de </w:t>
      </w:r>
      <w:r w:rsidRPr="007456D5" w:rsidR="0093768A">
        <w:rPr>
          <w:rFonts w:ascii="Verdana" w:hAnsi="Verdana" w:eastAsia="Calibri"/>
          <w:kern w:val="2"/>
          <w:sz w:val="18"/>
          <w:szCs w:val="18"/>
          <w:lang w:eastAsia="en-US"/>
          <w14:ligatures w14:val="standardContextual"/>
        </w:rPr>
        <w:lastRenderedPageBreak/>
        <w:t xml:space="preserve">AFM als </w:t>
      </w:r>
      <w:r w:rsidRPr="007456D5">
        <w:rPr>
          <w:rFonts w:ascii="Verdana" w:hAnsi="Verdana" w:eastAsia="Calibri"/>
          <w:kern w:val="2"/>
          <w:sz w:val="18"/>
          <w:szCs w:val="18"/>
          <w:lang w:eastAsia="en-US"/>
          <w14:ligatures w14:val="standardContextual"/>
        </w:rPr>
        <w:t>verzamelende instantie moet</w:t>
      </w:r>
      <w:r w:rsidR="00F14201">
        <w:rPr>
          <w:rFonts w:ascii="Verdana" w:hAnsi="Verdana" w:eastAsia="Calibri"/>
          <w:kern w:val="2"/>
          <w:sz w:val="18"/>
          <w:szCs w:val="18"/>
          <w:lang w:eastAsia="en-US"/>
          <w14:ligatures w14:val="standardContextual"/>
        </w:rPr>
        <w:t>en</w:t>
      </w:r>
      <w:r w:rsidRPr="007456D5">
        <w:rPr>
          <w:rFonts w:ascii="Verdana" w:hAnsi="Verdana" w:eastAsia="Calibri"/>
          <w:kern w:val="2"/>
          <w:sz w:val="18"/>
          <w:szCs w:val="18"/>
          <w:lang w:eastAsia="en-US"/>
          <w14:ligatures w14:val="standardContextual"/>
        </w:rPr>
        <w:t xml:space="preserve"> worden toegezonden, ten behoeve van openbaarmaking </w:t>
      </w:r>
      <w:r w:rsidRPr="007456D5" w:rsidR="0093768A">
        <w:rPr>
          <w:rFonts w:ascii="Verdana" w:hAnsi="Verdana" w:eastAsia="Calibri"/>
          <w:kern w:val="2"/>
          <w:sz w:val="18"/>
          <w:szCs w:val="18"/>
          <w:lang w:eastAsia="en-US"/>
          <w14:ligatures w14:val="standardContextual"/>
        </w:rPr>
        <w:t>van die transacties</w:t>
      </w:r>
      <w:r w:rsidRPr="007456D5">
        <w:rPr>
          <w:rFonts w:ascii="Verdana" w:hAnsi="Verdana" w:eastAsia="Calibri"/>
          <w:kern w:val="2"/>
          <w:sz w:val="18"/>
          <w:szCs w:val="18"/>
          <w:lang w:eastAsia="en-US"/>
          <w14:ligatures w14:val="standardContextual"/>
        </w:rPr>
        <w:t xml:space="preserve"> </w:t>
      </w:r>
      <w:r w:rsidR="00B9660D">
        <w:rPr>
          <w:rFonts w:ascii="Verdana" w:hAnsi="Verdana" w:eastAsia="Calibri"/>
          <w:kern w:val="2"/>
          <w:sz w:val="18"/>
          <w:szCs w:val="18"/>
          <w:lang w:eastAsia="en-US"/>
          <w14:ligatures w14:val="standardContextual"/>
        </w:rPr>
        <w:t>op het ESAP</w:t>
      </w:r>
      <w:r w:rsidRPr="007456D5">
        <w:rPr>
          <w:rFonts w:ascii="Verdana" w:hAnsi="Verdana" w:eastAsia="Calibri"/>
          <w:kern w:val="2"/>
          <w:sz w:val="18"/>
          <w:szCs w:val="18"/>
          <w:lang w:eastAsia="en-US"/>
          <w14:ligatures w14:val="standardContextual"/>
        </w:rPr>
        <w:t>. De openbaarmaking moet aan de gebruikelijk</w:t>
      </w:r>
      <w:r w:rsidRPr="007456D5" w:rsidR="00EE4D36">
        <w:rPr>
          <w:rFonts w:ascii="Verdana" w:hAnsi="Verdana" w:eastAsia="Calibri"/>
          <w:kern w:val="2"/>
          <w:sz w:val="18"/>
          <w:szCs w:val="18"/>
          <w:lang w:eastAsia="en-US"/>
          <w14:ligatures w14:val="standardContextual"/>
        </w:rPr>
        <w:t>e</w:t>
      </w:r>
      <w:r w:rsidRPr="007456D5">
        <w:rPr>
          <w:rFonts w:ascii="Verdana" w:hAnsi="Verdana" w:eastAsia="Calibri"/>
          <w:kern w:val="2"/>
          <w:sz w:val="18"/>
          <w:szCs w:val="18"/>
          <w:lang w:eastAsia="en-US"/>
          <w14:ligatures w14:val="standardContextual"/>
        </w:rPr>
        <w:t xml:space="preserve"> eisen voldoen wat betreft formaat en metadata (</w:t>
      </w:r>
      <w:r w:rsidR="00334422">
        <w:rPr>
          <w:rFonts w:ascii="Verdana" w:hAnsi="Verdana"/>
          <w:sz w:val="18"/>
          <w:szCs w:val="18"/>
        </w:rPr>
        <w:t>z</w:t>
      </w:r>
      <w:r w:rsidRPr="007456D5" w:rsidR="00E71EBC">
        <w:rPr>
          <w:rFonts w:ascii="Verdana" w:hAnsi="Verdana"/>
          <w:sz w:val="18"/>
          <w:szCs w:val="18"/>
        </w:rPr>
        <w:t xml:space="preserve">ie voor een verdere toelichting waaraan de informatieverstrekking moet voldoen de toelichting bij artikel </w:t>
      </w:r>
      <w:r w:rsidR="00F14201">
        <w:rPr>
          <w:rFonts w:ascii="Verdana" w:hAnsi="Verdana"/>
          <w:sz w:val="18"/>
          <w:szCs w:val="18"/>
        </w:rPr>
        <w:t>I</w:t>
      </w:r>
      <w:r w:rsidRPr="007456D5" w:rsidR="00E71EBC">
        <w:rPr>
          <w:rFonts w:ascii="Verdana" w:hAnsi="Verdana"/>
          <w:sz w:val="18"/>
          <w:szCs w:val="18"/>
        </w:rPr>
        <w:t>, onderde</w:t>
      </w:r>
      <w:r w:rsidR="00F14201">
        <w:rPr>
          <w:rFonts w:ascii="Verdana" w:hAnsi="Verdana"/>
          <w:sz w:val="18"/>
          <w:szCs w:val="18"/>
        </w:rPr>
        <w:t>len</w:t>
      </w:r>
      <w:r w:rsidRPr="007456D5" w:rsidR="00E71EBC">
        <w:rPr>
          <w:rFonts w:ascii="Verdana" w:hAnsi="Verdana"/>
          <w:sz w:val="18"/>
          <w:szCs w:val="18"/>
        </w:rPr>
        <w:t xml:space="preserve"> </w:t>
      </w:r>
      <w:r w:rsidRPr="007456D5" w:rsidR="00E71EBC">
        <w:rPr>
          <w:rFonts w:ascii="Verdana" w:hAnsi="Verdana" w:cs="Arial"/>
          <w:sz w:val="18"/>
          <w:szCs w:val="18"/>
        </w:rPr>
        <w:t>H t/m AE</w:t>
      </w:r>
      <w:r w:rsidRPr="007456D5">
        <w:rPr>
          <w:rFonts w:ascii="Verdana" w:hAnsi="Verdana" w:eastAsia="Calibri"/>
          <w:kern w:val="2"/>
          <w:sz w:val="18"/>
          <w:szCs w:val="18"/>
          <w:lang w:eastAsia="en-US"/>
          <w14:ligatures w14:val="standardContextual"/>
        </w:rPr>
        <w:t xml:space="preserve">). Door de toevoeging van het nieuwe vijfde lid aan artikel 169 is het huidige vijfde lid vernummerd tot zesde lid. Het nieuwe vijfde lid dient ook van toepassing te zijn indien een materiële transactie wordt aangegaan door een dochtermaatschappij van de vennootschap met een aan de vennootschap verbonden partij. Die transacties van dochtermaatschappijen zijn geregeld in artikel 170 en de verwijzing in dat artikel naar de relevante bepalingen in artikel 169 dient daarom aangepast te worden aan het nieuwe en het vernummerde lid. </w:t>
      </w:r>
    </w:p>
    <w:p w:rsidRPr="007456D5" w:rsidR="0093768A" w:rsidP="001A189C" w:rsidRDefault="0093768A" w14:paraId="4988DD97" w14:textId="77777777">
      <w:pPr>
        <w:widowControl w:val="0"/>
        <w:spacing w:line="240" w:lineRule="atLeast"/>
        <w:contextualSpacing/>
        <w:rPr>
          <w:rFonts w:ascii="Verdana" w:hAnsi="Verdana"/>
          <w:sz w:val="18"/>
          <w:szCs w:val="18"/>
        </w:rPr>
      </w:pPr>
    </w:p>
    <w:p w:rsidR="00FE2F2D" w:rsidP="001A189C" w:rsidRDefault="00FE2F2D" w14:paraId="0C3C05EF" w14:textId="77777777">
      <w:pPr>
        <w:spacing w:after="160" w:line="240" w:lineRule="atLeast"/>
        <w:contextualSpacing/>
        <w:rPr>
          <w:rFonts w:ascii="Verdana" w:hAnsi="Verdana" w:eastAsia="Calibri"/>
          <w:i/>
          <w:iCs/>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E </w:t>
      </w:r>
      <w:r w:rsidRPr="007456D5">
        <w:rPr>
          <w:rFonts w:ascii="Verdana" w:hAnsi="Verdana" w:eastAsia="Calibri"/>
          <w:i/>
          <w:iCs/>
          <w:kern w:val="2"/>
          <w:sz w:val="18"/>
          <w:szCs w:val="18"/>
          <w:lang w:eastAsia="en-US"/>
          <w14:ligatures w14:val="standardContextual"/>
        </w:rPr>
        <w:t>(artikel 394a)</w:t>
      </w:r>
    </w:p>
    <w:p w:rsidRPr="007456D5" w:rsidR="00627534" w:rsidP="001A189C" w:rsidRDefault="00627534" w14:paraId="6D5BA0D3" w14:textId="77777777">
      <w:pPr>
        <w:spacing w:after="160" w:line="240" w:lineRule="atLeast"/>
        <w:contextualSpacing/>
        <w:rPr>
          <w:rFonts w:ascii="Verdana" w:hAnsi="Verdana" w:eastAsia="Calibri"/>
          <w:kern w:val="2"/>
          <w:sz w:val="18"/>
          <w:szCs w:val="18"/>
          <w:lang w:eastAsia="en-US"/>
          <w14:ligatures w14:val="standardContextual"/>
        </w:rPr>
      </w:pPr>
    </w:p>
    <w:p w:rsidRPr="004F1CB8" w:rsidR="00DC353F" w:rsidP="0027157C" w:rsidRDefault="00FE2F2D" w14:paraId="7C3F814F" w14:textId="6947F424">
      <w:pPr>
        <w:shd w:val="clear" w:color="auto" w:fill="FFFFFF" w:themeFill="background1"/>
        <w:spacing w:after="160"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Artikel 2:394a BW geeft uitvoering aan artikel 9 van de </w:t>
      </w:r>
      <w:r w:rsidR="00D82101">
        <w:rPr>
          <w:rFonts w:ascii="Verdana" w:hAnsi="Verdana" w:eastAsia="Calibri"/>
          <w:kern w:val="2"/>
          <w:sz w:val="18"/>
          <w:szCs w:val="18"/>
          <w:lang w:eastAsia="en-US"/>
          <w14:ligatures w14:val="standardContextual"/>
        </w:rPr>
        <w:t>r</w:t>
      </w:r>
      <w:r w:rsidR="00A65911">
        <w:rPr>
          <w:rFonts w:ascii="Verdana" w:hAnsi="Verdana" w:eastAsia="Calibri"/>
          <w:kern w:val="2"/>
          <w:sz w:val="18"/>
          <w:szCs w:val="18"/>
          <w:lang w:eastAsia="en-US"/>
          <w14:ligatures w14:val="standardContextual"/>
        </w:rPr>
        <w:t>ichtlijn ESAP</w:t>
      </w:r>
      <w:r w:rsidRPr="007456D5" w:rsidR="0093768A">
        <w:rPr>
          <w:rFonts w:ascii="Verdana" w:hAnsi="Verdana" w:eastAsia="Calibri"/>
          <w:kern w:val="2"/>
          <w:sz w:val="18"/>
          <w:szCs w:val="18"/>
          <w:lang w:eastAsia="en-US"/>
          <w14:ligatures w14:val="standardContextual"/>
        </w:rPr>
        <w:t>.</w:t>
      </w:r>
      <w:r w:rsidRPr="007456D5">
        <w:rPr>
          <w:rFonts w:ascii="Verdana" w:hAnsi="Verdana" w:eastAsia="Calibri"/>
          <w:kern w:val="2"/>
          <w:sz w:val="18"/>
          <w:szCs w:val="18"/>
          <w:lang w:eastAsia="en-US"/>
          <w14:ligatures w14:val="standardContextual"/>
        </w:rPr>
        <w:t xml:space="preserve"> Dat artikel voegt artikel 33bis toe aan de Jaarrekeningrichtlijn 2013/34/EU</w:t>
      </w:r>
      <w:r w:rsidRPr="004F1CB8">
        <w:rPr>
          <w:rFonts w:ascii="Verdana" w:hAnsi="Verdana" w:eastAsia="Calibri"/>
          <w:kern w:val="2"/>
          <w:sz w:val="18"/>
          <w:szCs w:val="18"/>
          <w:lang w:eastAsia="en-US"/>
          <w14:ligatures w14:val="standardContextual"/>
        </w:rPr>
        <w:t xml:space="preserve">. </w:t>
      </w:r>
      <w:r w:rsidRPr="0027157C">
        <w:rPr>
          <w:rFonts w:ascii="Verdana" w:hAnsi="Verdana" w:eastAsia="Calibri"/>
          <w:kern w:val="2"/>
          <w:sz w:val="18"/>
          <w:szCs w:val="18"/>
          <w:shd w:val="clear" w:color="auto" w:fill="FFFFFF" w:themeFill="background1"/>
          <w:lang w:eastAsia="en-US"/>
          <w14:ligatures w14:val="standardContextual"/>
        </w:rPr>
        <w:t>Van de vennootschappen die verplicht zijn een duurzaamheidsrapportering</w:t>
      </w:r>
      <w:r w:rsidRPr="0027157C" w:rsidR="00DC353F">
        <w:rPr>
          <w:rFonts w:ascii="Verdana" w:hAnsi="Verdana" w:eastAsia="Calibri"/>
          <w:kern w:val="2"/>
          <w:sz w:val="18"/>
          <w:szCs w:val="18"/>
          <w:shd w:val="clear" w:color="auto" w:fill="FFFFFF" w:themeFill="background1"/>
          <w:lang w:eastAsia="en-US"/>
          <w14:ligatures w14:val="standardContextual"/>
        </w:rPr>
        <w:t xml:space="preserve"> op te stellen en openbaar te maken</w:t>
      </w:r>
      <w:r w:rsidRPr="0027157C">
        <w:rPr>
          <w:rFonts w:ascii="Verdana" w:hAnsi="Verdana" w:eastAsia="Calibri"/>
          <w:kern w:val="2"/>
          <w:sz w:val="18"/>
          <w:szCs w:val="18"/>
          <w:shd w:val="clear" w:color="auto" w:fill="FFFFFF" w:themeFill="background1"/>
          <w:lang w:eastAsia="en-US"/>
          <w14:ligatures w14:val="standardContextual"/>
        </w:rPr>
        <w:t xml:space="preserve"> of een verslag inzake duurzaamheid op</w:t>
      </w:r>
      <w:r w:rsidRPr="0027157C" w:rsidR="00DC353F">
        <w:rPr>
          <w:rFonts w:ascii="Verdana" w:hAnsi="Verdana" w:eastAsia="Calibri"/>
          <w:kern w:val="2"/>
          <w:sz w:val="18"/>
          <w:szCs w:val="18"/>
          <w:shd w:val="clear" w:color="auto" w:fill="FFFFFF" w:themeFill="background1"/>
          <w:lang w:eastAsia="en-US"/>
          <w14:ligatures w14:val="standardContextual"/>
        </w:rPr>
        <w:t>enbaar</w:t>
      </w:r>
      <w:r w:rsidRPr="0027157C">
        <w:rPr>
          <w:rFonts w:ascii="Verdana" w:hAnsi="Verdana" w:eastAsia="Calibri"/>
          <w:kern w:val="2"/>
          <w:sz w:val="18"/>
          <w:szCs w:val="18"/>
          <w:shd w:val="clear" w:color="auto" w:fill="FFFFFF" w:themeFill="background1"/>
          <w:lang w:eastAsia="en-US"/>
          <w14:ligatures w14:val="standardContextual"/>
        </w:rPr>
        <w:t xml:space="preserve"> te </w:t>
      </w:r>
      <w:r w:rsidRPr="0027157C" w:rsidR="00DC353F">
        <w:rPr>
          <w:rFonts w:ascii="Verdana" w:hAnsi="Verdana" w:eastAsia="Calibri"/>
          <w:kern w:val="2"/>
          <w:sz w:val="18"/>
          <w:szCs w:val="18"/>
          <w:shd w:val="clear" w:color="auto" w:fill="FFFFFF" w:themeFill="background1"/>
          <w:lang w:eastAsia="en-US"/>
          <w14:ligatures w14:val="standardContextual"/>
        </w:rPr>
        <w:t>maken</w:t>
      </w:r>
      <w:r w:rsidRPr="0027157C" w:rsidR="00DC353F">
        <w:rPr>
          <w:rFonts w:ascii="Verdana" w:hAnsi="Verdana" w:eastAsia="Calibri"/>
          <w:kern w:val="2"/>
          <w:sz w:val="18"/>
          <w:szCs w:val="18"/>
          <w:shd w:val="clear" w:color="auto" w:fill="FFFFFF" w:themeFill="background1"/>
          <w:vertAlign w:val="superscript"/>
          <w:lang w:eastAsia="en-US"/>
          <w14:ligatures w14:val="standardContextual"/>
        </w:rPr>
        <w:footnoteReference w:id="8"/>
      </w:r>
      <w:r w:rsidRPr="0027157C">
        <w:rPr>
          <w:rFonts w:ascii="Verdana" w:hAnsi="Verdana" w:eastAsia="Calibri"/>
          <w:kern w:val="2"/>
          <w:sz w:val="18"/>
          <w:szCs w:val="18"/>
          <w:shd w:val="clear" w:color="auto" w:fill="FFFFFF" w:themeFill="background1"/>
          <w:lang w:eastAsia="en-US"/>
          <w14:ligatures w14:val="standardContextual"/>
        </w:rPr>
        <w:t>, dien</w:t>
      </w:r>
      <w:r w:rsidRPr="0027157C" w:rsidR="001515C9">
        <w:rPr>
          <w:rFonts w:ascii="Verdana" w:hAnsi="Verdana" w:eastAsia="Calibri"/>
          <w:kern w:val="2"/>
          <w:sz w:val="18"/>
          <w:szCs w:val="18"/>
          <w:shd w:val="clear" w:color="auto" w:fill="FFFFFF" w:themeFill="background1"/>
          <w:lang w:eastAsia="en-US"/>
          <w14:ligatures w14:val="standardContextual"/>
        </w:rPr>
        <w:t>en</w:t>
      </w:r>
      <w:r w:rsidRPr="0027157C">
        <w:rPr>
          <w:rFonts w:ascii="Verdana" w:hAnsi="Verdana" w:eastAsia="Calibri"/>
          <w:kern w:val="2"/>
          <w:sz w:val="18"/>
          <w:szCs w:val="18"/>
          <w:shd w:val="clear" w:color="auto" w:fill="FFFFFF" w:themeFill="background1"/>
          <w:lang w:eastAsia="en-US"/>
          <w14:ligatures w14:val="standardContextual"/>
        </w:rPr>
        <w:t xml:space="preserve"> de</w:t>
      </w:r>
      <w:r w:rsidRPr="0027157C" w:rsidR="00B549E3">
        <w:rPr>
          <w:rFonts w:ascii="Verdana" w:hAnsi="Verdana" w:eastAsia="Calibri"/>
          <w:kern w:val="2"/>
          <w:sz w:val="18"/>
          <w:szCs w:val="18"/>
          <w:shd w:val="clear" w:color="auto" w:fill="FFFFFF" w:themeFill="background1"/>
          <w:lang w:eastAsia="en-US"/>
          <w14:ligatures w14:val="standardContextual"/>
        </w:rPr>
        <w:t xml:space="preserve"> AFM </w:t>
      </w:r>
      <w:r w:rsidRPr="0027157C" w:rsidR="001515C9">
        <w:rPr>
          <w:rFonts w:ascii="Verdana" w:hAnsi="Verdana" w:eastAsia="Calibri"/>
          <w:kern w:val="2"/>
          <w:sz w:val="18"/>
          <w:szCs w:val="18"/>
          <w:shd w:val="clear" w:color="auto" w:fill="FFFFFF" w:themeFill="background1"/>
          <w:lang w:eastAsia="en-US"/>
          <w14:ligatures w14:val="standardContextual"/>
        </w:rPr>
        <w:t>en de Kamer van Koophandel</w:t>
      </w:r>
      <w:r w:rsidRPr="0027157C" w:rsidR="00B358BD">
        <w:rPr>
          <w:rFonts w:ascii="Verdana" w:hAnsi="Verdana" w:eastAsia="Calibri"/>
          <w:kern w:val="2"/>
          <w:sz w:val="18"/>
          <w:szCs w:val="18"/>
          <w:shd w:val="clear" w:color="auto" w:fill="FFFFFF" w:themeFill="background1"/>
          <w:lang w:eastAsia="en-US"/>
          <w14:ligatures w14:val="standardContextual"/>
        </w:rPr>
        <w:t xml:space="preserve"> (KvK)</w:t>
      </w:r>
      <w:r w:rsidRPr="0027157C" w:rsidR="001515C9">
        <w:rPr>
          <w:rFonts w:ascii="Verdana" w:hAnsi="Verdana" w:eastAsia="Calibri"/>
          <w:kern w:val="2"/>
          <w:sz w:val="18"/>
          <w:szCs w:val="18"/>
          <w:shd w:val="clear" w:color="auto" w:fill="FFFFFF" w:themeFill="background1"/>
          <w:lang w:eastAsia="en-US"/>
          <w14:ligatures w14:val="standardContextual"/>
        </w:rPr>
        <w:t xml:space="preserve"> </w:t>
      </w:r>
      <w:r w:rsidRPr="0027157C" w:rsidR="00B549E3">
        <w:rPr>
          <w:rFonts w:ascii="Verdana" w:hAnsi="Verdana" w:eastAsia="Calibri"/>
          <w:kern w:val="2"/>
          <w:sz w:val="18"/>
          <w:szCs w:val="18"/>
          <w:shd w:val="clear" w:color="auto" w:fill="FFFFFF" w:themeFill="background1"/>
          <w:lang w:eastAsia="en-US"/>
          <w14:ligatures w14:val="standardContextual"/>
        </w:rPr>
        <w:t>als</w:t>
      </w:r>
      <w:r w:rsidRPr="0027157C">
        <w:rPr>
          <w:rFonts w:ascii="Verdana" w:hAnsi="Verdana" w:eastAsia="Calibri"/>
          <w:kern w:val="2"/>
          <w:sz w:val="18"/>
          <w:szCs w:val="18"/>
          <w:shd w:val="clear" w:color="auto" w:fill="FFFFFF" w:themeFill="background1"/>
          <w:lang w:eastAsia="en-US"/>
          <w14:ligatures w14:val="standardContextual"/>
        </w:rPr>
        <w:t xml:space="preserve"> verzamelende instantie </w:t>
      </w:r>
      <w:r w:rsidRPr="0027157C" w:rsidR="001515C9">
        <w:rPr>
          <w:rFonts w:ascii="Verdana" w:hAnsi="Verdana" w:eastAsia="Calibri"/>
          <w:kern w:val="2"/>
          <w:sz w:val="18"/>
          <w:szCs w:val="18"/>
          <w:shd w:val="clear" w:color="auto" w:fill="FFFFFF" w:themeFill="background1"/>
          <w:lang w:eastAsia="en-US"/>
          <w14:ligatures w14:val="standardContextual"/>
        </w:rPr>
        <w:t xml:space="preserve">vrijwel </w:t>
      </w:r>
      <w:r w:rsidRPr="0027157C">
        <w:rPr>
          <w:rFonts w:ascii="Verdana" w:hAnsi="Verdana" w:eastAsia="Calibri"/>
          <w:kern w:val="2"/>
          <w:sz w:val="18"/>
          <w:szCs w:val="18"/>
          <w:shd w:val="clear" w:color="auto" w:fill="FFFFFF" w:themeFill="background1"/>
          <w:lang w:eastAsia="en-US"/>
          <w14:ligatures w14:val="standardContextual"/>
        </w:rPr>
        <w:t xml:space="preserve">al hun jaarverslaggeving </w:t>
      </w:r>
      <w:r w:rsidRPr="0027157C" w:rsidR="001515C9">
        <w:rPr>
          <w:rFonts w:ascii="Verdana" w:hAnsi="Verdana" w:eastAsia="Calibri"/>
          <w:kern w:val="2"/>
          <w:sz w:val="18"/>
          <w:szCs w:val="18"/>
          <w:shd w:val="clear" w:color="auto" w:fill="FFFFFF" w:themeFill="background1"/>
          <w:lang w:eastAsia="en-US"/>
          <w14:ligatures w14:val="standardContextual"/>
        </w:rPr>
        <w:t xml:space="preserve">te verstrekken </w:t>
      </w:r>
      <w:r w:rsidRPr="0027157C" w:rsidR="00B9660D">
        <w:rPr>
          <w:rFonts w:ascii="Verdana" w:hAnsi="Verdana" w:eastAsia="Calibri"/>
          <w:kern w:val="2"/>
          <w:sz w:val="18"/>
          <w:szCs w:val="18"/>
          <w:shd w:val="clear" w:color="auto" w:fill="FFFFFF" w:themeFill="background1"/>
          <w:lang w:eastAsia="en-US"/>
          <w14:ligatures w14:val="standardContextual"/>
        </w:rPr>
        <w:t>aan het ESAP</w:t>
      </w:r>
      <w:r w:rsidRPr="0027157C">
        <w:rPr>
          <w:rFonts w:ascii="Verdana" w:hAnsi="Verdana" w:eastAsia="Calibri"/>
          <w:kern w:val="2"/>
          <w:sz w:val="18"/>
          <w:szCs w:val="18"/>
          <w:shd w:val="clear" w:color="auto" w:fill="FFFFFF" w:themeFill="background1"/>
          <w:lang w:eastAsia="en-US"/>
          <w14:ligatures w14:val="standardContextual"/>
        </w:rPr>
        <w:t xml:space="preserve">. </w:t>
      </w:r>
      <w:r w:rsidR="001E249E">
        <w:rPr>
          <w:rFonts w:ascii="Verdana" w:hAnsi="Verdana" w:eastAsia="Calibri"/>
          <w:kern w:val="2"/>
          <w:sz w:val="18"/>
          <w:szCs w:val="18"/>
          <w:lang w:eastAsia="en-US"/>
          <w14:ligatures w14:val="standardContextual"/>
        </w:rPr>
        <w:t>D</w:t>
      </w:r>
      <w:r w:rsidRPr="004F1CB8">
        <w:rPr>
          <w:rFonts w:ascii="Verdana" w:hAnsi="Verdana" w:eastAsia="Calibri"/>
          <w:kern w:val="2"/>
          <w:sz w:val="18"/>
          <w:szCs w:val="18"/>
          <w:lang w:eastAsia="en-US"/>
          <w14:ligatures w14:val="standardContextual"/>
        </w:rPr>
        <w:t>e volgende vennootschappen</w:t>
      </w:r>
      <w:r w:rsidR="001E249E">
        <w:rPr>
          <w:rFonts w:ascii="Verdana" w:hAnsi="Verdana" w:eastAsia="Calibri"/>
          <w:kern w:val="2"/>
          <w:sz w:val="18"/>
          <w:szCs w:val="18"/>
          <w:lang w:eastAsia="en-US"/>
          <w14:ligatures w14:val="standardContextual"/>
        </w:rPr>
        <w:t xml:space="preserve"> hebben</w:t>
      </w:r>
      <w:r w:rsidRPr="004F1CB8">
        <w:rPr>
          <w:rFonts w:ascii="Verdana" w:hAnsi="Verdana" w:eastAsia="Calibri"/>
          <w:kern w:val="2"/>
          <w:sz w:val="18"/>
          <w:szCs w:val="18"/>
          <w:lang w:eastAsia="en-US"/>
          <w14:ligatures w14:val="standardContextual"/>
        </w:rPr>
        <w:t xml:space="preserve"> op basis van de CSRD</w:t>
      </w:r>
      <w:r w:rsidR="001E249E">
        <w:rPr>
          <w:rFonts w:ascii="Verdana" w:hAnsi="Verdana" w:eastAsia="Calibri"/>
          <w:kern w:val="2"/>
          <w:sz w:val="18"/>
          <w:szCs w:val="18"/>
          <w:lang w:eastAsia="en-US"/>
          <w14:ligatures w14:val="standardContextual"/>
        </w:rPr>
        <w:t xml:space="preserve"> (zoals die is gewijzigd door Richtlijn 2026/470)</w:t>
      </w:r>
      <w:r w:rsidR="001E249E">
        <w:rPr>
          <w:rStyle w:val="Voetnootmarkering"/>
          <w:rFonts w:ascii="Verdana" w:hAnsi="Verdana" w:eastAsia="Calibri"/>
          <w:kern w:val="2"/>
          <w:sz w:val="18"/>
          <w:szCs w:val="18"/>
          <w:lang w:eastAsia="en-US"/>
          <w14:ligatures w14:val="standardContextual"/>
        </w:rPr>
        <w:footnoteReference w:id="9"/>
      </w:r>
      <w:r w:rsidRPr="004F1CB8">
        <w:rPr>
          <w:rFonts w:ascii="Verdana" w:hAnsi="Verdana" w:eastAsia="Calibri"/>
          <w:kern w:val="2"/>
          <w:sz w:val="18"/>
          <w:szCs w:val="18"/>
          <w:lang w:eastAsia="en-US"/>
          <w14:ligatures w14:val="standardContextual"/>
        </w:rPr>
        <w:t xml:space="preserve"> de verplichting om een d</w:t>
      </w:r>
      <w:r w:rsidR="00C57797">
        <w:rPr>
          <w:rFonts w:ascii="Verdana" w:hAnsi="Verdana" w:eastAsia="Calibri"/>
          <w:kern w:val="2"/>
          <w:sz w:val="18"/>
          <w:szCs w:val="18"/>
          <w:lang w:eastAsia="en-US"/>
          <w14:ligatures w14:val="standardContextual"/>
        </w:rPr>
        <w:t xml:space="preserve">ergelijke </w:t>
      </w:r>
      <w:r w:rsidRPr="004F1CB8">
        <w:rPr>
          <w:rFonts w:ascii="Verdana" w:hAnsi="Verdana" w:eastAsia="Calibri"/>
          <w:kern w:val="2"/>
          <w:sz w:val="18"/>
          <w:szCs w:val="18"/>
          <w:lang w:eastAsia="en-US"/>
          <w14:ligatures w14:val="standardContextual"/>
        </w:rPr>
        <w:t>rapportering op te stellen</w:t>
      </w:r>
      <w:r w:rsidR="00C57797">
        <w:rPr>
          <w:rFonts w:ascii="Verdana" w:hAnsi="Verdana" w:eastAsia="Calibri"/>
          <w:kern w:val="2"/>
          <w:sz w:val="18"/>
          <w:szCs w:val="18"/>
          <w:lang w:eastAsia="en-US"/>
          <w14:ligatures w14:val="standardContextual"/>
        </w:rPr>
        <w:t>.</w:t>
      </w:r>
      <w:r w:rsidRPr="004F1CB8">
        <w:rPr>
          <w:rFonts w:ascii="Verdana" w:hAnsi="Verdana" w:eastAsia="Calibri"/>
          <w:kern w:val="2"/>
          <w:sz w:val="18"/>
          <w:szCs w:val="18"/>
          <w:lang w:eastAsia="en-US"/>
          <w14:ligatures w14:val="standardContextual"/>
        </w:rPr>
        <w:t xml:space="preserve"> </w:t>
      </w:r>
      <w:r w:rsidR="00C57797">
        <w:rPr>
          <w:rFonts w:ascii="Verdana" w:hAnsi="Verdana" w:eastAsia="Calibri"/>
          <w:kern w:val="2"/>
          <w:sz w:val="18"/>
          <w:szCs w:val="18"/>
          <w:lang w:eastAsia="en-US"/>
          <w14:ligatures w14:val="standardContextual"/>
        </w:rPr>
        <w:t xml:space="preserve">Ten eerste gaat het om </w:t>
      </w:r>
      <w:r w:rsidRPr="004F1CB8" w:rsidR="00C57797">
        <w:rPr>
          <w:rFonts w:ascii="Verdana" w:hAnsi="Verdana" w:eastAsia="Calibri"/>
          <w:kern w:val="2"/>
          <w:sz w:val="18"/>
          <w:szCs w:val="18"/>
          <w:lang w:eastAsia="en-US"/>
          <w14:ligatures w14:val="standardContextual"/>
        </w:rPr>
        <w:t>alle</w:t>
      </w:r>
      <w:bookmarkStart w:name="_Hlk218525928" w:id="9"/>
      <w:r w:rsidRPr="00104620" w:rsidR="00C57797">
        <w:rPr>
          <w:rFonts w:ascii="Verdana" w:hAnsi="Verdana"/>
          <w:sz w:val="18"/>
          <w:szCs w:val="18"/>
        </w:rPr>
        <w:t xml:space="preserve"> </w:t>
      </w:r>
      <w:r w:rsidRPr="00104620" w:rsidR="00C57797">
        <w:rPr>
          <w:rFonts w:ascii="Verdana" w:hAnsi="Verdana" w:eastAsia="Calibri"/>
          <w:kern w:val="2"/>
          <w:sz w:val="18"/>
          <w:szCs w:val="18"/>
          <w:lang w:eastAsia="en-US"/>
          <w14:ligatures w14:val="standardContextual"/>
        </w:rPr>
        <w:t>vennootschappen</w:t>
      </w:r>
      <w:r w:rsidRPr="00104620" w:rsidR="00C57797">
        <w:rPr>
          <w:rFonts w:ascii="Verdana" w:hAnsi="Verdana" w:eastAsia="Calibri"/>
          <w:kern w:val="2"/>
          <w:sz w:val="18"/>
          <w:szCs w:val="18"/>
          <w:vertAlign w:val="superscript"/>
          <w:lang w:eastAsia="en-US"/>
          <w14:ligatures w14:val="standardContextual"/>
        </w:rPr>
        <w:footnoteReference w:id="10"/>
      </w:r>
      <w:r w:rsidRPr="00104620" w:rsidR="00C57797">
        <w:rPr>
          <w:rFonts w:ascii="Verdana" w:hAnsi="Verdana" w:eastAsia="Calibri"/>
          <w:kern w:val="2"/>
          <w:sz w:val="18"/>
          <w:szCs w:val="18"/>
          <w:lang w:eastAsia="en-US"/>
          <w14:ligatures w14:val="standardContextual"/>
        </w:rPr>
        <w:t xml:space="preserve"> (inclusief beursvennootschappen, banken en verzekeringsmaatschappijen, die laatste twee ongeacht hun rechtsvorm) met een netto-omzet van meer dan € 450 miljoen en met gemiddeld meer dan duizend werknemers</w:t>
      </w:r>
      <w:bookmarkEnd w:id="9"/>
      <w:r w:rsidR="00C57797">
        <w:rPr>
          <w:rFonts w:ascii="Verdana" w:hAnsi="Verdana" w:eastAsia="Calibri"/>
          <w:kern w:val="2"/>
          <w:sz w:val="18"/>
          <w:szCs w:val="18"/>
          <w:lang w:eastAsia="en-US"/>
          <w14:ligatures w14:val="standardContextual"/>
        </w:rPr>
        <w:t xml:space="preserve">. Ten tweede moeten </w:t>
      </w:r>
      <w:r w:rsidRPr="00EA7AF2" w:rsidR="00C57797">
        <w:rPr>
          <w:rFonts w:ascii="Verdana" w:hAnsi="Verdana" w:eastAsia="Calibri"/>
          <w:kern w:val="2"/>
          <w:sz w:val="18"/>
          <w:szCs w:val="18"/>
          <w:lang w:eastAsia="en-US"/>
          <w14:ligatures w14:val="standardContextual"/>
        </w:rPr>
        <w:t>vennootschappen, banken en verzekeringsmaatschappijen die aan het hoofd staan van een grote groep, een geconsolideerde duurzaamheidsrapportering opstellen</w:t>
      </w:r>
      <w:r w:rsidR="00C57797">
        <w:rPr>
          <w:rFonts w:ascii="Verdana" w:hAnsi="Verdana" w:eastAsia="Calibri"/>
          <w:kern w:val="2"/>
          <w:sz w:val="18"/>
          <w:szCs w:val="18"/>
          <w:lang w:eastAsia="en-US"/>
          <w14:ligatures w14:val="standardContextual"/>
        </w:rPr>
        <w:t xml:space="preserve"> en openbaar maken</w:t>
      </w:r>
      <w:r w:rsidRPr="00EA7AF2" w:rsidR="00C57797">
        <w:rPr>
          <w:rFonts w:ascii="Verdana" w:hAnsi="Verdana" w:eastAsia="Calibri"/>
          <w:kern w:val="2"/>
          <w:sz w:val="18"/>
          <w:szCs w:val="18"/>
          <w:lang w:eastAsia="en-US"/>
          <w14:ligatures w14:val="standardContextual"/>
        </w:rPr>
        <w:t xml:space="preserve"> als die groep op geconsolideerde basis aan dezelfde criteria voldoet.</w:t>
      </w:r>
      <w:r w:rsidRPr="00C57797" w:rsidR="00C57797">
        <w:rPr>
          <w:rFonts w:ascii="Verdana" w:hAnsi="Verdana" w:eastAsia="Calibri"/>
          <w:kern w:val="2"/>
          <w:sz w:val="18"/>
          <w:szCs w:val="18"/>
          <w:lang w:eastAsia="en-US"/>
          <w14:ligatures w14:val="standardContextual"/>
        </w:rPr>
        <w:t xml:space="preserve"> </w:t>
      </w:r>
      <w:r w:rsidR="00C57797">
        <w:rPr>
          <w:rFonts w:ascii="Verdana" w:hAnsi="Verdana" w:eastAsia="Calibri"/>
          <w:kern w:val="2"/>
          <w:sz w:val="18"/>
          <w:szCs w:val="18"/>
          <w:lang w:eastAsia="en-US"/>
          <w14:ligatures w14:val="standardContextual"/>
        </w:rPr>
        <w:t>Ten derde</w:t>
      </w:r>
      <w:r w:rsidRPr="00EA7AF2" w:rsidR="00C57797">
        <w:rPr>
          <w:rFonts w:ascii="Verdana" w:hAnsi="Verdana" w:eastAsia="Calibri"/>
          <w:kern w:val="2"/>
          <w:sz w:val="18"/>
          <w:szCs w:val="18"/>
          <w:lang w:eastAsia="en-US"/>
          <w14:ligatures w14:val="standardContextual"/>
        </w:rPr>
        <w:t xml:space="preserve"> moeten dochtermaatschappijen en bijkantoren met een netto-omzet van meer dan € 200 miljoen, waarvan de zogenaamde uiteindelijke moedermaatschappij (de topholding) buiten de Europese Unie (EU) en de Europese Economische Ruimte (EER) is gevestigd en in de gehele EU of EER een netto-omzet heeft van meer dan € 450 miljoen, een separaat verslag inzake duurzaamheid publiceren. </w:t>
      </w:r>
      <w:r w:rsidR="00C57797">
        <w:rPr>
          <w:rFonts w:ascii="Verdana" w:hAnsi="Verdana" w:eastAsia="Calibri"/>
          <w:kern w:val="2"/>
          <w:sz w:val="18"/>
          <w:szCs w:val="18"/>
          <w:lang w:eastAsia="en-US"/>
          <w14:ligatures w14:val="standardContextual"/>
        </w:rPr>
        <w:t xml:space="preserve">Deze drie categorieën vennootschappen zijn veel beperkter dan in de oorspronkelijke CSRD was opgenomen. </w:t>
      </w:r>
      <w:r w:rsidRPr="004F1CB8">
        <w:rPr>
          <w:rFonts w:ascii="Verdana" w:hAnsi="Verdana" w:eastAsia="Calibri"/>
          <w:kern w:val="2"/>
          <w:sz w:val="18"/>
          <w:szCs w:val="18"/>
          <w:lang w:eastAsia="en-US"/>
          <w14:ligatures w14:val="standardContextual"/>
        </w:rPr>
        <w:t>D</w:t>
      </w:r>
      <w:r w:rsidR="00C57797">
        <w:rPr>
          <w:rFonts w:ascii="Verdana" w:hAnsi="Verdana" w:eastAsia="Calibri"/>
          <w:kern w:val="2"/>
          <w:sz w:val="18"/>
          <w:szCs w:val="18"/>
          <w:lang w:eastAsia="en-US"/>
          <w14:ligatures w14:val="standardContextual"/>
        </w:rPr>
        <w:t xml:space="preserve">it heeft tot gevolg dat </w:t>
      </w:r>
      <w:r w:rsidRPr="004F1CB8">
        <w:rPr>
          <w:rFonts w:ascii="Verdana" w:hAnsi="Verdana" w:eastAsia="Calibri"/>
          <w:kern w:val="2"/>
          <w:sz w:val="18"/>
          <w:szCs w:val="18"/>
          <w:lang w:eastAsia="en-US"/>
          <w14:ligatures w14:val="standardContextual"/>
        </w:rPr>
        <w:t>ook het aantal ondernemingen waarvan de jaarverslaggeving in het ESAP wordt opgenomen beperkt</w:t>
      </w:r>
      <w:r w:rsidR="00C57797">
        <w:rPr>
          <w:rFonts w:ascii="Verdana" w:hAnsi="Verdana" w:eastAsia="Calibri"/>
          <w:kern w:val="2"/>
          <w:sz w:val="18"/>
          <w:szCs w:val="18"/>
          <w:lang w:eastAsia="en-US"/>
          <w14:ligatures w14:val="standardContextual"/>
        </w:rPr>
        <w:t xml:space="preserve"> is</w:t>
      </w:r>
      <w:r w:rsidRPr="004F1CB8" w:rsidR="001515C9">
        <w:rPr>
          <w:rFonts w:ascii="Verdana" w:hAnsi="Verdana" w:eastAsia="Calibri"/>
          <w:kern w:val="2"/>
          <w:sz w:val="18"/>
          <w:szCs w:val="18"/>
          <w:lang w:eastAsia="en-US"/>
          <w14:ligatures w14:val="standardContextual"/>
        </w:rPr>
        <w:t xml:space="preserve"> (zie nader </w:t>
      </w:r>
      <w:r w:rsidRPr="004F1CB8" w:rsidR="00B358BD">
        <w:rPr>
          <w:rFonts w:ascii="Verdana" w:hAnsi="Verdana" w:eastAsia="Calibri"/>
          <w:kern w:val="2"/>
          <w:sz w:val="18"/>
          <w:szCs w:val="18"/>
          <w:lang w:eastAsia="en-US"/>
          <w14:ligatures w14:val="standardContextual"/>
        </w:rPr>
        <w:t xml:space="preserve">§ </w:t>
      </w:r>
      <w:r w:rsidRPr="004F1CB8" w:rsidR="001515C9">
        <w:rPr>
          <w:rFonts w:ascii="Verdana" w:hAnsi="Verdana" w:eastAsia="Calibri"/>
          <w:kern w:val="2"/>
          <w:sz w:val="18"/>
          <w:szCs w:val="18"/>
          <w:lang w:eastAsia="en-US"/>
          <w14:ligatures w14:val="standardContextual"/>
        </w:rPr>
        <w:t>4.1</w:t>
      </w:r>
      <w:r w:rsidRPr="004F1CB8" w:rsidR="00B358BD">
        <w:rPr>
          <w:rFonts w:ascii="Verdana" w:hAnsi="Verdana" w:eastAsia="Calibri"/>
          <w:kern w:val="2"/>
          <w:sz w:val="18"/>
          <w:szCs w:val="18"/>
          <w:lang w:eastAsia="en-US"/>
          <w14:ligatures w14:val="standardContextual"/>
        </w:rPr>
        <w:t>.</w:t>
      </w:r>
      <w:r w:rsidRPr="004F1CB8" w:rsidR="001515C9">
        <w:rPr>
          <w:rFonts w:ascii="Verdana" w:hAnsi="Verdana" w:eastAsia="Calibri"/>
          <w:kern w:val="2"/>
          <w:sz w:val="18"/>
          <w:szCs w:val="18"/>
          <w:lang w:eastAsia="en-US"/>
          <w14:ligatures w14:val="standardContextual"/>
        </w:rPr>
        <w:t xml:space="preserve"> van het algemeen deel van de toelichting)</w:t>
      </w:r>
      <w:r w:rsidRPr="004F1CB8">
        <w:rPr>
          <w:rFonts w:ascii="Verdana" w:hAnsi="Verdana" w:eastAsia="Calibri"/>
          <w:kern w:val="2"/>
          <w:sz w:val="18"/>
          <w:szCs w:val="18"/>
          <w:lang w:eastAsia="en-US"/>
          <w14:ligatures w14:val="standardContextual"/>
        </w:rPr>
        <w:t xml:space="preserve">. </w:t>
      </w:r>
    </w:p>
    <w:p w:rsidRPr="004F1CB8" w:rsidR="00DC353F" w:rsidP="001A189C" w:rsidRDefault="00DC353F" w14:paraId="2B50A152" w14:textId="77777777">
      <w:pPr>
        <w:spacing w:after="160" w:line="240" w:lineRule="atLeast"/>
        <w:contextualSpacing/>
        <w:rPr>
          <w:rFonts w:ascii="Verdana" w:hAnsi="Verdana" w:eastAsia="Calibri"/>
          <w:kern w:val="2"/>
          <w:sz w:val="18"/>
          <w:szCs w:val="18"/>
          <w:lang w:eastAsia="en-US"/>
          <w14:ligatures w14:val="standardContextual"/>
        </w:rPr>
      </w:pPr>
    </w:p>
    <w:p w:rsidR="00556771" w:rsidP="001A189C" w:rsidRDefault="00DC353F" w14:paraId="3199ABC7" w14:textId="4E19CDFD">
      <w:pPr>
        <w:spacing w:after="160" w:line="240" w:lineRule="atLeast"/>
        <w:contextualSpacing/>
        <w:rPr>
          <w:rFonts w:ascii="Verdana" w:hAnsi="Verdana" w:eastAsia="Calibri"/>
          <w:kern w:val="2"/>
          <w:sz w:val="18"/>
          <w:szCs w:val="18"/>
          <w:lang w:eastAsia="en-US"/>
          <w14:ligatures w14:val="standardContextual"/>
        </w:rPr>
      </w:pPr>
      <w:r w:rsidRPr="004F1CB8">
        <w:rPr>
          <w:rFonts w:ascii="Verdana" w:hAnsi="Verdana" w:eastAsia="Calibri"/>
          <w:kern w:val="2"/>
          <w:sz w:val="18"/>
          <w:szCs w:val="18"/>
          <w:lang w:eastAsia="en-US"/>
          <w14:ligatures w14:val="standardContextual"/>
        </w:rPr>
        <w:t xml:space="preserve">Artikel 9 van de </w:t>
      </w:r>
      <w:r w:rsidRPr="004F1CB8" w:rsidR="00A65911">
        <w:rPr>
          <w:rFonts w:ascii="Verdana" w:hAnsi="Verdana" w:eastAsia="Calibri"/>
          <w:kern w:val="2"/>
          <w:sz w:val="18"/>
          <w:szCs w:val="18"/>
          <w:lang w:eastAsia="en-US"/>
          <w14:ligatures w14:val="standardContextual"/>
        </w:rPr>
        <w:t>Richtlijn ESAP</w:t>
      </w:r>
      <w:r w:rsidRPr="004F1CB8">
        <w:rPr>
          <w:rFonts w:ascii="Verdana" w:hAnsi="Verdana" w:eastAsia="Calibri"/>
          <w:kern w:val="2"/>
          <w:sz w:val="18"/>
          <w:szCs w:val="18"/>
          <w:lang w:eastAsia="en-US"/>
          <w14:ligatures w14:val="standardContextual"/>
        </w:rPr>
        <w:t xml:space="preserve"> verwijst naar de ondernemingen </w:t>
      </w:r>
      <w:bookmarkStart w:name="_Hlk212116215" w:id="10"/>
      <w:r w:rsidRPr="004F1CB8">
        <w:rPr>
          <w:rFonts w:ascii="Verdana" w:hAnsi="Verdana" w:eastAsia="Calibri"/>
          <w:kern w:val="2"/>
          <w:sz w:val="18"/>
          <w:szCs w:val="18"/>
          <w:lang w:eastAsia="en-US"/>
          <w14:ligatures w14:val="standardContextual"/>
        </w:rPr>
        <w:t>die zijn bedoeld in de artikelen 19bis, 29bis en 40bis van de CSRD</w:t>
      </w:r>
      <w:bookmarkEnd w:id="10"/>
      <w:r w:rsidRPr="004F1CB8">
        <w:rPr>
          <w:rFonts w:ascii="Verdana" w:hAnsi="Verdana" w:eastAsia="Calibri"/>
          <w:kern w:val="2"/>
          <w:sz w:val="18"/>
          <w:szCs w:val="18"/>
          <w:lang w:eastAsia="en-US"/>
          <w14:ligatures w14:val="standardContextual"/>
        </w:rPr>
        <w:t>.</w:t>
      </w:r>
      <w:r w:rsidRPr="00DC353F">
        <w:rPr>
          <w:rFonts w:ascii="Verdana" w:hAnsi="Verdana" w:eastAsia="Calibri"/>
          <w:kern w:val="2"/>
          <w:sz w:val="18"/>
          <w:szCs w:val="18"/>
          <w:lang w:eastAsia="en-US"/>
          <w14:ligatures w14:val="standardContextual"/>
        </w:rPr>
        <w:t xml:space="preserve"> </w:t>
      </w:r>
      <w:r w:rsidR="006D1FA6">
        <w:rPr>
          <w:rFonts w:ascii="Verdana" w:hAnsi="Verdana" w:eastAsia="Calibri"/>
          <w:kern w:val="2"/>
          <w:sz w:val="18"/>
          <w:szCs w:val="18"/>
          <w:lang w:eastAsia="en-US"/>
          <w14:ligatures w14:val="standardContextual"/>
        </w:rPr>
        <w:t xml:space="preserve">Dat zijn de ondernemingen </w:t>
      </w:r>
      <w:r w:rsidR="006D1FA6">
        <w:rPr>
          <w:rFonts w:ascii="Verdana" w:hAnsi="Verdana" w:eastAsia="Calibri"/>
          <w:kern w:val="2"/>
          <w:sz w:val="18"/>
          <w:szCs w:val="18"/>
          <w:lang w:eastAsia="en-US"/>
          <w14:ligatures w14:val="standardContextual"/>
        </w:rPr>
        <w:lastRenderedPageBreak/>
        <w:t xml:space="preserve">die in het bestuursverslag informatie over duurzaamheidskwesties moeten opnemen en de ondernemingen die een verslag inzake de duurzaamheid openbaar moeten maken. </w:t>
      </w:r>
      <w:r w:rsidRPr="00DC353F">
        <w:rPr>
          <w:rFonts w:ascii="Verdana" w:hAnsi="Verdana" w:eastAsia="Calibri"/>
          <w:kern w:val="2"/>
          <w:sz w:val="18"/>
          <w:szCs w:val="18"/>
          <w:lang w:eastAsia="en-US"/>
          <w14:ligatures w14:val="standardContextual"/>
        </w:rPr>
        <w:t xml:space="preserve">Indien er een vrijstelling </w:t>
      </w:r>
      <w:r w:rsidR="006D1FA6">
        <w:rPr>
          <w:rFonts w:ascii="Verdana" w:hAnsi="Verdana" w:eastAsia="Calibri"/>
          <w:kern w:val="2"/>
          <w:sz w:val="18"/>
          <w:szCs w:val="18"/>
          <w:lang w:eastAsia="en-US"/>
          <w14:ligatures w14:val="standardContextual"/>
        </w:rPr>
        <w:t xml:space="preserve">van die verplichtingen op die ondernemingen van toepassing is, </w:t>
      </w:r>
      <w:r w:rsidR="00556771">
        <w:rPr>
          <w:rFonts w:ascii="Verdana" w:hAnsi="Verdana" w:eastAsia="Calibri"/>
          <w:kern w:val="2"/>
          <w:sz w:val="18"/>
          <w:szCs w:val="18"/>
          <w:lang w:eastAsia="en-US"/>
          <w14:ligatures w14:val="standardContextual"/>
        </w:rPr>
        <w:t>die</w:t>
      </w:r>
      <w:r w:rsidR="006D1FA6">
        <w:rPr>
          <w:rFonts w:ascii="Verdana" w:hAnsi="Verdana" w:eastAsia="Calibri"/>
          <w:kern w:val="2"/>
          <w:sz w:val="18"/>
          <w:szCs w:val="18"/>
          <w:lang w:eastAsia="en-US"/>
          <w14:ligatures w14:val="standardContextual"/>
        </w:rPr>
        <w:t xml:space="preserve"> eveneens in die artikelen geregeld is, dan is ook de ESAP-verplichting niet van toepassing</w:t>
      </w:r>
      <w:r w:rsidR="00556771">
        <w:rPr>
          <w:rFonts w:ascii="Verdana" w:hAnsi="Verdana" w:eastAsia="Calibri"/>
          <w:kern w:val="2"/>
          <w:sz w:val="18"/>
          <w:szCs w:val="18"/>
          <w:lang w:eastAsia="en-US"/>
          <w14:ligatures w14:val="standardContextual"/>
        </w:rPr>
        <w:t xml:space="preserve">. </w:t>
      </w:r>
      <w:r w:rsidR="00861BF1">
        <w:rPr>
          <w:rFonts w:ascii="Verdana" w:hAnsi="Verdana" w:eastAsia="Calibri"/>
          <w:kern w:val="2"/>
          <w:sz w:val="18"/>
          <w:szCs w:val="18"/>
          <w:lang w:eastAsia="en-US"/>
          <w14:ligatures w14:val="standardContextual"/>
        </w:rPr>
        <w:t xml:space="preserve">De onderneming hoeft de stukken dan niet in overeenstemming met de vereisten voor de metadata en het voorgeschreven formaat in te dienen en daarmee is het dan voor de KvK duidelijk dat het geen stukken zijn die naar het ESAP doorgestuurd moeten worden. Er hoeft dus </w:t>
      </w:r>
      <w:r w:rsidR="00D82101">
        <w:rPr>
          <w:rFonts w:ascii="Verdana" w:hAnsi="Verdana" w:eastAsia="Calibri"/>
          <w:kern w:val="2"/>
          <w:sz w:val="18"/>
          <w:szCs w:val="18"/>
          <w:lang w:eastAsia="en-US"/>
          <w14:ligatures w14:val="standardContextual"/>
        </w:rPr>
        <w:t>g</w:t>
      </w:r>
      <w:r w:rsidR="00861BF1">
        <w:rPr>
          <w:rFonts w:ascii="Verdana" w:hAnsi="Verdana" w:eastAsia="Calibri"/>
          <w:kern w:val="2"/>
          <w:sz w:val="18"/>
          <w:szCs w:val="18"/>
          <w:lang w:eastAsia="en-US"/>
          <w14:ligatures w14:val="standardContextual"/>
        </w:rPr>
        <w:t xml:space="preserve">een bijzondere instructie aan de </w:t>
      </w:r>
      <w:r w:rsidR="00D82101">
        <w:rPr>
          <w:rFonts w:ascii="Verdana" w:hAnsi="Verdana" w:eastAsia="Calibri"/>
          <w:kern w:val="2"/>
          <w:sz w:val="18"/>
          <w:szCs w:val="18"/>
          <w:lang w:eastAsia="en-US"/>
          <w14:ligatures w14:val="standardContextual"/>
        </w:rPr>
        <w:t>verzamelende instantie</w:t>
      </w:r>
      <w:r w:rsidR="00861BF1">
        <w:rPr>
          <w:rFonts w:ascii="Verdana" w:hAnsi="Verdana" w:eastAsia="Calibri"/>
          <w:kern w:val="2"/>
          <w:sz w:val="18"/>
          <w:szCs w:val="18"/>
          <w:lang w:eastAsia="en-US"/>
          <w14:ligatures w14:val="standardContextual"/>
        </w:rPr>
        <w:t xml:space="preserve"> gegeven te worden voor het wel of niet doorsturen van de stukken. </w:t>
      </w:r>
      <w:r w:rsidRPr="00DC353F">
        <w:rPr>
          <w:rFonts w:ascii="Verdana" w:hAnsi="Verdana" w:eastAsia="Calibri"/>
          <w:kern w:val="2"/>
          <w:sz w:val="18"/>
          <w:szCs w:val="18"/>
          <w:lang w:eastAsia="en-US"/>
          <w14:ligatures w14:val="standardContextual"/>
        </w:rPr>
        <w:t xml:space="preserve">Voor een deel van deze </w:t>
      </w:r>
      <w:r w:rsidR="00861BF1">
        <w:rPr>
          <w:rFonts w:ascii="Verdana" w:hAnsi="Verdana" w:eastAsia="Calibri"/>
          <w:kern w:val="2"/>
          <w:sz w:val="18"/>
          <w:szCs w:val="18"/>
          <w:lang w:eastAsia="en-US"/>
          <w14:ligatures w14:val="standardContextual"/>
        </w:rPr>
        <w:t xml:space="preserve">vrijgestelde </w:t>
      </w:r>
      <w:r w:rsidRPr="00DC353F">
        <w:rPr>
          <w:rFonts w:ascii="Verdana" w:hAnsi="Verdana" w:eastAsia="Calibri"/>
          <w:kern w:val="2"/>
          <w:sz w:val="18"/>
          <w:szCs w:val="18"/>
          <w:lang w:eastAsia="en-US"/>
          <w14:ligatures w14:val="standardContextual"/>
        </w:rPr>
        <w:t>ondernemingen zal overigens gelden dat zij ook profiteren van een groepsvrijstelling waardoor ze geen jaarrekening en bestuursverslag hoeven op te stellen. Hun informatie is dan verwerkt in de geconsolideerde jaarrekening en</w:t>
      </w:r>
      <w:r w:rsidR="00556771">
        <w:rPr>
          <w:rFonts w:ascii="Verdana" w:hAnsi="Verdana" w:eastAsia="Calibri"/>
          <w:kern w:val="2"/>
          <w:sz w:val="18"/>
          <w:szCs w:val="18"/>
          <w:lang w:eastAsia="en-US"/>
          <w14:ligatures w14:val="standardContextual"/>
        </w:rPr>
        <w:t xml:space="preserve"> het</w:t>
      </w:r>
      <w:r w:rsidRPr="00DC353F">
        <w:rPr>
          <w:rFonts w:ascii="Verdana" w:hAnsi="Verdana" w:eastAsia="Calibri"/>
          <w:kern w:val="2"/>
          <w:sz w:val="18"/>
          <w:szCs w:val="18"/>
          <w:lang w:eastAsia="en-US"/>
          <w14:ligatures w14:val="standardContextual"/>
        </w:rPr>
        <w:t xml:space="preserve"> bestuursverslag van de moedermaatschappij. </w:t>
      </w:r>
      <w:r w:rsidR="00556771">
        <w:rPr>
          <w:rFonts w:ascii="Verdana" w:hAnsi="Verdana" w:eastAsia="Calibri"/>
          <w:kern w:val="2"/>
          <w:sz w:val="18"/>
          <w:szCs w:val="18"/>
          <w:lang w:eastAsia="en-US"/>
          <w14:ligatures w14:val="standardContextual"/>
        </w:rPr>
        <w:t xml:space="preserve">Ten algemene geldt dat als er een vrijstelling </w:t>
      </w:r>
      <w:r w:rsidRPr="00DC353F" w:rsidR="00556771">
        <w:rPr>
          <w:rFonts w:ascii="Verdana" w:hAnsi="Verdana" w:eastAsia="Calibri"/>
          <w:kern w:val="2"/>
          <w:sz w:val="18"/>
          <w:szCs w:val="18"/>
          <w:lang w:eastAsia="en-US"/>
          <w14:ligatures w14:val="standardContextual"/>
        </w:rPr>
        <w:t xml:space="preserve">van toepassing is voor het openbaar maken van </w:t>
      </w:r>
      <w:r w:rsidR="00556771">
        <w:rPr>
          <w:rFonts w:ascii="Verdana" w:hAnsi="Verdana" w:eastAsia="Calibri"/>
          <w:kern w:val="2"/>
          <w:sz w:val="18"/>
          <w:szCs w:val="18"/>
          <w:lang w:eastAsia="en-US"/>
          <w14:ligatures w14:val="standardContextual"/>
        </w:rPr>
        <w:t>enig</w:t>
      </w:r>
      <w:r w:rsidRPr="00DC353F" w:rsidR="00556771">
        <w:rPr>
          <w:rFonts w:ascii="Verdana" w:hAnsi="Verdana" w:eastAsia="Calibri"/>
          <w:kern w:val="2"/>
          <w:sz w:val="18"/>
          <w:szCs w:val="18"/>
          <w:lang w:eastAsia="en-US"/>
          <w14:ligatures w14:val="standardContextual"/>
        </w:rPr>
        <w:t xml:space="preserve"> stuk</w:t>
      </w:r>
      <w:r w:rsidR="00556771">
        <w:rPr>
          <w:rFonts w:ascii="Verdana" w:hAnsi="Verdana" w:eastAsia="Calibri"/>
          <w:kern w:val="2"/>
          <w:sz w:val="18"/>
          <w:szCs w:val="18"/>
          <w:lang w:eastAsia="en-US"/>
          <w14:ligatures w14:val="standardContextual"/>
        </w:rPr>
        <w:t xml:space="preserve"> uit de jaarverslaggeving</w:t>
      </w:r>
      <w:r w:rsidRPr="00DC353F" w:rsidR="00556771">
        <w:rPr>
          <w:rFonts w:ascii="Verdana" w:hAnsi="Verdana" w:eastAsia="Calibri"/>
          <w:kern w:val="2"/>
          <w:sz w:val="18"/>
          <w:szCs w:val="18"/>
          <w:lang w:eastAsia="en-US"/>
          <w14:ligatures w14:val="standardContextual"/>
        </w:rPr>
        <w:t xml:space="preserve">, dat stuk ook niet naar het ESAP gestuurd </w:t>
      </w:r>
      <w:r w:rsidR="00556771">
        <w:rPr>
          <w:rFonts w:ascii="Verdana" w:hAnsi="Verdana" w:eastAsia="Calibri"/>
          <w:kern w:val="2"/>
          <w:sz w:val="18"/>
          <w:szCs w:val="18"/>
          <w:lang w:eastAsia="en-US"/>
          <w14:ligatures w14:val="standardContextual"/>
        </w:rPr>
        <w:t>hoeft t</w:t>
      </w:r>
      <w:r w:rsidRPr="00DC353F" w:rsidR="00556771">
        <w:rPr>
          <w:rFonts w:ascii="Verdana" w:hAnsi="Verdana" w:eastAsia="Calibri"/>
          <w:kern w:val="2"/>
          <w:sz w:val="18"/>
          <w:szCs w:val="18"/>
          <w:lang w:eastAsia="en-US"/>
          <w14:ligatures w14:val="standardContextual"/>
        </w:rPr>
        <w:t>e worden.</w:t>
      </w:r>
      <w:r w:rsidR="00556771">
        <w:rPr>
          <w:rFonts w:ascii="Verdana" w:hAnsi="Verdana" w:eastAsia="Calibri"/>
          <w:kern w:val="2"/>
          <w:sz w:val="18"/>
          <w:szCs w:val="18"/>
          <w:lang w:eastAsia="en-US"/>
          <w14:ligatures w14:val="standardContextual"/>
        </w:rPr>
        <w:t xml:space="preserve"> </w:t>
      </w:r>
      <w:r w:rsidRPr="00DC353F">
        <w:rPr>
          <w:rFonts w:ascii="Verdana" w:hAnsi="Verdana" w:eastAsia="Calibri"/>
          <w:kern w:val="2"/>
          <w:sz w:val="18"/>
          <w:szCs w:val="18"/>
          <w:lang w:eastAsia="en-US"/>
          <w14:ligatures w14:val="standardContextual"/>
        </w:rPr>
        <w:t xml:space="preserve">De beursvennootschappen waarop de groepsvrijstellingen voor de jaarrekening en het bestuursverslag niet van toepassing zijn (artikel 2:403, vierde lid BW), kunnen </w:t>
      </w:r>
      <w:r w:rsidR="00334422">
        <w:rPr>
          <w:rFonts w:ascii="Verdana" w:hAnsi="Verdana" w:eastAsia="Calibri"/>
          <w:kern w:val="2"/>
          <w:sz w:val="18"/>
          <w:szCs w:val="18"/>
          <w:lang w:eastAsia="en-US"/>
          <w14:ligatures w14:val="standardContextual"/>
        </w:rPr>
        <w:t>eveneens</w:t>
      </w:r>
      <w:r w:rsidRPr="00DC353F">
        <w:rPr>
          <w:rFonts w:ascii="Verdana" w:hAnsi="Verdana" w:eastAsia="Calibri"/>
          <w:kern w:val="2"/>
          <w:sz w:val="18"/>
          <w:szCs w:val="18"/>
          <w:lang w:eastAsia="en-US"/>
          <w14:ligatures w14:val="standardContextual"/>
        </w:rPr>
        <w:t xml:space="preserve"> profiteren van de groepsvrijstelling voor de duurzaamheidsrapportering en het verslag inzake duurzaamheid, aldus het tiende lid van artikel 19bis CSRD, met uitzondering van de grote beursvennootschappen. </w:t>
      </w:r>
      <w:r w:rsidRPr="00DC353F" w:rsidR="00556771">
        <w:rPr>
          <w:rFonts w:ascii="Verdana" w:hAnsi="Verdana" w:eastAsia="Calibri"/>
          <w:kern w:val="2"/>
          <w:sz w:val="18"/>
          <w:szCs w:val="18"/>
          <w:lang w:eastAsia="en-US"/>
          <w14:ligatures w14:val="standardContextual"/>
        </w:rPr>
        <w:t xml:space="preserve">Die laatste uitzondering zal naar verwachting ten gevolge van de wijzigingen door de Omnibus I-voorstellen komen te vervallen, zodat alle beursvennootschappen van de groepsvrijstelling kunnen profiteren.  </w:t>
      </w:r>
    </w:p>
    <w:p w:rsidR="00861BF1" w:rsidP="001A189C" w:rsidRDefault="00861BF1" w14:paraId="4735CA06" w14:textId="77777777">
      <w:pPr>
        <w:spacing w:after="160" w:line="240" w:lineRule="atLeast"/>
        <w:contextualSpacing/>
        <w:rPr>
          <w:rFonts w:ascii="Verdana" w:hAnsi="Verdana" w:eastAsia="Calibri"/>
          <w:kern w:val="2"/>
          <w:sz w:val="18"/>
          <w:szCs w:val="18"/>
          <w:lang w:eastAsia="en-US"/>
          <w14:ligatures w14:val="standardContextual"/>
        </w:rPr>
      </w:pPr>
    </w:p>
    <w:p w:rsidR="00D9516A" w:rsidP="001A189C" w:rsidRDefault="00556771" w14:paraId="5F20A0A0" w14:textId="217CFEE5">
      <w:pPr>
        <w:spacing w:after="160" w:line="240" w:lineRule="atLeast"/>
        <w:contextualSpacing/>
        <w:rPr>
          <w:rFonts w:ascii="Verdana" w:hAnsi="Verdana" w:eastAsia="Calibri"/>
          <w:kern w:val="2"/>
          <w:sz w:val="18"/>
          <w:szCs w:val="18"/>
          <w:lang w:eastAsia="en-US"/>
          <w14:ligatures w14:val="standardContextual"/>
        </w:rPr>
      </w:pPr>
      <w:r w:rsidRPr="00DC353F">
        <w:rPr>
          <w:rFonts w:ascii="Verdana" w:hAnsi="Verdana" w:eastAsia="Calibri"/>
          <w:kern w:val="2"/>
          <w:sz w:val="18"/>
          <w:szCs w:val="18"/>
          <w:lang w:eastAsia="en-US"/>
          <w14:ligatures w14:val="standardContextual"/>
        </w:rPr>
        <w:t>Nu enkel</w:t>
      </w:r>
      <w:r w:rsidR="00861BF1">
        <w:rPr>
          <w:rFonts w:ascii="Verdana" w:hAnsi="Verdana" w:eastAsia="Calibri"/>
          <w:kern w:val="2"/>
          <w:sz w:val="18"/>
          <w:szCs w:val="18"/>
          <w:lang w:eastAsia="en-US"/>
          <w14:ligatures w14:val="standardContextual"/>
        </w:rPr>
        <w:t>e</w:t>
      </w:r>
      <w:r w:rsidRPr="00DC353F">
        <w:rPr>
          <w:rFonts w:ascii="Verdana" w:hAnsi="Verdana" w:eastAsia="Calibri"/>
          <w:kern w:val="2"/>
          <w:sz w:val="18"/>
          <w:szCs w:val="18"/>
          <w:lang w:eastAsia="en-US"/>
          <w14:ligatures w14:val="standardContextual"/>
        </w:rPr>
        <w:t xml:space="preserve"> groepen van ondernemingen uitstel hebben gekregen </w:t>
      </w:r>
      <w:r w:rsidR="007358A1">
        <w:rPr>
          <w:rFonts w:ascii="Verdana" w:hAnsi="Verdana" w:eastAsia="Calibri"/>
          <w:kern w:val="2"/>
          <w:sz w:val="18"/>
          <w:szCs w:val="18"/>
          <w:lang w:eastAsia="en-US"/>
          <w14:ligatures w14:val="standardContextual"/>
        </w:rPr>
        <w:t xml:space="preserve">van de verplichtingen tot duurzaamheidsrapportering ten gevolge </w:t>
      </w:r>
      <w:r w:rsidRPr="00DC353F">
        <w:rPr>
          <w:rFonts w:ascii="Verdana" w:hAnsi="Verdana" w:eastAsia="Calibri"/>
          <w:kern w:val="2"/>
          <w:sz w:val="18"/>
          <w:szCs w:val="18"/>
          <w:lang w:eastAsia="en-US"/>
          <w14:ligatures w14:val="standardContextual"/>
        </w:rPr>
        <w:t>van de zogenaamde Stop-de-Klok-richtlijn</w:t>
      </w:r>
      <w:r w:rsidRPr="00DC353F">
        <w:rPr>
          <w:rFonts w:ascii="Verdana" w:hAnsi="Verdana" w:eastAsia="Calibri"/>
          <w:kern w:val="2"/>
          <w:sz w:val="18"/>
          <w:szCs w:val="18"/>
          <w:vertAlign w:val="superscript"/>
          <w:lang w:eastAsia="en-US"/>
          <w14:ligatures w14:val="standardContextual"/>
        </w:rPr>
        <w:footnoteReference w:id="11"/>
      </w:r>
      <w:r w:rsidRPr="00DC353F">
        <w:rPr>
          <w:rFonts w:ascii="Verdana" w:hAnsi="Verdana" w:eastAsia="Calibri"/>
          <w:kern w:val="2"/>
          <w:sz w:val="18"/>
          <w:szCs w:val="18"/>
          <w:lang w:eastAsia="en-US"/>
          <w14:ligatures w14:val="standardContextual"/>
        </w:rPr>
        <w:t>, profiteren zij ook voor de ESAP-verplichtingen van dat uitstel.</w:t>
      </w:r>
      <w:r w:rsidR="000A2D3E">
        <w:rPr>
          <w:rFonts w:ascii="Verdana" w:hAnsi="Verdana" w:eastAsia="Calibri"/>
          <w:kern w:val="2"/>
          <w:sz w:val="18"/>
          <w:szCs w:val="18"/>
          <w:lang w:eastAsia="en-US"/>
          <w14:ligatures w14:val="standardContextual"/>
        </w:rPr>
        <w:t xml:space="preserve"> </w:t>
      </w:r>
    </w:p>
    <w:p w:rsidR="00D82101" w:rsidP="001A189C" w:rsidRDefault="00D82101" w14:paraId="31ECA027" w14:textId="77777777">
      <w:pPr>
        <w:spacing w:after="160" w:line="240" w:lineRule="atLeast"/>
        <w:contextualSpacing/>
        <w:rPr>
          <w:rFonts w:ascii="Verdana" w:hAnsi="Verdana" w:eastAsia="Calibri"/>
          <w:kern w:val="2"/>
          <w:sz w:val="18"/>
          <w:szCs w:val="18"/>
          <w:lang w:eastAsia="en-US"/>
          <w14:ligatures w14:val="standardContextual"/>
        </w:rPr>
      </w:pPr>
    </w:p>
    <w:p w:rsidR="00D9516A" w:rsidP="001A189C" w:rsidRDefault="00861BF1" w14:paraId="172ECA8F" w14:textId="34C638EA">
      <w:pPr>
        <w:spacing w:after="160" w:line="240" w:lineRule="atLeast"/>
        <w:contextualSpacing/>
        <w:rPr>
          <w:rFonts w:ascii="Verdana" w:hAnsi="Verdana" w:eastAsia="Calibri"/>
          <w:kern w:val="2"/>
          <w:sz w:val="18"/>
          <w:szCs w:val="18"/>
          <w:lang w:eastAsia="en-US"/>
          <w14:ligatures w14:val="standardContextual"/>
        </w:rPr>
      </w:pPr>
      <w:r>
        <w:rPr>
          <w:rFonts w:ascii="Verdana" w:hAnsi="Verdana" w:eastAsia="Calibri"/>
          <w:kern w:val="2"/>
          <w:sz w:val="18"/>
          <w:szCs w:val="18"/>
          <w:lang w:eastAsia="en-US"/>
          <w14:ligatures w14:val="standardContextual"/>
        </w:rPr>
        <w:t>W</w:t>
      </w:r>
      <w:r w:rsidR="00D9516A">
        <w:rPr>
          <w:rFonts w:ascii="Verdana" w:hAnsi="Verdana" w:eastAsia="Calibri"/>
          <w:kern w:val="2"/>
          <w:sz w:val="18"/>
          <w:szCs w:val="18"/>
          <w:lang w:eastAsia="en-US"/>
          <w14:ligatures w14:val="standardContextual"/>
        </w:rPr>
        <w:t>anneer een onderneming of instelling (bijvoorbeeld een ziekenhuis) vrijwillig een duurzaamheidsrapportering opneemt in haar bestuursverslag,</w:t>
      </w:r>
      <w:r>
        <w:rPr>
          <w:rFonts w:ascii="Verdana" w:hAnsi="Verdana" w:eastAsia="Calibri"/>
          <w:kern w:val="2"/>
          <w:sz w:val="18"/>
          <w:szCs w:val="18"/>
          <w:lang w:eastAsia="en-US"/>
          <w14:ligatures w14:val="standardContextual"/>
        </w:rPr>
        <w:t xml:space="preserve"> gaat</w:t>
      </w:r>
      <w:r w:rsidR="00D9516A">
        <w:rPr>
          <w:rFonts w:ascii="Verdana" w:hAnsi="Verdana" w:eastAsia="Calibri"/>
          <w:kern w:val="2"/>
          <w:sz w:val="18"/>
          <w:szCs w:val="18"/>
          <w:lang w:eastAsia="en-US"/>
          <w14:ligatures w14:val="standardContextual"/>
        </w:rPr>
        <w:t xml:space="preserve"> de KvK </w:t>
      </w:r>
      <w:r w:rsidR="00EA1AAA">
        <w:rPr>
          <w:rFonts w:ascii="Verdana" w:hAnsi="Verdana" w:eastAsia="Calibri"/>
          <w:kern w:val="2"/>
          <w:sz w:val="18"/>
          <w:szCs w:val="18"/>
          <w:lang w:eastAsia="en-US"/>
          <w14:ligatures w14:val="standardContextual"/>
        </w:rPr>
        <w:t>vanaf 2030</w:t>
      </w:r>
      <w:r w:rsidR="00D9516A">
        <w:rPr>
          <w:rFonts w:ascii="Verdana" w:hAnsi="Verdana" w:eastAsia="Calibri"/>
          <w:kern w:val="2"/>
          <w:sz w:val="18"/>
          <w:szCs w:val="18"/>
          <w:lang w:eastAsia="en-US"/>
          <w14:ligatures w14:val="standardContextual"/>
        </w:rPr>
        <w:t xml:space="preserve">, zodra vrijwillige deponering in het ESAP mogelijk wordt, </w:t>
      </w:r>
      <w:r>
        <w:rPr>
          <w:rFonts w:ascii="Verdana" w:hAnsi="Verdana" w:eastAsia="Calibri"/>
          <w:kern w:val="2"/>
          <w:sz w:val="18"/>
          <w:szCs w:val="18"/>
          <w:lang w:eastAsia="en-US"/>
          <w14:ligatures w14:val="standardContextual"/>
        </w:rPr>
        <w:t xml:space="preserve">er niet </w:t>
      </w:r>
      <w:r w:rsidR="00D9516A">
        <w:rPr>
          <w:rFonts w:ascii="Verdana" w:hAnsi="Verdana" w:eastAsia="Calibri"/>
          <w:kern w:val="2"/>
          <w:sz w:val="18"/>
          <w:szCs w:val="18"/>
          <w:lang w:eastAsia="en-US"/>
          <w14:ligatures w14:val="standardContextual"/>
        </w:rPr>
        <w:t xml:space="preserve">vanuit dat de stukken van die onderneming of instelling ook naar het ESAP gestuurd moeten worden. Zodra vrijwillige deponering van stukken in het ESAP mogelijk wordt, </w:t>
      </w:r>
      <w:r w:rsidR="00D82101">
        <w:rPr>
          <w:rFonts w:ascii="Verdana" w:hAnsi="Verdana" w:eastAsia="Calibri"/>
          <w:kern w:val="2"/>
          <w:sz w:val="18"/>
          <w:szCs w:val="18"/>
          <w:lang w:eastAsia="en-US"/>
          <w14:ligatures w14:val="standardContextual"/>
        </w:rPr>
        <w:t xml:space="preserve">is het wenselijk dat </w:t>
      </w:r>
      <w:r w:rsidR="00D9516A">
        <w:rPr>
          <w:rFonts w:ascii="Verdana" w:hAnsi="Verdana" w:eastAsia="Calibri"/>
          <w:kern w:val="2"/>
          <w:sz w:val="18"/>
          <w:szCs w:val="18"/>
          <w:lang w:eastAsia="en-US"/>
          <w14:ligatures w14:val="standardContextual"/>
        </w:rPr>
        <w:t xml:space="preserve">dit expliciet </w:t>
      </w:r>
      <w:r w:rsidR="00D82101">
        <w:rPr>
          <w:rFonts w:ascii="Verdana" w:hAnsi="Verdana" w:eastAsia="Calibri"/>
          <w:kern w:val="2"/>
          <w:sz w:val="18"/>
          <w:szCs w:val="18"/>
          <w:lang w:eastAsia="en-US"/>
          <w14:ligatures w14:val="standardContextual"/>
        </w:rPr>
        <w:t>wordt</w:t>
      </w:r>
      <w:r w:rsidR="00EA1AAA">
        <w:rPr>
          <w:rFonts w:ascii="Verdana" w:hAnsi="Verdana" w:eastAsia="Calibri"/>
          <w:kern w:val="2"/>
          <w:sz w:val="18"/>
          <w:szCs w:val="18"/>
          <w:lang w:eastAsia="en-US"/>
          <w14:ligatures w14:val="standardContextual"/>
        </w:rPr>
        <w:t xml:space="preserve"> aangegeven </w:t>
      </w:r>
      <w:r w:rsidR="00D9516A">
        <w:rPr>
          <w:rFonts w:ascii="Verdana" w:hAnsi="Verdana" w:eastAsia="Calibri"/>
          <w:kern w:val="2"/>
          <w:sz w:val="18"/>
          <w:szCs w:val="18"/>
          <w:lang w:eastAsia="en-US"/>
          <w14:ligatures w14:val="standardContextual"/>
        </w:rPr>
        <w:t>door de onderneming of instelling aan de KvK.</w:t>
      </w:r>
      <w:r w:rsidR="00EA1AAA">
        <w:rPr>
          <w:rFonts w:ascii="Verdana" w:hAnsi="Verdana" w:eastAsia="Calibri"/>
          <w:kern w:val="2"/>
          <w:sz w:val="18"/>
          <w:szCs w:val="18"/>
          <w:lang w:eastAsia="en-US"/>
          <w14:ligatures w14:val="standardContextual"/>
        </w:rPr>
        <w:t xml:space="preserve"> Volgens artikel 3 van de Verordening oprichting ESAP zal de onderneming de vrijwillige deponering in de metadata kenbaar moeten maken. Omdat die verordening rechtstreeks van toepassing is in de Nederlandse rechtsorde, vergt deze bepaling geen implementatie.</w:t>
      </w:r>
    </w:p>
    <w:p w:rsidRPr="007456D5" w:rsidR="00627534" w:rsidP="001A189C" w:rsidRDefault="00627534" w14:paraId="4F98E330" w14:textId="77777777">
      <w:pPr>
        <w:spacing w:after="160" w:line="240" w:lineRule="atLeast"/>
        <w:contextualSpacing/>
        <w:rPr>
          <w:rFonts w:ascii="Verdana" w:hAnsi="Verdana" w:eastAsia="Calibri"/>
          <w:kern w:val="2"/>
          <w:sz w:val="18"/>
          <w:szCs w:val="18"/>
          <w:lang w:eastAsia="en-US"/>
          <w14:ligatures w14:val="standardContextual"/>
        </w:rPr>
      </w:pPr>
    </w:p>
    <w:p w:rsidR="00FE2F2D" w:rsidP="001A189C" w:rsidRDefault="00FE2F2D" w14:paraId="56B0CAAB" w14:textId="2CAC2306">
      <w:pPr>
        <w:spacing w:after="160" w:line="240" w:lineRule="atLeast"/>
        <w:contextualSpacing/>
        <w:rPr>
          <w:rFonts w:ascii="Verdana" w:hAnsi="Verdana" w:cs="Calibri"/>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Omdat er in de </w:t>
      </w:r>
      <w:r w:rsidR="00437182">
        <w:rPr>
          <w:rFonts w:ascii="Verdana" w:hAnsi="Verdana" w:eastAsia="Calibri"/>
          <w:kern w:val="2"/>
          <w:sz w:val="18"/>
          <w:szCs w:val="18"/>
          <w:lang w:eastAsia="en-US"/>
          <w14:ligatures w14:val="standardContextual"/>
        </w:rPr>
        <w:t>r</w:t>
      </w:r>
      <w:r w:rsidR="00A65911">
        <w:rPr>
          <w:rFonts w:ascii="Verdana" w:hAnsi="Verdana" w:eastAsia="Calibri"/>
          <w:kern w:val="2"/>
          <w:sz w:val="18"/>
          <w:szCs w:val="18"/>
          <w:lang w:eastAsia="en-US"/>
          <w14:ligatures w14:val="standardContextual"/>
        </w:rPr>
        <w:t>ichtlijn ESAP</w:t>
      </w:r>
      <w:r w:rsidRPr="007456D5">
        <w:rPr>
          <w:rFonts w:ascii="Verdana" w:hAnsi="Verdana" w:eastAsia="Calibri"/>
          <w:kern w:val="2"/>
          <w:sz w:val="18"/>
          <w:szCs w:val="18"/>
          <w:lang w:eastAsia="en-US"/>
          <w14:ligatures w14:val="standardContextual"/>
        </w:rPr>
        <w:t xml:space="preserve"> afzonderlijke eisen worden gesteld aan het formaat waarin de informatie in het ESAP openbaar gemaakt moet worden en aan de metadata die aan de informatie toegevoegd moeten worden, is de openbaarmakingsverplichting voor de bovengenoemde groep vennootschappen uit artikel 2:394 BW aangevuld met die eisen in een apart artikel. Zij vallen voor de openbaarmaking van hun jaarverslaggeving nog steeds o</w:t>
      </w:r>
      <w:r w:rsidR="00627534">
        <w:rPr>
          <w:rFonts w:ascii="Verdana" w:hAnsi="Verdana" w:eastAsia="Calibri"/>
          <w:kern w:val="2"/>
          <w:sz w:val="18"/>
          <w:szCs w:val="18"/>
          <w:lang w:eastAsia="en-US"/>
          <w14:ligatures w14:val="standardContextual"/>
        </w:rPr>
        <w:t>n</w:t>
      </w:r>
      <w:r w:rsidRPr="007456D5">
        <w:rPr>
          <w:rFonts w:ascii="Verdana" w:hAnsi="Verdana" w:eastAsia="Calibri"/>
          <w:kern w:val="2"/>
          <w:sz w:val="18"/>
          <w:szCs w:val="18"/>
          <w:lang w:eastAsia="en-US"/>
          <w14:ligatures w14:val="standardContextual"/>
        </w:rPr>
        <w:t>der artikel 2:394 BW, maar dienen enkele nadere regels in acht te nemen.</w:t>
      </w:r>
    </w:p>
    <w:p w:rsidRPr="007456D5" w:rsidR="00627534" w:rsidP="001A189C" w:rsidRDefault="00627534" w14:paraId="71183515" w14:textId="77777777">
      <w:pPr>
        <w:spacing w:after="160" w:line="240" w:lineRule="atLeast"/>
        <w:contextualSpacing/>
        <w:rPr>
          <w:rFonts w:ascii="Verdana" w:hAnsi="Verdana" w:cs="Calibri"/>
          <w:sz w:val="18"/>
          <w:szCs w:val="18"/>
          <w:lang w:eastAsia="en-US"/>
          <w14:ligatures w14:val="standardContextual"/>
        </w:rPr>
      </w:pPr>
    </w:p>
    <w:p w:rsidR="00FE2F2D" w:rsidP="001A189C" w:rsidRDefault="00FE2F2D" w14:paraId="575BDE35" w14:textId="1E07B0D0">
      <w:pPr>
        <w:spacing w:after="160" w:line="240" w:lineRule="atLeast"/>
        <w:contextualSpacing/>
        <w:rPr>
          <w:rFonts w:ascii="Verdana" w:hAnsi="Verdana" w:cs="Calibri"/>
          <w:sz w:val="18"/>
          <w:szCs w:val="18"/>
          <w:lang w:eastAsia="en-US"/>
          <w14:ligatures w14:val="standardContextual"/>
        </w:rPr>
      </w:pPr>
      <w:r w:rsidRPr="007456D5">
        <w:rPr>
          <w:rFonts w:ascii="Verdana" w:hAnsi="Verdana" w:cs="Calibri"/>
          <w:sz w:val="18"/>
          <w:szCs w:val="18"/>
          <w:lang w:eastAsia="en-US"/>
          <w14:ligatures w14:val="standardContextual"/>
        </w:rPr>
        <w:t>Er verandert niets aan de instantie waarbij de stukken ingediend moeten worden. Dat blijven de AFM en de K</w:t>
      </w:r>
      <w:r w:rsidR="00B358BD">
        <w:rPr>
          <w:rFonts w:ascii="Verdana" w:hAnsi="Verdana" w:cs="Calibri"/>
          <w:sz w:val="18"/>
          <w:szCs w:val="18"/>
          <w:lang w:eastAsia="en-US"/>
          <w14:ligatures w14:val="standardContextual"/>
        </w:rPr>
        <w:t>vK</w:t>
      </w:r>
      <w:r w:rsidRPr="007456D5">
        <w:rPr>
          <w:rFonts w:ascii="Verdana" w:hAnsi="Verdana" w:cs="Calibri"/>
          <w:sz w:val="18"/>
          <w:szCs w:val="18"/>
          <w:lang w:eastAsia="en-US"/>
          <w14:ligatures w14:val="standardContextual"/>
        </w:rPr>
        <w:t xml:space="preserve">, afhankelijk van de onderneming en van de te deponeren stukken. De AFM blijft de stukken ook gewoon binnen drie werkdagen doorzetten naar de </w:t>
      </w:r>
      <w:r w:rsidR="00B358BD">
        <w:rPr>
          <w:rFonts w:ascii="Verdana" w:hAnsi="Verdana" w:cs="Calibri"/>
          <w:sz w:val="18"/>
          <w:szCs w:val="18"/>
          <w:lang w:eastAsia="en-US"/>
          <w14:ligatures w14:val="standardContextual"/>
        </w:rPr>
        <w:t>KvK</w:t>
      </w:r>
      <w:r w:rsidRPr="007456D5">
        <w:rPr>
          <w:rFonts w:ascii="Verdana" w:hAnsi="Verdana" w:cs="Calibri"/>
          <w:sz w:val="18"/>
          <w:szCs w:val="18"/>
          <w:lang w:eastAsia="en-US"/>
          <w14:ligatures w14:val="standardContextual"/>
        </w:rPr>
        <w:t>. De K</w:t>
      </w:r>
      <w:r w:rsidR="00B358BD">
        <w:rPr>
          <w:rFonts w:ascii="Verdana" w:hAnsi="Verdana" w:cs="Calibri"/>
          <w:sz w:val="18"/>
          <w:szCs w:val="18"/>
          <w:lang w:eastAsia="en-US"/>
          <w14:ligatures w14:val="standardContextual"/>
        </w:rPr>
        <w:t>vK</w:t>
      </w:r>
      <w:r w:rsidRPr="007456D5">
        <w:rPr>
          <w:rFonts w:ascii="Verdana" w:hAnsi="Verdana" w:cs="Calibri"/>
          <w:sz w:val="18"/>
          <w:szCs w:val="18"/>
          <w:lang w:eastAsia="en-US"/>
          <w14:ligatures w14:val="standardContextual"/>
        </w:rPr>
        <w:t xml:space="preserve"> wordt de </w:t>
      </w:r>
      <w:r w:rsidRPr="007456D5" w:rsidR="00C07B66">
        <w:rPr>
          <w:rFonts w:ascii="Verdana" w:hAnsi="Verdana" w:cs="Calibri"/>
          <w:sz w:val="18"/>
          <w:szCs w:val="18"/>
          <w:lang w:eastAsia="en-US"/>
          <w14:ligatures w14:val="standardContextual"/>
        </w:rPr>
        <w:t xml:space="preserve">verzamelende </w:t>
      </w:r>
      <w:r w:rsidRPr="007456D5">
        <w:rPr>
          <w:rFonts w:ascii="Verdana" w:hAnsi="Verdana" w:cs="Calibri"/>
          <w:sz w:val="18"/>
          <w:szCs w:val="18"/>
          <w:lang w:eastAsia="en-US"/>
          <w14:ligatures w14:val="standardContextual"/>
        </w:rPr>
        <w:t xml:space="preserve">instantie die </w:t>
      </w:r>
      <w:r w:rsidRPr="007456D5">
        <w:rPr>
          <w:rFonts w:ascii="Verdana" w:hAnsi="Verdana" w:cs="Calibri"/>
          <w:sz w:val="18"/>
          <w:szCs w:val="18"/>
          <w:lang w:eastAsia="en-US"/>
          <w14:ligatures w14:val="standardContextual"/>
        </w:rPr>
        <w:lastRenderedPageBreak/>
        <w:t xml:space="preserve">alle jaarverslaggevingstukken </w:t>
      </w:r>
      <w:r w:rsidRPr="007456D5" w:rsidR="00EE4D36">
        <w:rPr>
          <w:rFonts w:ascii="Verdana" w:hAnsi="Verdana" w:cs="Calibri"/>
          <w:sz w:val="18"/>
          <w:szCs w:val="18"/>
          <w:lang w:eastAsia="en-US"/>
          <w14:ligatures w14:val="standardContextual"/>
        </w:rPr>
        <w:t xml:space="preserve">verstrekt </w:t>
      </w:r>
      <w:r w:rsidR="00B9660D">
        <w:rPr>
          <w:rFonts w:ascii="Verdana" w:hAnsi="Verdana" w:cs="Calibri"/>
          <w:sz w:val="18"/>
          <w:szCs w:val="18"/>
          <w:lang w:eastAsia="en-US"/>
          <w14:ligatures w14:val="standardContextual"/>
        </w:rPr>
        <w:t>aan het ESAP</w:t>
      </w:r>
      <w:r w:rsidRPr="007456D5" w:rsidR="00F85FFB">
        <w:rPr>
          <w:rFonts w:ascii="Verdana" w:hAnsi="Verdana" w:cs="Calibri"/>
          <w:sz w:val="18"/>
          <w:szCs w:val="18"/>
          <w:lang w:eastAsia="en-US"/>
          <w14:ligatures w14:val="standardContextual"/>
        </w:rPr>
        <w:t xml:space="preserve">, met uitzondering van de verslaggevingsstukken die op grond van 4:52 Wft door ondernemingen </w:t>
      </w:r>
      <w:r w:rsidRPr="007456D5" w:rsidR="008C53DB">
        <w:rPr>
          <w:rFonts w:ascii="Verdana" w:hAnsi="Verdana" w:cs="Calibri"/>
          <w:sz w:val="18"/>
          <w:szCs w:val="18"/>
          <w:lang w:eastAsia="en-US"/>
          <w14:ligatures w14:val="standardContextual"/>
        </w:rPr>
        <w:t>zijn</w:t>
      </w:r>
      <w:r w:rsidRPr="007456D5" w:rsidR="00F85FFB">
        <w:rPr>
          <w:rFonts w:ascii="Verdana" w:hAnsi="Verdana" w:cs="Calibri"/>
          <w:sz w:val="18"/>
          <w:szCs w:val="18"/>
          <w:lang w:eastAsia="en-US"/>
          <w14:ligatures w14:val="standardContextual"/>
        </w:rPr>
        <w:t xml:space="preserve"> ingediend. Voor die stukken is de AFM de verzamelende instantie</w:t>
      </w:r>
      <w:r w:rsidRPr="007456D5">
        <w:rPr>
          <w:rFonts w:ascii="Verdana" w:hAnsi="Verdana" w:cs="Calibri"/>
          <w:sz w:val="18"/>
          <w:szCs w:val="18"/>
          <w:lang w:eastAsia="en-US"/>
          <w14:ligatures w14:val="standardContextual"/>
        </w:rPr>
        <w:t xml:space="preserve">. </w:t>
      </w:r>
    </w:p>
    <w:p w:rsidRPr="007456D5" w:rsidR="00627534" w:rsidP="001A189C" w:rsidRDefault="00627534" w14:paraId="0A299C75" w14:textId="77777777">
      <w:pPr>
        <w:spacing w:after="160" w:line="240" w:lineRule="atLeast"/>
        <w:contextualSpacing/>
        <w:rPr>
          <w:rFonts w:ascii="Verdana" w:hAnsi="Verdana" w:cs="Calibri"/>
          <w:sz w:val="18"/>
          <w:szCs w:val="18"/>
          <w:lang w:eastAsia="en-US"/>
          <w14:ligatures w14:val="standardContextual"/>
        </w:rPr>
      </w:pPr>
    </w:p>
    <w:p w:rsidR="00334422" w:rsidP="001A189C" w:rsidRDefault="00FE2F2D" w14:paraId="588053E7" w14:textId="77777777">
      <w:pPr>
        <w:spacing w:after="160" w:line="240" w:lineRule="atLeast"/>
        <w:contextualSpacing/>
        <w:rPr>
          <w:rFonts w:ascii="Verdana" w:hAnsi="Verdana" w:cs="Calibri"/>
          <w:sz w:val="18"/>
          <w:szCs w:val="18"/>
          <w:lang w:eastAsia="en-US"/>
          <w14:ligatures w14:val="standardContextual"/>
        </w:rPr>
      </w:pPr>
      <w:r w:rsidRPr="007456D5">
        <w:rPr>
          <w:rFonts w:ascii="Verdana" w:hAnsi="Verdana" w:cs="Calibri"/>
          <w:sz w:val="18"/>
          <w:szCs w:val="18"/>
          <w:lang w:eastAsia="en-US"/>
          <w14:ligatures w14:val="standardContextual"/>
        </w:rPr>
        <w:t xml:space="preserve">In het eerste lid is de zinsnede “voor zover van toepassing” opgenomen om tot uitdrukking te brengen dat de opgesomde stukken alleen </w:t>
      </w:r>
      <w:r w:rsidR="00B9660D">
        <w:rPr>
          <w:rFonts w:ascii="Verdana" w:hAnsi="Verdana" w:cs="Calibri"/>
          <w:sz w:val="18"/>
          <w:szCs w:val="18"/>
          <w:lang w:eastAsia="en-US"/>
          <w14:ligatures w14:val="standardContextual"/>
        </w:rPr>
        <w:t>op het ESAP</w:t>
      </w:r>
      <w:r w:rsidRPr="007456D5">
        <w:rPr>
          <w:rFonts w:ascii="Verdana" w:hAnsi="Verdana" w:cs="Calibri"/>
          <w:sz w:val="18"/>
          <w:szCs w:val="18"/>
          <w:lang w:eastAsia="en-US"/>
          <w14:ligatures w14:val="standardContextual"/>
        </w:rPr>
        <w:t xml:space="preserve"> openbaar gemaakt moeten worden als er op basis van een andere bepaling een verplichting bestaat die stukken op te stellen en openbaar te maken. Ook met de in onderdeel e genoemde accountantsverklaringen en assuranceverklaring wordt alleen gedoeld op verklaringen die uit anderen hoofde zijn voorgeschreven. </w:t>
      </w:r>
    </w:p>
    <w:p w:rsidR="00334422" w:rsidP="001A189C" w:rsidRDefault="00334422" w14:paraId="2EAA03AF" w14:textId="77777777">
      <w:pPr>
        <w:spacing w:after="160" w:line="240" w:lineRule="atLeast"/>
        <w:contextualSpacing/>
        <w:rPr>
          <w:rFonts w:ascii="Verdana" w:hAnsi="Verdana" w:cs="Calibri"/>
          <w:sz w:val="18"/>
          <w:szCs w:val="18"/>
          <w:lang w:eastAsia="en-US"/>
          <w14:ligatures w14:val="standardContextual"/>
        </w:rPr>
      </w:pPr>
    </w:p>
    <w:p w:rsidR="00334422" w:rsidP="001A189C" w:rsidRDefault="00334422" w14:paraId="27A08F88" w14:textId="4D69E97E">
      <w:pPr>
        <w:spacing w:after="160" w:line="240" w:lineRule="atLeast"/>
        <w:contextualSpacing/>
        <w:rPr>
          <w:rFonts w:ascii="Verdana" w:hAnsi="Verdana" w:cs="Calibri"/>
          <w:sz w:val="18"/>
          <w:szCs w:val="18"/>
          <w:lang w:eastAsia="en-US"/>
          <w14:ligatures w14:val="standardContextual"/>
        </w:rPr>
      </w:pPr>
      <w:r w:rsidRPr="00334422">
        <w:rPr>
          <w:rFonts w:ascii="Verdana" w:hAnsi="Verdana" w:cs="Calibri"/>
          <w:sz w:val="18"/>
          <w:szCs w:val="18"/>
          <w:lang w:eastAsia="en-US"/>
          <w14:ligatures w14:val="standardContextual"/>
        </w:rPr>
        <w:t>Aan de door de richtlijn voorgeschreven stukken die moeten worden doorgestuurd, zijn in onderdeel f van het eerste lid een aantal stukken toegevoegd. Het gaat om een drietal stukken die op basis van de nationale wetgeving bij het handelsregister moeten worden gedeponeerd. Ten eerste betreft het de mededeling dat na vaststelling van de jaarrekening in de algemene vergadering is gebleken dat de jaarrekening in ernstige mate tekortschiet in het geven van het vereiste inzicht (artikel 2:362, zesde lid, BW). Ten tweede moet ook het rechterlijke vonnis waarin een jaarrekening is vernietigd worden doorgestuurd naar het ESAP (artikel 2:394, tweede lid, BW). Ten derde is de ontheffing van de openbaarmakingsverplichting van de Minister van Economische Zaken toegevoegd (artikel 2:394, vijfde lid, BW). Het gaat in alle drie de gevallen om informatie die onlosmakelijk is verbonden met de jaarrekeningverplichting van de onderneming. Het is daarom essentieel dat die ook in ESAP beschikbaar komt. Een in ernstige mate tekortschietende of zelfs door de rechter vernietigde jaarrekening kan immers niet zonder die constatering in het ESAP beschikbaar zijn. Ook wanneer de Minister van Economische Zaken een ontheffing van de jaarrekeningverplichtingen heeft verstrekt, dient die in het ESAP te worden opgenomen, omdat dan duidelijk is dat er een legitieme reden is voor het ontbreken van een bepaalde jaarrekening.</w:t>
      </w:r>
    </w:p>
    <w:p w:rsidR="00334422" w:rsidP="001A189C" w:rsidRDefault="00334422" w14:paraId="370D77EE" w14:textId="77777777">
      <w:pPr>
        <w:spacing w:after="160" w:line="240" w:lineRule="atLeast"/>
        <w:contextualSpacing/>
        <w:rPr>
          <w:rFonts w:ascii="Verdana" w:hAnsi="Verdana" w:cs="Calibri"/>
          <w:sz w:val="18"/>
          <w:szCs w:val="18"/>
          <w:lang w:eastAsia="en-US"/>
          <w14:ligatures w14:val="standardContextual"/>
        </w:rPr>
      </w:pPr>
    </w:p>
    <w:p w:rsidR="00FE2F2D" w:rsidP="001A189C" w:rsidRDefault="00FE2F2D" w14:paraId="7A687A28" w14:textId="025FD1CD">
      <w:pPr>
        <w:spacing w:after="160" w:line="240" w:lineRule="atLeast"/>
        <w:contextualSpacing/>
        <w:rPr>
          <w:rFonts w:ascii="Verdana" w:hAnsi="Verdana" w:cs="Calibri"/>
          <w:sz w:val="18"/>
          <w:szCs w:val="18"/>
          <w:lang w:eastAsia="en-US"/>
          <w14:ligatures w14:val="standardContextual"/>
        </w:rPr>
      </w:pPr>
      <w:r w:rsidRPr="007456D5">
        <w:rPr>
          <w:rFonts w:ascii="Verdana" w:hAnsi="Verdana" w:cs="Calibri"/>
          <w:sz w:val="18"/>
          <w:szCs w:val="18"/>
          <w:lang w:eastAsia="en-US"/>
          <w14:ligatures w14:val="standardContextual"/>
        </w:rPr>
        <w:t xml:space="preserve">De stukken die in het eerste lid zijn genoemd, zijn overigens niet alle jaarverslaggevingstukken. Zo ontbreekt in het kader van het verslag inzake duurzaamheid de eventuele verklaring dat de uiteindelijke moedermaatschappij het assurance-oordeel bij het verslag inzake de duurzaamheid niet beschikbaar heeft gesteld. Die verklaring dient openbaar gemaakt te worden door de dochtermaatschappij van de buiten de EU gevestigde moedermaatschappij, die het verslag over het concern van de moedermaatschappij openbaar moet maken. Ook ontbreekt het verslag inzake de winstbelasting uit Richtlijn (EU) 2021/2101. Dat is een separaat jaarlijks verslag. En ook hier kan in plaats van dat verslag inzake </w:t>
      </w:r>
      <w:r w:rsidRPr="00066706" w:rsidR="00066706">
        <w:rPr>
          <w:rFonts w:ascii="Verdana" w:hAnsi="Verdana" w:cs="Calibri"/>
          <w:sz w:val="18"/>
          <w:szCs w:val="18"/>
          <w:lang w:eastAsia="en-US"/>
          <w14:ligatures w14:val="standardContextual"/>
        </w:rPr>
        <w:t xml:space="preserve">de winstbelasting </w:t>
      </w:r>
      <w:r w:rsidRPr="007456D5">
        <w:rPr>
          <w:rFonts w:ascii="Verdana" w:hAnsi="Verdana" w:cs="Calibri"/>
          <w:sz w:val="18"/>
          <w:szCs w:val="18"/>
          <w:lang w:eastAsia="en-US"/>
          <w14:ligatures w14:val="standardContextual"/>
        </w:rPr>
        <w:t>een verklaring worden gedeponeerd dat de uiteindelijke moedermaatschappij de informatie over de winstbelasting van haar concern niet beschikbaar heeft gesteld. Deze stukken zijn niet opgenomen in artikel 33bis en worden dus ook in artikel 394a buiten de verplichting gehouden. De duurzaamheidsrapportering en de geconsolideerde duurzaamheidsrapportering staan niet in de opsomming van het tweede lid, omdat die in het bestuursverslag zijn opgenomen en dus geen separate verslagen zijn. Dat laatste geldt wel voor het verslag inzake duurzaamheid over concerns uit derde landen en dat is wel opgenomen in de opsomming (onderdeel c van het eerste lid).</w:t>
      </w:r>
    </w:p>
    <w:p w:rsidR="00062793" w:rsidP="001A189C" w:rsidRDefault="00062793" w14:paraId="7A63BF75" w14:textId="77777777">
      <w:pPr>
        <w:spacing w:after="160" w:line="240" w:lineRule="atLeast"/>
        <w:contextualSpacing/>
        <w:rPr>
          <w:rFonts w:ascii="Verdana" w:hAnsi="Verdana" w:cs="Calibri"/>
          <w:sz w:val="18"/>
          <w:szCs w:val="18"/>
          <w:lang w:eastAsia="en-US"/>
          <w14:ligatures w14:val="standardContextual"/>
        </w:rPr>
      </w:pPr>
    </w:p>
    <w:p w:rsidR="00062793" w:rsidP="001A189C" w:rsidRDefault="00062793" w14:paraId="6A7F4C2C" w14:textId="08D5BBE4">
      <w:pPr>
        <w:spacing w:after="160" w:line="240" w:lineRule="atLeast"/>
        <w:contextualSpacing/>
        <w:rPr>
          <w:rFonts w:ascii="Verdana" w:hAnsi="Verdana" w:cs="Calibri"/>
          <w:sz w:val="18"/>
          <w:szCs w:val="18"/>
          <w:lang w:eastAsia="en-US"/>
          <w14:ligatures w14:val="standardContextual"/>
        </w:rPr>
      </w:pPr>
      <w:r>
        <w:rPr>
          <w:rFonts w:ascii="Verdana" w:hAnsi="Verdana" w:cs="Calibri"/>
          <w:sz w:val="18"/>
          <w:szCs w:val="18"/>
          <w:lang w:eastAsia="en-US"/>
          <w14:ligatures w14:val="standardContextual"/>
        </w:rPr>
        <w:t xml:space="preserve">De in het eerste lid, onderdeel b genoemde informatie van artikel 8 van de Taxonomieverordening wordt </w:t>
      </w:r>
      <w:r w:rsidRPr="00062793">
        <w:rPr>
          <w:rFonts w:ascii="Verdana" w:hAnsi="Verdana" w:cs="Calibri"/>
          <w:sz w:val="18"/>
          <w:szCs w:val="18"/>
          <w:lang w:eastAsia="en-US"/>
          <w14:ligatures w14:val="standardContextual"/>
        </w:rPr>
        <w:t>separaat op</w:t>
      </w:r>
      <w:r>
        <w:rPr>
          <w:rFonts w:ascii="Verdana" w:hAnsi="Verdana" w:cs="Calibri"/>
          <w:sz w:val="18"/>
          <w:szCs w:val="18"/>
          <w:lang w:eastAsia="en-US"/>
          <w14:ligatures w14:val="standardContextual"/>
        </w:rPr>
        <w:t>genomen</w:t>
      </w:r>
      <w:r w:rsidRPr="00062793">
        <w:rPr>
          <w:rFonts w:ascii="Verdana" w:hAnsi="Verdana" w:cs="Calibri"/>
          <w:sz w:val="18"/>
          <w:szCs w:val="18"/>
          <w:lang w:eastAsia="en-US"/>
          <w14:ligatures w14:val="standardContextual"/>
        </w:rPr>
        <w:t xml:space="preserve"> in het bestuursverslag </w:t>
      </w:r>
      <w:r>
        <w:rPr>
          <w:rFonts w:ascii="Verdana" w:hAnsi="Verdana" w:cs="Calibri"/>
          <w:sz w:val="18"/>
          <w:szCs w:val="18"/>
          <w:lang w:eastAsia="en-US"/>
          <w14:ligatures w14:val="standardContextual"/>
        </w:rPr>
        <w:t xml:space="preserve">van een onderneming </w:t>
      </w:r>
      <w:r w:rsidRPr="00062793">
        <w:rPr>
          <w:rFonts w:ascii="Verdana" w:hAnsi="Verdana" w:cs="Calibri"/>
          <w:sz w:val="18"/>
          <w:szCs w:val="18"/>
          <w:lang w:eastAsia="en-US"/>
          <w14:ligatures w14:val="standardContextual"/>
        </w:rPr>
        <w:t>als d</w:t>
      </w:r>
      <w:r>
        <w:rPr>
          <w:rFonts w:ascii="Verdana" w:hAnsi="Verdana" w:cs="Calibri"/>
          <w:sz w:val="18"/>
          <w:szCs w:val="18"/>
          <w:lang w:eastAsia="en-US"/>
          <w14:ligatures w14:val="standardContextual"/>
        </w:rPr>
        <w:t>i</w:t>
      </w:r>
      <w:r w:rsidRPr="00062793">
        <w:rPr>
          <w:rFonts w:ascii="Verdana" w:hAnsi="Verdana" w:cs="Calibri"/>
          <w:sz w:val="18"/>
          <w:szCs w:val="18"/>
          <w:lang w:eastAsia="en-US"/>
          <w14:ligatures w14:val="standardContextual"/>
        </w:rPr>
        <w:t>e</w:t>
      </w:r>
      <w:r>
        <w:rPr>
          <w:rFonts w:ascii="Verdana" w:hAnsi="Verdana" w:cs="Calibri"/>
          <w:sz w:val="18"/>
          <w:szCs w:val="18"/>
          <w:lang w:eastAsia="en-US"/>
          <w14:ligatures w14:val="standardContextual"/>
        </w:rPr>
        <w:t xml:space="preserve"> onderneming</w:t>
      </w:r>
      <w:r w:rsidRPr="00062793">
        <w:rPr>
          <w:rFonts w:ascii="Verdana" w:hAnsi="Verdana" w:cs="Calibri"/>
          <w:sz w:val="18"/>
          <w:szCs w:val="18"/>
          <w:lang w:eastAsia="en-US"/>
          <w14:ligatures w14:val="standardContextual"/>
        </w:rPr>
        <w:t xml:space="preserve"> als dochtermaatschappij is vrijgesteld van</w:t>
      </w:r>
      <w:r>
        <w:rPr>
          <w:rFonts w:ascii="Verdana" w:hAnsi="Verdana" w:cs="Calibri"/>
          <w:sz w:val="18"/>
          <w:szCs w:val="18"/>
          <w:lang w:eastAsia="en-US"/>
          <w14:ligatures w14:val="standardContextual"/>
        </w:rPr>
        <w:t xml:space="preserve"> </w:t>
      </w:r>
      <w:r w:rsidRPr="00062793">
        <w:rPr>
          <w:rFonts w:ascii="Verdana" w:hAnsi="Verdana" w:cs="Calibri"/>
          <w:sz w:val="18"/>
          <w:szCs w:val="18"/>
          <w:lang w:eastAsia="en-US"/>
          <w14:ligatures w14:val="standardContextual"/>
        </w:rPr>
        <w:t>het opstellen van duurzaamheidsrapportering, zonder dat die informatie terugkomt in het</w:t>
      </w:r>
      <w:r>
        <w:rPr>
          <w:rFonts w:ascii="Verdana" w:hAnsi="Verdana" w:cs="Calibri"/>
          <w:sz w:val="18"/>
          <w:szCs w:val="18"/>
          <w:lang w:eastAsia="en-US"/>
          <w14:ligatures w14:val="standardContextual"/>
        </w:rPr>
        <w:t xml:space="preserve"> </w:t>
      </w:r>
      <w:r w:rsidRPr="00062793">
        <w:rPr>
          <w:rFonts w:ascii="Verdana" w:hAnsi="Verdana" w:cs="Calibri"/>
          <w:sz w:val="18"/>
          <w:szCs w:val="18"/>
          <w:lang w:eastAsia="en-US"/>
          <w14:ligatures w14:val="standardContextual"/>
        </w:rPr>
        <w:t>geconsolideerde duurzaamheidsverslag van de moedervennootschap.</w:t>
      </w:r>
    </w:p>
    <w:p w:rsidRPr="007456D5" w:rsidR="00627534" w:rsidP="001A189C" w:rsidRDefault="00627534" w14:paraId="0C06147C" w14:textId="77777777">
      <w:pPr>
        <w:spacing w:after="160" w:line="240" w:lineRule="atLeast"/>
        <w:contextualSpacing/>
        <w:rPr>
          <w:rFonts w:ascii="Verdana" w:hAnsi="Verdana" w:cs="Calibri"/>
          <w:sz w:val="18"/>
          <w:szCs w:val="18"/>
          <w:lang w:eastAsia="en-US"/>
          <w14:ligatures w14:val="standardContextual"/>
        </w:rPr>
      </w:pPr>
    </w:p>
    <w:p w:rsidRPr="007456D5" w:rsidR="00FE2F2D" w:rsidP="001A189C" w:rsidRDefault="00FE2F2D" w14:paraId="152347BF" w14:textId="77777777">
      <w:pPr>
        <w:spacing w:after="160" w:line="240" w:lineRule="atLeast"/>
        <w:contextualSpacing/>
        <w:rPr>
          <w:rFonts w:ascii="Verdana" w:hAnsi="Verdana" w:cs="Calibri"/>
          <w:sz w:val="18"/>
          <w:szCs w:val="18"/>
          <w:lang w:eastAsia="en-US"/>
          <w14:ligatures w14:val="standardContextual"/>
        </w:rPr>
      </w:pPr>
      <w:r w:rsidRPr="007456D5">
        <w:rPr>
          <w:rFonts w:ascii="Verdana" w:hAnsi="Verdana" w:cs="Calibri"/>
          <w:sz w:val="18"/>
          <w:szCs w:val="18"/>
          <w:lang w:eastAsia="en-US"/>
          <w14:ligatures w14:val="standardContextual"/>
        </w:rPr>
        <w:lastRenderedPageBreak/>
        <w:t xml:space="preserve">In de Nederlandse versie van artikel 33bis van de Jaarrekeningrichtlijn is in de opsomming van in ESAP te deponeren stukken sprake van “verzekeringsverslagen”. Daarmee wordt gedoeld op het </w:t>
      </w:r>
      <w:proofErr w:type="spellStart"/>
      <w:r w:rsidRPr="007456D5">
        <w:rPr>
          <w:rFonts w:ascii="Verdana" w:hAnsi="Verdana" w:cs="Calibri"/>
          <w:sz w:val="18"/>
          <w:szCs w:val="18"/>
          <w:lang w:eastAsia="en-US"/>
          <w14:ligatures w14:val="standardContextual"/>
        </w:rPr>
        <w:t>assuranceoordeel</w:t>
      </w:r>
      <w:proofErr w:type="spellEnd"/>
      <w:r w:rsidRPr="007456D5">
        <w:rPr>
          <w:rFonts w:ascii="Verdana" w:hAnsi="Verdana" w:cs="Calibri"/>
          <w:sz w:val="18"/>
          <w:szCs w:val="18"/>
          <w:lang w:eastAsia="en-US"/>
          <w14:ligatures w14:val="standardContextual"/>
        </w:rPr>
        <w:t xml:space="preserve"> van een accountant of IASP bij een duurzaamheidsrapportering of verslag inzake duurzaamheid.</w:t>
      </w:r>
    </w:p>
    <w:p w:rsidR="00FE2F2D" w:rsidP="001A189C" w:rsidRDefault="00FE2F2D" w14:paraId="05841D91" w14:textId="0B4C2722">
      <w:pPr>
        <w:spacing w:after="160" w:line="240" w:lineRule="atLeast"/>
        <w:contextualSpacing/>
        <w:rPr>
          <w:rFonts w:ascii="Verdana" w:hAnsi="Verdana" w:cs="Calibri"/>
          <w:sz w:val="18"/>
          <w:szCs w:val="18"/>
          <w:lang w:eastAsia="en-US"/>
          <w14:ligatures w14:val="standardContextual"/>
        </w:rPr>
      </w:pPr>
      <w:r w:rsidRPr="007456D5">
        <w:rPr>
          <w:rFonts w:ascii="Verdana" w:hAnsi="Verdana" w:cs="Calibri"/>
          <w:sz w:val="18"/>
          <w:szCs w:val="18"/>
          <w:lang w:eastAsia="en-US"/>
          <w14:ligatures w14:val="standardContextual"/>
        </w:rPr>
        <w:t>Met de in het eerste lid genoemde algemene maatregel van bestuur krachtens artikel 391a lid 2, wordt gedoeld op het Implementatiebesluit richtlijn duurzaamheidsrapportering. Het is niet gebruikelijk om te verwijzen naar het opschrift of de citeertitel van een lagere regeling (Aanwijzing voor de Regelgeving 3.27). Op het moment van schrijven van deze toelichting, is die algemene maatregel van bestuur nog aanhangig bij het parlement.</w:t>
      </w:r>
      <w:r w:rsidRPr="007456D5" w:rsidR="00185EAE">
        <w:rPr>
          <w:rStyle w:val="Voetnootmarkering"/>
          <w:rFonts w:ascii="Verdana" w:hAnsi="Verdana" w:cs="Calibri"/>
          <w:sz w:val="18"/>
          <w:szCs w:val="18"/>
          <w:lang w:eastAsia="en-US"/>
          <w14:ligatures w14:val="standardContextual"/>
        </w:rPr>
        <w:footnoteReference w:id="12"/>
      </w:r>
      <w:r w:rsidRPr="007456D5" w:rsidR="00185EAE">
        <w:rPr>
          <w:rFonts w:ascii="Verdana" w:hAnsi="Verdana" w:cs="Calibri"/>
          <w:sz w:val="18"/>
          <w:szCs w:val="18"/>
          <w:lang w:eastAsia="en-US"/>
          <w14:ligatures w14:val="standardContextual"/>
        </w:rPr>
        <w:t xml:space="preserve"> </w:t>
      </w:r>
    </w:p>
    <w:p w:rsidRPr="007456D5" w:rsidR="00627534" w:rsidP="001A189C" w:rsidRDefault="00627534" w14:paraId="736745F8" w14:textId="77777777">
      <w:pPr>
        <w:spacing w:after="160" w:line="240" w:lineRule="atLeast"/>
        <w:contextualSpacing/>
        <w:rPr>
          <w:rFonts w:ascii="Verdana" w:hAnsi="Verdana" w:cs="Calibri"/>
          <w:sz w:val="18"/>
          <w:szCs w:val="18"/>
          <w:lang w:eastAsia="en-US"/>
          <w14:ligatures w14:val="standardContextual"/>
        </w:rPr>
      </w:pPr>
    </w:p>
    <w:p w:rsidR="00FE2F2D" w:rsidP="001A189C" w:rsidRDefault="00FE2F2D" w14:paraId="386EF97A" w14:textId="00FC538F">
      <w:pPr>
        <w:spacing w:after="160" w:line="240" w:lineRule="atLeast"/>
        <w:contextualSpacing/>
        <w:rPr>
          <w:rFonts w:ascii="Verdana" w:hAnsi="Verdana" w:eastAsia="Calibri"/>
          <w:kern w:val="2"/>
          <w:sz w:val="18"/>
          <w:szCs w:val="18"/>
          <w:lang w:eastAsia="en-US"/>
          <w14:ligatures w14:val="standardContextual"/>
        </w:rPr>
      </w:pPr>
      <w:r w:rsidRPr="007456D5">
        <w:rPr>
          <w:rFonts w:ascii="Verdana" w:hAnsi="Verdana" w:cs="Calibri"/>
          <w:sz w:val="18"/>
          <w:szCs w:val="18"/>
          <w:lang w:eastAsia="en-US"/>
          <w14:ligatures w14:val="standardContextual"/>
        </w:rPr>
        <w:t xml:space="preserve">Het tweede lid, onderdeel a, gaat over het elektronische formaat waarin de stukken naar het ESAP gestuurd moeten worden. Daarvoor zijn twee formaten mogelijk. Ten eerste een formaat waarvoor wordt verwezen naar </w:t>
      </w:r>
      <w:r w:rsidRPr="007456D5">
        <w:rPr>
          <w:rFonts w:ascii="Verdana" w:hAnsi="Verdana" w:eastAsia="Calibri"/>
          <w:kern w:val="2"/>
          <w:sz w:val="18"/>
          <w:szCs w:val="18"/>
          <w:lang w:eastAsia="en-US"/>
          <w14:ligatures w14:val="standardContextual"/>
        </w:rPr>
        <w:t xml:space="preserve">artikel 2, derde punt, </w:t>
      </w:r>
      <w:r w:rsidR="00437182">
        <w:rPr>
          <w:rFonts w:ascii="Verdana" w:hAnsi="Verdana" w:eastAsia="Calibri"/>
          <w:kern w:val="2"/>
          <w:sz w:val="18"/>
          <w:szCs w:val="18"/>
          <w:lang w:eastAsia="en-US"/>
          <w14:ligatures w14:val="standardContextual"/>
        </w:rPr>
        <w:t>v</w:t>
      </w:r>
      <w:r w:rsidRPr="007456D5">
        <w:rPr>
          <w:rFonts w:ascii="Verdana" w:hAnsi="Verdana" w:eastAsia="Calibri"/>
          <w:kern w:val="2"/>
          <w:sz w:val="18"/>
          <w:szCs w:val="18"/>
          <w:lang w:eastAsia="en-US"/>
          <w14:ligatures w14:val="standardContextual"/>
        </w:rPr>
        <w:t>erordening</w:t>
      </w:r>
      <w:r w:rsidR="006A4DFD">
        <w:rPr>
          <w:rFonts w:ascii="Verdana" w:hAnsi="Verdana" w:eastAsia="Calibri"/>
          <w:kern w:val="2"/>
          <w:sz w:val="18"/>
          <w:szCs w:val="18"/>
          <w:lang w:eastAsia="en-US"/>
          <w14:ligatures w14:val="standardContextual"/>
        </w:rPr>
        <w:t xml:space="preserve"> oprichting ESAP</w:t>
      </w:r>
      <w:r w:rsidRPr="007456D5">
        <w:rPr>
          <w:rFonts w:ascii="Verdana" w:hAnsi="Verdana" w:eastAsia="Calibri"/>
          <w:kern w:val="2"/>
          <w:sz w:val="18"/>
          <w:szCs w:val="18"/>
          <w:lang w:eastAsia="en-US"/>
          <w14:ligatures w14:val="standardContextual"/>
        </w:rPr>
        <w:t xml:space="preserve">. Het daarin genoemde “voor data-extractie geschikt formaat” is een open formaat zoals gedefinieerd in artikel 2, punt 14, van Richtlijn (EU) 2019/1024 dat breed wordt gebruikt of rechtens is vereist, waarmee machinale data-extractie mogelijk is en dat door mensen leesbaar is. Dit open formaat is op zijn beurt gedefinieerd als een bestandsformaat dat platformonafhankelijk is en voor het publiek beschikbaar is zonder enige beperking die het hergebruik van documenten belemmert. Een </w:t>
      </w:r>
      <w:r w:rsidRPr="007456D5" w:rsidR="00F149C3">
        <w:rPr>
          <w:rFonts w:ascii="Verdana" w:hAnsi="Verdana" w:eastAsia="Calibri"/>
          <w:kern w:val="2"/>
          <w:sz w:val="18"/>
          <w:szCs w:val="18"/>
          <w:lang w:eastAsia="en-US"/>
          <w14:ligatures w14:val="standardContextual"/>
        </w:rPr>
        <w:t>Pdf-formaat</w:t>
      </w:r>
      <w:r w:rsidRPr="007456D5">
        <w:rPr>
          <w:rFonts w:ascii="Verdana" w:hAnsi="Verdana" w:eastAsia="Calibri"/>
          <w:kern w:val="2"/>
          <w:sz w:val="18"/>
          <w:szCs w:val="18"/>
          <w:lang w:eastAsia="en-US"/>
          <w14:ligatures w14:val="standardContextual"/>
        </w:rPr>
        <w:t xml:space="preserve"> voldoet hieraan. Ten tweede kan er een formaat wettelijk zijn voorgeschreven, namelijk een machinaal leesbaar formaat, waarbij wordt verwezen naar artikel 2, vierde punt, van bovengenoemde verordening. </w:t>
      </w:r>
      <w:r w:rsidR="00C312AB">
        <w:rPr>
          <w:rFonts w:ascii="Verdana" w:hAnsi="Verdana" w:eastAsia="Calibri"/>
          <w:kern w:val="2"/>
          <w:sz w:val="18"/>
          <w:szCs w:val="18"/>
          <w:lang w:eastAsia="en-US"/>
          <w14:ligatures w14:val="standardContextual"/>
        </w:rPr>
        <w:t>Voor de definitie van</w:t>
      </w:r>
      <w:r w:rsidRPr="007456D5">
        <w:rPr>
          <w:rFonts w:ascii="Verdana" w:hAnsi="Verdana" w:eastAsia="Calibri"/>
          <w:kern w:val="2"/>
          <w:sz w:val="18"/>
          <w:szCs w:val="18"/>
          <w:lang w:eastAsia="en-US"/>
          <w14:ligatures w14:val="standardContextual"/>
        </w:rPr>
        <w:t xml:space="preserve"> dat “machinaal leesbaar formaat”</w:t>
      </w:r>
      <w:r w:rsidR="00C312AB">
        <w:rPr>
          <w:rFonts w:ascii="Verdana" w:hAnsi="Verdana" w:eastAsia="Calibri"/>
          <w:kern w:val="2"/>
          <w:sz w:val="18"/>
          <w:szCs w:val="18"/>
          <w:lang w:eastAsia="en-US"/>
          <w14:ligatures w14:val="standardContextual"/>
        </w:rPr>
        <w:t xml:space="preserve"> wordt verwezen naar</w:t>
      </w:r>
      <w:r w:rsidRPr="007456D5">
        <w:rPr>
          <w:rFonts w:ascii="Verdana" w:hAnsi="Verdana" w:eastAsia="Calibri"/>
          <w:kern w:val="2"/>
          <w:sz w:val="18"/>
          <w:szCs w:val="18"/>
          <w:lang w:eastAsia="en-US"/>
          <w14:ligatures w14:val="standardContextual"/>
        </w:rPr>
        <w:t xml:space="preserve"> artikel 2, punt 13, van Richtlijn (EU) 2019/1024</w:t>
      </w:r>
      <w:r w:rsidR="00C312AB">
        <w:rPr>
          <w:rFonts w:ascii="Verdana" w:hAnsi="Verdana" w:eastAsia="Calibri"/>
          <w:kern w:val="2"/>
          <w:sz w:val="18"/>
          <w:szCs w:val="18"/>
          <w:lang w:eastAsia="en-US"/>
          <w14:ligatures w14:val="standardContextual"/>
        </w:rPr>
        <w:t xml:space="preserve">. Daarin staat dat het </w:t>
      </w:r>
      <w:r w:rsidRPr="007456D5">
        <w:rPr>
          <w:rFonts w:ascii="Verdana" w:hAnsi="Verdana" w:eastAsia="Calibri"/>
          <w:kern w:val="2"/>
          <w:sz w:val="18"/>
          <w:szCs w:val="18"/>
          <w:lang w:eastAsia="en-US"/>
          <w14:ligatures w14:val="standardContextual"/>
        </w:rPr>
        <w:t xml:space="preserve">een bestandsformaat </w:t>
      </w:r>
      <w:r w:rsidR="00C312AB">
        <w:rPr>
          <w:rFonts w:ascii="Verdana" w:hAnsi="Verdana" w:eastAsia="Calibri"/>
          <w:kern w:val="2"/>
          <w:sz w:val="18"/>
          <w:szCs w:val="18"/>
          <w:lang w:eastAsia="en-US"/>
          <w14:ligatures w14:val="standardContextual"/>
        </w:rPr>
        <w:t xml:space="preserve">is </w:t>
      </w:r>
      <w:r w:rsidRPr="007456D5">
        <w:rPr>
          <w:rFonts w:ascii="Verdana" w:hAnsi="Verdana" w:eastAsia="Calibri"/>
          <w:kern w:val="2"/>
          <w:sz w:val="18"/>
          <w:szCs w:val="18"/>
          <w:lang w:eastAsia="en-US"/>
          <w14:ligatures w14:val="standardContextual"/>
        </w:rPr>
        <w:t>dat zodanig is gestructureerd dat softwaretoepassingen specifieke gegevens, met inbegrip van individuele feitenbeschrijvingen, en hun interne structuur gemakkelijk kunnen identificeren, herkennen en extraheren. Hieraan voldoet het XHTML/</w:t>
      </w:r>
      <w:proofErr w:type="spellStart"/>
      <w:r w:rsidRPr="007456D5">
        <w:rPr>
          <w:rFonts w:ascii="Verdana" w:hAnsi="Verdana" w:eastAsia="Calibri"/>
          <w:kern w:val="2"/>
          <w:sz w:val="18"/>
          <w:szCs w:val="18"/>
          <w:lang w:eastAsia="en-US"/>
          <w14:ligatures w14:val="standardContextual"/>
        </w:rPr>
        <w:t>iXBRL</w:t>
      </w:r>
      <w:proofErr w:type="spellEnd"/>
      <w:r w:rsidRPr="007456D5">
        <w:rPr>
          <w:rFonts w:ascii="Verdana" w:hAnsi="Verdana" w:eastAsia="Calibri"/>
          <w:kern w:val="2"/>
          <w:sz w:val="18"/>
          <w:szCs w:val="18"/>
          <w:lang w:eastAsia="en-US"/>
          <w14:ligatures w14:val="standardContextual"/>
        </w:rPr>
        <w:t xml:space="preserve">-formaat dat verplicht is gesteld voor de duurzaamheidsrapportering en het bestuursverslag en in de Transparantierichtlijn 2004/109/EU voor de jaarrekeningen van beursvennootschappen. </w:t>
      </w:r>
      <w:r w:rsidRPr="007456D5" w:rsidR="004E6267">
        <w:rPr>
          <w:rFonts w:ascii="Verdana" w:hAnsi="Verdana" w:eastAsia="Calibri"/>
          <w:kern w:val="2"/>
          <w:sz w:val="18"/>
          <w:szCs w:val="18"/>
          <w:lang w:eastAsia="en-US"/>
          <w14:ligatures w14:val="standardContextual"/>
        </w:rPr>
        <w:t>A</w:t>
      </w:r>
      <w:r w:rsidRPr="007456D5">
        <w:rPr>
          <w:rFonts w:ascii="Verdana" w:hAnsi="Verdana" w:eastAsia="Calibri"/>
          <w:kern w:val="2"/>
          <w:sz w:val="18"/>
          <w:szCs w:val="18"/>
          <w:lang w:eastAsia="en-US"/>
          <w14:ligatures w14:val="standardContextual"/>
        </w:rPr>
        <w:t>ls dit XHTML/</w:t>
      </w:r>
      <w:proofErr w:type="spellStart"/>
      <w:r w:rsidRPr="007456D5">
        <w:rPr>
          <w:rFonts w:ascii="Verdana" w:hAnsi="Verdana" w:eastAsia="Calibri"/>
          <w:kern w:val="2"/>
          <w:sz w:val="18"/>
          <w:szCs w:val="18"/>
          <w:lang w:eastAsia="en-US"/>
          <w14:ligatures w14:val="standardContextual"/>
        </w:rPr>
        <w:t>iXBRL</w:t>
      </w:r>
      <w:proofErr w:type="spellEnd"/>
      <w:r w:rsidRPr="007456D5">
        <w:rPr>
          <w:rFonts w:ascii="Verdana" w:hAnsi="Verdana" w:eastAsia="Calibri"/>
          <w:kern w:val="2"/>
          <w:sz w:val="18"/>
          <w:szCs w:val="18"/>
          <w:lang w:eastAsia="en-US"/>
          <w14:ligatures w14:val="standardContextual"/>
        </w:rPr>
        <w:t>-formaat niet wettelijk is voorgeschreven voor een bepaald stuk, zoals het geval is voor het verslag inzake duurzaamheid, dan kan dat in PDF worden aangeleverd.</w:t>
      </w:r>
    </w:p>
    <w:p w:rsidRPr="007456D5" w:rsidR="00627534" w:rsidP="001A189C" w:rsidRDefault="00627534" w14:paraId="438DE49D" w14:textId="77777777">
      <w:pPr>
        <w:spacing w:after="160" w:line="240" w:lineRule="atLeast"/>
        <w:contextualSpacing/>
        <w:rPr>
          <w:rFonts w:ascii="Verdana" w:hAnsi="Verdana" w:eastAsia="Calibri"/>
          <w:kern w:val="2"/>
          <w:sz w:val="18"/>
          <w:szCs w:val="18"/>
          <w:lang w:eastAsia="en-US"/>
          <w14:ligatures w14:val="standardContextual"/>
        </w:rPr>
      </w:pPr>
    </w:p>
    <w:p w:rsidRPr="007456D5" w:rsidR="00BB3789" w:rsidP="001A189C" w:rsidRDefault="00FE2F2D" w14:paraId="04C9ABD9" w14:textId="4526A0E2">
      <w:pPr>
        <w:spacing w:after="160"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De jaarverslaggevingstukken moeten verder voldoen aan de gebruikelijk eisen wat betreft de metadata (</w:t>
      </w:r>
      <w:r w:rsidRPr="007456D5" w:rsidR="00E71EBC">
        <w:rPr>
          <w:rFonts w:ascii="Verdana" w:hAnsi="Verdana"/>
          <w:sz w:val="18"/>
          <w:szCs w:val="18"/>
        </w:rPr>
        <w:t xml:space="preserve">Zie voor een verdere toelichting waaraan de informatieverstrekking moet voldoen de toelichting bij artikel </w:t>
      </w:r>
      <w:r w:rsidR="008E0F0D">
        <w:rPr>
          <w:rFonts w:ascii="Verdana" w:hAnsi="Verdana"/>
          <w:sz w:val="18"/>
          <w:szCs w:val="18"/>
        </w:rPr>
        <w:t>I</w:t>
      </w:r>
      <w:r w:rsidRPr="007456D5" w:rsidR="00E71EBC">
        <w:rPr>
          <w:rFonts w:ascii="Verdana" w:hAnsi="Verdana"/>
          <w:sz w:val="18"/>
          <w:szCs w:val="18"/>
        </w:rPr>
        <w:t xml:space="preserve">, onderdeel </w:t>
      </w:r>
      <w:r w:rsidRPr="007456D5" w:rsidR="00E71EBC">
        <w:rPr>
          <w:rFonts w:ascii="Verdana" w:hAnsi="Verdana" w:cs="Arial"/>
          <w:sz w:val="18"/>
          <w:szCs w:val="18"/>
        </w:rPr>
        <w:t>H t/m AE</w:t>
      </w:r>
      <w:r w:rsidRPr="007456D5" w:rsidR="000C5AC2">
        <w:rPr>
          <w:rFonts w:ascii="Verdana" w:hAnsi="Verdana"/>
          <w:sz w:val="18"/>
          <w:szCs w:val="18"/>
        </w:rPr>
        <w:t>)</w:t>
      </w:r>
      <w:r w:rsidRPr="007456D5" w:rsidR="0093768A">
        <w:rPr>
          <w:rFonts w:ascii="Verdana" w:hAnsi="Verdana"/>
          <w:sz w:val="18"/>
          <w:szCs w:val="18"/>
        </w:rPr>
        <w:t>.</w:t>
      </w:r>
      <w:r w:rsidRPr="007456D5">
        <w:rPr>
          <w:rFonts w:ascii="Verdana" w:hAnsi="Verdana" w:eastAsia="Calibri"/>
          <w:kern w:val="2"/>
          <w:sz w:val="18"/>
          <w:szCs w:val="18"/>
          <w:lang w:eastAsia="en-US"/>
          <w14:ligatures w14:val="standardContextual"/>
        </w:rPr>
        <w:t xml:space="preserve"> </w:t>
      </w:r>
    </w:p>
    <w:p w:rsidR="00DE770A" w:rsidP="001A189C" w:rsidRDefault="00DE770A" w14:paraId="57513760" w14:textId="77777777">
      <w:pPr>
        <w:spacing w:after="160" w:line="240" w:lineRule="atLeast"/>
        <w:contextualSpacing/>
        <w:rPr>
          <w:rFonts w:ascii="Verdana" w:hAnsi="Verdana" w:eastAsia="Calibri"/>
          <w:kern w:val="2"/>
          <w:sz w:val="18"/>
          <w:szCs w:val="18"/>
          <w:lang w:eastAsia="en-US"/>
          <w14:ligatures w14:val="standardContextual"/>
        </w:rPr>
      </w:pPr>
    </w:p>
    <w:p w:rsidRPr="007456D5" w:rsidR="00FE2F2D" w:rsidP="001A189C" w:rsidRDefault="00BB3789" w14:paraId="146580D5" w14:textId="631FD592">
      <w:pPr>
        <w:spacing w:after="160" w:line="240" w:lineRule="atLeast"/>
        <w:contextualSpacing/>
        <w:rPr>
          <w:rFonts w:ascii="Verdana" w:hAnsi="Verdana" w:eastAsia="Calibri"/>
          <w:kern w:val="2"/>
          <w:sz w:val="18"/>
          <w:szCs w:val="18"/>
          <w:lang w:eastAsia="en-US"/>
          <w14:ligatures w14:val="standardContextual"/>
        </w:rPr>
      </w:pPr>
      <w:r w:rsidRPr="007456D5">
        <w:rPr>
          <w:rFonts w:ascii="Verdana" w:hAnsi="Verdana" w:eastAsia="Calibri"/>
          <w:kern w:val="2"/>
          <w:sz w:val="18"/>
          <w:szCs w:val="18"/>
          <w:lang w:eastAsia="en-US"/>
          <w14:ligatures w14:val="standardContextual"/>
        </w:rPr>
        <w:t xml:space="preserve">Het derde lid zorgt ervoor dat een onderneming die de stukken zoals bedoeld in het eerste lid naar de AFM heeft gestuurd op grond van artikel 5:25o, zesde lid, van de Wft, voldoet aan het eerste lid, mits de informatie voldoet aan de vereisten van verstrekking uit het tweede lid. Dit voorkomt dat uitgevende instellingen die onder artikel 5:25o van de Wft en artikel 2:394a, eerste lid, van het BW vallen de informatie zowel naar de AFM als naar het handelsregister moeten sturen. Dit lid sluit aan bij de systematiek uit het achtste lid van artikel 2:394 BW om de rolverdeling tussen de KvK en de AFM duidelijk te maken. </w:t>
      </w:r>
    </w:p>
    <w:p w:rsidRPr="007456D5" w:rsidR="004057A4" w:rsidP="001A189C" w:rsidRDefault="004057A4" w14:paraId="2E501BCD" w14:textId="77777777">
      <w:pPr>
        <w:widowControl w:val="0"/>
        <w:spacing w:line="240" w:lineRule="atLeast"/>
        <w:contextualSpacing/>
        <w:rPr>
          <w:rFonts w:ascii="Verdana" w:hAnsi="Verdana"/>
          <w:sz w:val="18"/>
          <w:szCs w:val="18"/>
        </w:rPr>
      </w:pPr>
    </w:p>
    <w:p w:rsidR="006F3F8F" w:rsidP="001A189C" w:rsidRDefault="006F3F8F" w14:paraId="7747F2EB" w14:textId="77777777">
      <w:pPr>
        <w:widowControl w:val="0"/>
        <w:spacing w:line="240" w:lineRule="atLeast"/>
        <w:contextualSpacing/>
        <w:rPr>
          <w:rFonts w:ascii="Verdana" w:hAnsi="Verdana"/>
          <w:b/>
          <w:bCs/>
          <w:sz w:val="18"/>
          <w:szCs w:val="18"/>
        </w:rPr>
      </w:pPr>
    </w:p>
    <w:p w:rsidRPr="007456D5" w:rsidR="00117AB7" w:rsidP="001A189C" w:rsidRDefault="00117AB7" w14:paraId="37445A20" w14:textId="2D858B91">
      <w:pPr>
        <w:widowControl w:val="0"/>
        <w:spacing w:line="240" w:lineRule="atLeast"/>
        <w:contextualSpacing/>
        <w:rPr>
          <w:rFonts w:ascii="Verdana" w:hAnsi="Verdana"/>
          <w:b/>
          <w:bCs/>
          <w:sz w:val="18"/>
          <w:szCs w:val="18"/>
        </w:rPr>
      </w:pPr>
      <w:r w:rsidRPr="007456D5">
        <w:rPr>
          <w:rFonts w:ascii="Verdana" w:hAnsi="Verdana"/>
          <w:b/>
          <w:bCs/>
          <w:sz w:val="18"/>
          <w:szCs w:val="18"/>
        </w:rPr>
        <w:t>A</w:t>
      </w:r>
      <w:r w:rsidRPr="007456D5" w:rsidR="007456D5">
        <w:rPr>
          <w:rFonts w:ascii="Verdana" w:hAnsi="Verdana"/>
          <w:b/>
          <w:bCs/>
          <w:sz w:val="18"/>
          <w:szCs w:val="18"/>
        </w:rPr>
        <w:t xml:space="preserve">RTIKEL </w:t>
      </w:r>
      <w:r w:rsidRPr="007456D5">
        <w:rPr>
          <w:rFonts w:ascii="Verdana" w:hAnsi="Verdana"/>
          <w:b/>
          <w:bCs/>
          <w:sz w:val="18"/>
          <w:szCs w:val="18"/>
        </w:rPr>
        <w:t>IV (Handelsregisterwet)</w:t>
      </w:r>
    </w:p>
    <w:p w:rsidRPr="007456D5" w:rsidR="00117AB7" w:rsidP="001A189C" w:rsidRDefault="00117AB7" w14:paraId="032C7AE4" w14:textId="77777777">
      <w:pPr>
        <w:widowControl w:val="0"/>
        <w:spacing w:line="240" w:lineRule="atLeast"/>
        <w:contextualSpacing/>
        <w:rPr>
          <w:rFonts w:ascii="Verdana" w:hAnsi="Verdana"/>
          <w:sz w:val="18"/>
          <w:szCs w:val="18"/>
        </w:rPr>
      </w:pPr>
    </w:p>
    <w:p w:rsidRPr="007456D5" w:rsidR="00117AB7" w:rsidP="001A189C" w:rsidRDefault="00117AB7" w14:paraId="049D74DB" w14:textId="305E4144">
      <w:pPr>
        <w:widowControl w:val="0"/>
        <w:spacing w:line="240" w:lineRule="atLeast"/>
        <w:contextualSpacing/>
        <w:rPr>
          <w:rFonts w:ascii="Verdana" w:hAnsi="Verdana"/>
          <w:i/>
          <w:iCs/>
          <w:sz w:val="18"/>
          <w:szCs w:val="18"/>
        </w:rPr>
      </w:pPr>
      <w:r w:rsidRPr="007456D5">
        <w:rPr>
          <w:rFonts w:ascii="Verdana" w:hAnsi="Verdana"/>
          <w:sz w:val="18"/>
          <w:szCs w:val="18"/>
        </w:rPr>
        <w:t xml:space="preserve">A </w:t>
      </w:r>
      <w:r w:rsidRPr="007456D5">
        <w:rPr>
          <w:rFonts w:ascii="Verdana" w:hAnsi="Verdana"/>
          <w:i/>
          <w:iCs/>
          <w:sz w:val="18"/>
          <w:szCs w:val="18"/>
        </w:rPr>
        <w:t>(artikel 1)</w:t>
      </w:r>
    </w:p>
    <w:p w:rsidRPr="007456D5" w:rsidR="00117AB7" w:rsidP="001A189C" w:rsidRDefault="00117AB7" w14:paraId="2798B181" w14:textId="77777777">
      <w:pPr>
        <w:widowControl w:val="0"/>
        <w:spacing w:line="240" w:lineRule="atLeast"/>
        <w:contextualSpacing/>
        <w:rPr>
          <w:rFonts w:ascii="Verdana" w:hAnsi="Verdana"/>
          <w:sz w:val="18"/>
          <w:szCs w:val="18"/>
        </w:rPr>
      </w:pPr>
    </w:p>
    <w:p w:rsidRPr="007456D5" w:rsidR="00117AB7" w:rsidP="001A189C" w:rsidRDefault="00117AB7" w14:paraId="27DE6154" w14:textId="77777777">
      <w:pPr>
        <w:widowControl w:val="0"/>
        <w:spacing w:line="240" w:lineRule="atLeast"/>
        <w:contextualSpacing/>
        <w:rPr>
          <w:rFonts w:ascii="Verdana" w:hAnsi="Verdana"/>
          <w:sz w:val="18"/>
          <w:szCs w:val="18"/>
        </w:rPr>
      </w:pPr>
      <w:r w:rsidRPr="007456D5">
        <w:rPr>
          <w:rFonts w:ascii="Verdana" w:hAnsi="Verdana"/>
          <w:sz w:val="18"/>
          <w:szCs w:val="18"/>
        </w:rPr>
        <w:lastRenderedPageBreak/>
        <w:t>Met dit onderdeel wordt Verordening (EU) 2023/2859</w:t>
      </w:r>
      <w:r w:rsidRPr="007456D5">
        <w:rPr>
          <w:rFonts w:ascii="Verdana" w:hAnsi="Verdana"/>
          <w:sz w:val="18"/>
          <w:szCs w:val="18"/>
          <w:vertAlign w:val="superscript"/>
        </w:rPr>
        <w:footnoteReference w:id="13"/>
      </w:r>
      <w:r w:rsidRPr="007456D5">
        <w:rPr>
          <w:rFonts w:ascii="Verdana" w:hAnsi="Verdana"/>
          <w:sz w:val="18"/>
          <w:szCs w:val="18"/>
        </w:rPr>
        <w:t xml:space="preserve"> toegevoegd aan de begripsbepalingen die in de Handelsregisterwet 2007 zijn opgenomen in artikel 1, eerste lid.</w:t>
      </w:r>
    </w:p>
    <w:p w:rsidRPr="007456D5" w:rsidR="00117AB7" w:rsidP="001A189C" w:rsidRDefault="00117AB7" w14:paraId="1948A796" w14:textId="77777777">
      <w:pPr>
        <w:widowControl w:val="0"/>
        <w:spacing w:line="240" w:lineRule="atLeast"/>
        <w:contextualSpacing/>
        <w:rPr>
          <w:rFonts w:ascii="Verdana" w:hAnsi="Verdana"/>
          <w:sz w:val="18"/>
          <w:szCs w:val="18"/>
        </w:rPr>
      </w:pPr>
    </w:p>
    <w:p w:rsidRPr="007456D5" w:rsidR="00117AB7" w:rsidP="001A189C" w:rsidRDefault="00117AB7" w14:paraId="1351F7B1" w14:textId="2DDD903A">
      <w:pPr>
        <w:widowControl w:val="0"/>
        <w:spacing w:line="240" w:lineRule="atLeast"/>
        <w:contextualSpacing/>
        <w:rPr>
          <w:rFonts w:ascii="Verdana" w:hAnsi="Verdana"/>
          <w:sz w:val="18"/>
          <w:szCs w:val="18"/>
        </w:rPr>
      </w:pPr>
      <w:r w:rsidRPr="007456D5">
        <w:rPr>
          <w:rFonts w:ascii="Verdana" w:hAnsi="Verdana"/>
          <w:sz w:val="18"/>
          <w:szCs w:val="18"/>
        </w:rPr>
        <w:t xml:space="preserve">B </w:t>
      </w:r>
      <w:r w:rsidRPr="007456D5">
        <w:rPr>
          <w:rFonts w:ascii="Verdana" w:hAnsi="Verdana"/>
          <w:i/>
          <w:iCs/>
          <w:sz w:val="18"/>
          <w:szCs w:val="18"/>
        </w:rPr>
        <w:t>(artikel 52a)</w:t>
      </w:r>
    </w:p>
    <w:p w:rsidRPr="007456D5" w:rsidR="00117AB7" w:rsidP="001A189C" w:rsidRDefault="00117AB7" w14:paraId="4A97FEBE" w14:textId="77777777">
      <w:pPr>
        <w:widowControl w:val="0"/>
        <w:spacing w:line="240" w:lineRule="atLeast"/>
        <w:contextualSpacing/>
        <w:rPr>
          <w:rFonts w:ascii="Verdana" w:hAnsi="Verdana"/>
          <w:sz w:val="18"/>
          <w:szCs w:val="18"/>
        </w:rPr>
      </w:pPr>
    </w:p>
    <w:p w:rsidRPr="007456D5" w:rsidR="008C1B22" w:rsidP="001A189C" w:rsidRDefault="00117AB7" w14:paraId="239F0067" w14:textId="134A20D3">
      <w:pPr>
        <w:pStyle w:val="Default"/>
        <w:spacing w:line="240" w:lineRule="atLeast"/>
        <w:contextualSpacing/>
        <w:rPr>
          <w:rFonts w:ascii="Verdana" w:hAnsi="Verdana"/>
          <w:sz w:val="18"/>
          <w:szCs w:val="18"/>
        </w:rPr>
      </w:pPr>
      <w:r w:rsidRPr="007456D5">
        <w:rPr>
          <w:rFonts w:ascii="Verdana" w:hAnsi="Verdana"/>
          <w:sz w:val="18"/>
          <w:szCs w:val="18"/>
        </w:rPr>
        <w:t>Dit onderdeel introduceert een nieuw artikel 52a in de Handelregisterwet 2007. Met dit artikel wordt uitvoering gegeven aan artikel 33 bis, eerste en vierde lid, van Richtlijn 2013/34/EU.</w:t>
      </w:r>
      <w:r w:rsidRPr="007456D5">
        <w:rPr>
          <w:rFonts w:ascii="Verdana" w:hAnsi="Verdana"/>
          <w:sz w:val="18"/>
          <w:szCs w:val="18"/>
          <w:vertAlign w:val="superscript"/>
        </w:rPr>
        <w:footnoteReference w:id="14"/>
      </w:r>
      <w:r w:rsidRPr="007456D5">
        <w:rPr>
          <w:rFonts w:ascii="Verdana" w:hAnsi="Verdana"/>
          <w:sz w:val="18"/>
          <w:szCs w:val="18"/>
        </w:rPr>
        <w:t xml:space="preserve"> Op grond van het eerste lid van artikel 33 bis moeten bepaalde rechtspersonen die verplicht zijn tot openbaarmaking van een duurzaamheidsrapportering of een verslag inzake de duurzaamheid de in dat lid bedoelde informatie openbaar maken en wel op de wijze zoals beschreven in artikel 33 bis, tweede lid. Daarnaast moet deze informatie ingediend worden bij een verzamelende instantie. Deze verplichtingen zijn geïmplementeerd in artikel 394a, eerste en tweede lid, van Boek 2 van het Burgerlijk Wetboek. In de praktijk leveren beursgenoteerde bedrijven de informatie aan bij de AFM en niet bij de Kamer. De AFM stuurt de door haar ontvangen informatie door naar de Kamer. De Kamer fungeert als de verzamelende instantie voor al deze informatie</w:t>
      </w:r>
      <w:r w:rsidRPr="007456D5" w:rsidR="008C1B22">
        <w:rPr>
          <w:rFonts w:ascii="Verdana" w:hAnsi="Verdana"/>
          <w:sz w:val="18"/>
          <w:szCs w:val="18"/>
        </w:rPr>
        <w:t xml:space="preserve"> (inclusief de informatie, bedoeld in artikel 5:25o, zesde lid, van de Wft)</w:t>
      </w:r>
      <w:r w:rsidRPr="007456D5">
        <w:rPr>
          <w:rFonts w:ascii="Verdana" w:hAnsi="Verdana"/>
          <w:sz w:val="18"/>
          <w:szCs w:val="18"/>
        </w:rPr>
        <w:t xml:space="preserve"> en wordt hiervoor als zodanig ook aangewezen op grond van het nieuwe artikel 52a, eerste lid. </w:t>
      </w:r>
      <w:r w:rsidRPr="007456D5" w:rsidR="008C1B22">
        <w:rPr>
          <w:rFonts w:ascii="Verdana" w:hAnsi="Verdana"/>
          <w:sz w:val="18"/>
          <w:szCs w:val="18"/>
        </w:rPr>
        <w:t xml:space="preserve">Dit geldt alleen niet voor de verslaggevingsstukken die op grond van artikel 4:52 van de Wft zijn verstuurd aan de AFM. </w:t>
      </w:r>
    </w:p>
    <w:p w:rsidRPr="007456D5" w:rsidR="008C1B22" w:rsidP="001A189C" w:rsidRDefault="008C1B22" w14:paraId="5A07C074" w14:textId="77777777">
      <w:pPr>
        <w:pStyle w:val="Default"/>
        <w:spacing w:line="240" w:lineRule="atLeast"/>
        <w:contextualSpacing/>
        <w:rPr>
          <w:rFonts w:ascii="Verdana" w:hAnsi="Verdana"/>
          <w:sz w:val="18"/>
          <w:szCs w:val="18"/>
        </w:rPr>
      </w:pPr>
    </w:p>
    <w:p w:rsidRPr="007456D5" w:rsidR="00117AB7" w:rsidP="001A189C" w:rsidRDefault="00117AB7" w14:paraId="441496C4" w14:textId="5D42EAFF">
      <w:pPr>
        <w:pStyle w:val="Default"/>
        <w:spacing w:line="240" w:lineRule="atLeast"/>
        <w:contextualSpacing/>
        <w:rPr>
          <w:rFonts w:ascii="Verdana" w:hAnsi="Verdana"/>
          <w:sz w:val="18"/>
          <w:szCs w:val="18"/>
        </w:rPr>
      </w:pPr>
      <w:r w:rsidRPr="007456D5">
        <w:rPr>
          <w:rFonts w:ascii="Verdana" w:hAnsi="Verdana"/>
          <w:sz w:val="18"/>
          <w:szCs w:val="18"/>
        </w:rPr>
        <w:t xml:space="preserve">De Kamer draagt er zorg voor dat de betreffende informatie </w:t>
      </w:r>
      <w:r w:rsidRPr="007456D5" w:rsidR="00601795">
        <w:rPr>
          <w:rFonts w:ascii="Verdana" w:hAnsi="Verdana"/>
          <w:sz w:val="18"/>
          <w:szCs w:val="18"/>
        </w:rPr>
        <w:t xml:space="preserve">zo spoedig mogelijk </w:t>
      </w:r>
      <w:r w:rsidRPr="007456D5" w:rsidR="00782541">
        <w:rPr>
          <w:rFonts w:ascii="Verdana" w:hAnsi="Verdana"/>
          <w:sz w:val="18"/>
          <w:szCs w:val="18"/>
        </w:rPr>
        <w:t>wordt verstrekt</w:t>
      </w:r>
      <w:r w:rsidRPr="007456D5">
        <w:rPr>
          <w:rFonts w:ascii="Verdana" w:hAnsi="Verdana"/>
          <w:sz w:val="18"/>
          <w:szCs w:val="18"/>
        </w:rPr>
        <w:t xml:space="preserve"> </w:t>
      </w:r>
      <w:r w:rsidRPr="007456D5" w:rsidR="00782541">
        <w:rPr>
          <w:rFonts w:ascii="Verdana" w:hAnsi="Verdana"/>
          <w:sz w:val="18"/>
          <w:szCs w:val="18"/>
        </w:rPr>
        <w:t>aan het</w:t>
      </w:r>
      <w:r w:rsidRPr="007456D5">
        <w:rPr>
          <w:rFonts w:ascii="Verdana" w:hAnsi="Verdana"/>
          <w:sz w:val="18"/>
          <w:szCs w:val="18"/>
        </w:rPr>
        <w:t xml:space="preserve"> Europees centraal toegangspunt</w:t>
      </w:r>
      <w:r w:rsidRPr="007456D5" w:rsidR="00E5524C">
        <w:rPr>
          <w:rFonts w:ascii="Verdana" w:hAnsi="Verdana"/>
          <w:sz w:val="18"/>
          <w:szCs w:val="18"/>
        </w:rPr>
        <w:t xml:space="preserve"> (ESAP)</w:t>
      </w:r>
      <w:r w:rsidRPr="007456D5">
        <w:rPr>
          <w:rFonts w:ascii="Verdana" w:hAnsi="Verdana"/>
          <w:sz w:val="18"/>
          <w:szCs w:val="18"/>
        </w:rPr>
        <w:t xml:space="preserve">. Hierbij geldt dat de informatie die toegankelijk gemaakt wordt voor </w:t>
      </w:r>
      <w:r w:rsidRPr="007456D5" w:rsidR="00E5524C">
        <w:rPr>
          <w:rFonts w:ascii="Verdana" w:hAnsi="Verdana"/>
          <w:sz w:val="18"/>
          <w:szCs w:val="18"/>
        </w:rPr>
        <w:t xml:space="preserve">ESAP </w:t>
      </w:r>
      <w:r w:rsidRPr="007456D5">
        <w:rPr>
          <w:rFonts w:ascii="Verdana" w:hAnsi="Verdana"/>
          <w:sz w:val="18"/>
          <w:szCs w:val="18"/>
        </w:rPr>
        <w:t xml:space="preserve">aan dezelfde eisen moet voldoen als bedoeld in artikel 394a, tweede lid, van Boek 2 van het Burgerlijk Wetboek (artikel 52a, tweede lid). </w:t>
      </w:r>
      <w:r w:rsidRPr="007456D5" w:rsidR="00601795">
        <w:rPr>
          <w:rFonts w:ascii="Verdana" w:hAnsi="Verdana"/>
          <w:sz w:val="18"/>
          <w:szCs w:val="18"/>
        </w:rPr>
        <w:t>‘Zo spoedig mogelijk’ betekent, uitzonderingen voor uitzonderlijke gevallen daar gelaten, binnen maximaal 60 minuten nadat de informatie bij de verzamelende instantie is ingediend.</w:t>
      </w:r>
    </w:p>
    <w:p w:rsidRPr="007456D5" w:rsidR="004E21B1" w:rsidP="001A189C" w:rsidRDefault="004E21B1" w14:paraId="5ED85C2E" w14:textId="77777777">
      <w:pPr>
        <w:widowControl w:val="0"/>
        <w:spacing w:line="240" w:lineRule="atLeast"/>
        <w:contextualSpacing/>
        <w:rPr>
          <w:rFonts w:ascii="Verdana" w:hAnsi="Verdana"/>
          <w:sz w:val="18"/>
          <w:szCs w:val="18"/>
        </w:rPr>
      </w:pPr>
    </w:p>
    <w:p w:rsidR="006F3F8F" w:rsidP="001A189C" w:rsidRDefault="006F3F8F" w14:paraId="75AA6526" w14:textId="77777777">
      <w:pPr>
        <w:widowControl w:val="0"/>
        <w:spacing w:line="240" w:lineRule="atLeast"/>
        <w:contextualSpacing/>
        <w:rPr>
          <w:rFonts w:ascii="Verdana" w:hAnsi="Verdana"/>
          <w:b/>
          <w:bCs/>
          <w:sz w:val="18"/>
          <w:szCs w:val="18"/>
        </w:rPr>
      </w:pPr>
    </w:p>
    <w:p w:rsidRPr="007456D5" w:rsidR="00C35D66" w:rsidP="001A189C" w:rsidRDefault="00C35D66" w14:paraId="560BA0B5" w14:textId="1E3F18E2">
      <w:pPr>
        <w:widowControl w:val="0"/>
        <w:spacing w:line="240" w:lineRule="atLeast"/>
        <w:contextualSpacing/>
        <w:rPr>
          <w:rFonts w:ascii="Verdana" w:hAnsi="Verdana"/>
          <w:b/>
          <w:bCs/>
          <w:sz w:val="18"/>
          <w:szCs w:val="18"/>
        </w:rPr>
      </w:pPr>
      <w:r w:rsidRPr="007456D5">
        <w:rPr>
          <w:rFonts w:ascii="Verdana" w:hAnsi="Verdana"/>
          <w:b/>
          <w:bCs/>
          <w:sz w:val="18"/>
          <w:szCs w:val="18"/>
        </w:rPr>
        <w:t>A</w:t>
      </w:r>
      <w:r w:rsidRPr="007456D5" w:rsidR="007456D5">
        <w:rPr>
          <w:rFonts w:ascii="Verdana" w:hAnsi="Verdana"/>
          <w:b/>
          <w:bCs/>
          <w:sz w:val="18"/>
          <w:szCs w:val="18"/>
        </w:rPr>
        <w:t>RTIKEL</w:t>
      </w:r>
      <w:r w:rsidRPr="007456D5">
        <w:rPr>
          <w:rFonts w:ascii="Verdana" w:hAnsi="Verdana"/>
          <w:b/>
          <w:bCs/>
          <w:sz w:val="18"/>
          <w:szCs w:val="18"/>
        </w:rPr>
        <w:t xml:space="preserve"> V (Pensioenwet)</w:t>
      </w:r>
    </w:p>
    <w:p w:rsidRPr="007456D5" w:rsidR="00C35D66" w:rsidP="001A189C" w:rsidRDefault="00C35D66" w14:paraId="0BA5A681" w14:textId="77777777">
      <w:pPr>
        <w:widowControl w:val="0"/>
        <w:spacing w:line="240" w:lineRule="atLeast"/>
        <w:contextualSpacing/>
        <w:rPr>
          <w:rFonts w:ascii="Verdana" w:hAnsi="Verdana"/>
          <w:sz w:val="18"/>
          <w:szCs w:val="18"/>
        </w:rPr>
      </w:pPr>
    </w:p>
    <w:p w:rsidRPr="007456D5" w:rsidR="00C35D66" w:rsidP="001A189C" w:rsidRDefault="00C35D66" w14:paraId="22B12266" w14:textId="0F258EF6">
      <w:pPr>
        <w:widowControl w:val="0"/>
        <w:spacing w:line="240" w:lineRule="atLeast"/>
        <w:contextualSpacing/>
        <w:rPr>
          <w:rFonts w:ascii="Verdana" w:hAnsi="Verdana"/>
          <w:sz w:val="18"/>
          <w:szCs w:val="18"/>
        </w:rPr>
      </w:pPr>
      <w:r w:rsidRPr="007456D5">
        <w:rPr>
          <w:rFonts w:ascii="Verdana" w:hAnsi="Verdana"/>
          <w:sz w:val="18"/>
          <w:szCs w:val="18"/>
        </w:rPr>
        <w:t xml:space="preserve">A </w:t>
      </w:r>
      <w:r w:rsidRPr="007456D5">
        <w:rPr>
          <w:rFonts w:ascii="Verdana" w:hAnsi="Verdana"/>
          <w:i/>
          <w:iCs/>
          <w:sz w:val="18"/>
          <w:szCs w:val="18"/>
        </w:rPr>
        <w:t>(artikel 176)</w:t>
      </w:r>
    </w:p>
    <w:p w:rsidRPr="007456D5" w:rsidR="00C35D66" w:rsidP="001A189C" w:rsidRDefault="00C35D66" w14:paraId="0C88AA4E" w14:textId="77777777">
      <w:pPr>
        <w:widowControl w:val="0"/>
        <w:spacing w:line="240" w:lineRule="atLeast"/>
        <w:contextualSpacing/>
        <w:rPr>
          <w:rFonts w:ascii="Verdana" w:hAnsi="Verdana"/>
          <w:sz w:val="18"/>
          <w:szCs w:val="18"/>
        </w:rPr>
      </w:pPr>
    </w:p>
    <w:p w:rsidRPr="007456D5" w:rsidR="00C35D66" w:rsidP="001A189C" w:rsidRDefault="00C35D66" w14:paraId="00817302" w14:textId="3713C566">
      <w:pPr>
        <w:widowControl w:val="0"/>
        <w:spacing w:line="240" w:lineRule="atLeast"/>
        <w:contextualSpacing/>
        <w:rPr>
          <w:rFonts w:ascii="Verdana" w:hAnsi="Verdana"/>
          <w:sz w:val="18"/>
          <w:szCs w:val="18"/>
        </w:rPr>
      </w:pPr>
      <w:r w:rsidRPr="007456D5">
        <w:rPr>
          <w:rFonts w:ascii="Verdana" w:hAnsi="Verdana"/>
          <w:sz w:val="18"/>
          <w:szCs w:val="18"/>
        </w:rPr>
        <w:t>Aan artikel 176 van de Pensioenwet over de beboetbare bepalingen wordt artikel 205d, tweede lid toegevoegd.</w:t>
      </w:r>
    </w:p>
    <w:p w:rsidRPr="007456D5" w:rsidR="00C35D66" w:rsidP="001A189C" w:rsidRDefault="00C35D66" w14:paraId="623BE61D" w14:textId="77777777">
      <w:pPr>
        <w:widowControl w:val="0"/>
        <w:spacing w:line="240" w:lineRule="atLeast"/>
        <w:contextualSpacing/>
        <w:rPr>
          <w:rFonts w:ascii="Verdana" w:hAnsi="Verdana"/>
          <w:sz w:val="18"/>
          <w:szCs w:val="18"/>
        </w:rPr>
      </w:pPr>
    </w:p>
    <w:p w:rsidRPr="007456D5" w:rsidR="00C35D66" w:rsidP="001A189C" w:rsidRDefault="00C35D66" w14:paraId="0125BFF0" w14:textId="2AD7500A">
      <w:pPr>
        <w:widowControl w:val="0"/>
        <w:spacing w:line="240" w:lineRule="atLeast"/>
        <w:contextualSpacing/>
        <w:rPr>
          <w:rFonts w:ascii="Verdana" w:hAnsi="Verdana"/>
          <w:i/>
          <w:iCs/>
          <w:sz w:val="18"/>
          <w:szCs w:val="18"/>
        </w:rPr>
      </w:pPr>
      <w:r w:rsidRPr="007456D5">
        <w:rPr>
          <w:rFonts w:ascii="Verdana" w:hAnsi="Verdana"/>
          <w:sz w:val="18"/>
          <w:szCs w:val="18"/>
        </w:rPr>
        <w:t>B</w:t>
      </w:r>
      <w:r w:rsidRPr="007456D5">
        <w:rPr>
          <w:rFonts w:ascii="Verdana" w:hAnsi="Verdana"/>
          <w:i/>
          <w:iCs/>
          <w:sz w:val="18"/>
          <w:szCs w:val="18"/>
        </w:rPr>
        <w:t xml:space="preserve"> (artikel 205d)</w:t>
      </w:r>
    </w:p>
    <w:p w:rsidRPr="007456D5" w:rsidR="00C35D66" w:rsidP="001A189C" w:rsidRDefault="00C35D66" w14:paraId="703AD58C" w14:textId="77777777">
      <w:pPr>
        <w:widowControl w:val="0"/>
        <w:spacing w:line="240" w:lineRule="atLeast"/>
        <w:contextualSpacing/>
        <w:rPr>
          <w:rFonts w:ascii="Verdana" w:hAnsi="Verdana"/>
          <w:sz w:val="18"/>
          <w:szCs w:val="18"/>
        </w:rPr>
      </w:pPr>
    </w:p>
    <w:p w:rsidRPr="007456D5" w:rsidR="00C35D66" w:rsidP="001A189C" w:rsidRDefault="00C35D66" w14:paraId="57CA7054" w14:textId="62E9770B">
      <w:pPr>
        <w:widowControl w:val="0"/>
        <w:spacing w:line="240" w:lineRule="atLeast"/>
        <w:contextualSpacing/>
        <w:rPr>
          <w:rFonts w:ascii="Verdana" w:hAnsi="Verdana"/>
          <w:sz w:val="18"/>
          <w:szCs w:val="18"/>
        </w:rPr>
      </w:pPr>
      <w:r w:rsidRPr="007456D5">
        <w:rPr>
          <w:rFonts w:ascii="Verdana" w:hAnsi="Verdana"/>
          <w:sz w:val="18"/>
          <w:szCs w:val="18"/>
        </w:rPr>
        <w:t xml:space="preserve">Artikel 205d van de Pensioenwet verwerkt enige artikelen van de </w:t>
      </w:r>
      <w:r w:rsidR="00320232">
        <w:rPr>
          <w:rFonts w:ascii="Verdana" w:hAnsi="Verdana"/>
          <w:sz w:val="18"/>
          <w:szCs w:val="18"/>
        </w:rPr>
        <w:t>v</w:t>
      </w:r>
      <w:r w:rsidRPr="007456D5">
        <w:rPr>
          <w:rFonts w:ascii="Verdana" w:hAnsi="Verdana"/>
          <w:sz w:val="18"/>
          <w:szCs w:val="18"/>
        </w:rPr>
        <w:t>erordening</w:t>
      </w:r>
      <w:r w:rsidR="00320232">
        <w:rPr>
          <w:rFonts w:ascii="Verdana" w:hAnsi="Verdana"/>
          <w:sz w:val="18"/>
          <w:szCs w:val="18"/>
        </w:rPr>
        <w:t xml:space="preserve"> ESAP</w:t>
      </w:r>
      <w:r w:rsidRPr="007456D5">
        <w:rPr>
          <w:rFonts w:ascii="Verdana" w:hAnsi="Verdana"/>
          <w:sz w:val="18"/>
          <w:szCs w:val="18"/>
        </w:rPr>
        <w:t xml:space="preserve">. In het eerste lid worden de toezichthouders aangewezen als verzamelende instanties bedoeld in artikel 2, tweede lid, van voornoemde verordening. </w:t>
      </w:r>
    </w:p>
    <w:p w:rsidRPr="007456D5" w:rsidR="00C35D66" w:rsidP="001A189C" w:rsidRDefault="00C35D66" w14:paraId="1DC4B23A" w14:textId="77777777">
      <w:pPr>
        <w:widowControl w:val="0"/>
        <w:spacing w:line="240" w:lineRule="atLeast"/>
        <w:contextualSpacing/>
        <w:rPr>
          <w:rFonts w:ascii="Verdana" w:hAnsi="Verdana"/>
          <w:sz w:val="18"/>
          <w:szCs w:val="18"/>
        </w:rPr>
      </w:pPr>
    </w:p>
    <w:p w:rsidRPr="007456D5" w:rsidR="00C35D66" w:rsidP="001A189C" w:rsidRDefault="00C35D66" w14:paraId="45843BEE" w14:textId="77019501">
      <w:pPr>
        <w:widowControl w:val="0"/>
        <w:spacing w:line="240" w:lineRule="atLeast"/>
        <w:contextualSpacing/>
        <w:rPr>
          <w:rFonts w:ascii="Verdana" w:hAnsi="Verdana"/>
          <w:sz w:val="18"/>
          <w:szCs w:val="18"/>
        </w:rPr>
      </w:pPr>
      <w:r w:rsidRPr="007456D5">
        <w:rPr>
          <w:rFonts w:ascii="Verdana" w:hAnsi="Verdana"/>
          <w:sz w:val="18"/>
          <w:szCs w:val="18"/>
        </w:rPr>
        <w:t xml:space="preserve">Ter implementatie van artikel 14 van </w:t>
      </w:r>
      <w:r w:rsidR="00320232">
        <w:rPr>
          <w:rFonts w:ascii="Verdana" w:hAnsi="Verdana"/>
          <w:sz w:val="18"/>
          <w:szCs w:val="18"/>
        </w:rPr>
        <w:t xml:space="preserve">de richtlijn </w:t>
      </w:r>
      <w:r w:rsidRPr="007456D5">
        <w:rPr>
          <w:rFonts w:ascii="Verdana" w:hAnsi="Verdana"/>
          <w:sz w:val="18"/>
          <w:szCs w:val="18"/>
        </w:rPr>
        <w:t xml:space="preserve">ESAP wordt in het tweede lid de verplichting voor pensioenuitvoerders opgenomen om de navolgende informatie aan </w:t>
      </w:r>
      <w:r w:rsidR="004E48F0">
        <w:rPr>
          <w:rFonts w:ascii="Verdana" w:hAnsi="Verdana"/>
          <w:sz w:val="18"/>
          <w:szCs w:val="18"/>
        </w:rPr>
        <w:t>DNB</w:t>
      </w:r>
      <w:r w:rsidRPr="007456D5">
        <w:rPr>
          <w:rFonts w:ascii="Verdana" w:hAnsi="Verdana"/>
          <w:sz w:val="18"/>
          <w:szCs w:val="18"/>
        </w:rPr>
        <w:t xml:space="preserve"> te verstrekken. Het gaat om het bestuursverslag, de jaarreke</w:t>
      </w:r>
      <w:r w:rsidRPr="007456D5">
        <w:rPr>
          <w:rFonts w:ascii="Verdana" w:hAnsi="Verdana"/>
          <w:sz w:val="18"/>
          <w:szCs w:val="18"/>
        </w:rPr>
        <w:lastRenderedPageBreak/>
        <w:t xml:space="preserve">ning, de verklaring inzake beleggingsbeginselen en het beleid inzake beloningen dat op hetzelfde tijdstip als publicatie moet worden aangeleverd. Voor het bestuursverslag, de jaarrekening, de verklaring inzake beleggingsbeginselen geldt dat dit tijdstip gelijk is aan het moment waarop het op de website van de pensioenuitvoerder wordt geplaatst. Voor het beleid inzake beloningen geldt dat het verstrekken aan fondsorganen (verantwoordingsorgaan, belanghebbendenorgaan, raad van toezicht en/ of visitatiecommissie) het moment is dat dit moet worden verstrekt aan </w:t>
      </w:r>
      <w:r w:rsidR="004E48F0">
        <w:rPr>
          <w:rFonts w:ascii="Verdana" w:hAnsi="Verdana"/>
          <w:sz w:val="18"/>
          <w:szCs w:val="18"/>
        </w:rPr>
        <w:t>DNB</w:t>
      </w:r>
      <w:r w:rsidRPr="007456D5">
        <w:rPr>
          <w:rFonts w:ascii="Verdana" w:hAnsi="Verdana"/>
          <w:sz w:val="18"/>
          <w:szCs w:val="18"/>
        </w:rPr>
        <w:t xml:space="preserve">. </w:t>
      </w:r>
      <w:r w:rsidRPr="007456D5" w:rsidR="009076D0">
        <w:rPr>
          <w:rFonts w:ascii="Verdana" w:hAnsi="Verdana"/>
          <w:sz w:val="18"/>
          <w:szCs w:val="18"/>
        </w:rPr>
        <w:t>Verder is bepaald dat de verstrekking van voornoemde gegevens geschie</w:t>
      </w:r>
      <w:r w:rsidR="00320232">
        <w:rPr>
          <w:rFonts w:ascii="Verdana" w:hAnsi="Verdana"/>
          <w:sz w:val="18"/>
          <w:szCs w:val="18"/>
        </w:rPr>
        <w:t>d</w:t>
      </w:r>
      <w:r w:rsidRPr="007456D5" w:rsidR="009076D0">
        <w:rPr>
          <w:rFonts w:ascii="Verdana" w:hAnsi="Verdana"/>
          <w:sz w:val="18"/>
          <w:szCs w:val="18"/>
        </w:rPr>
        <w:t>t overeenkomstig de vereisten zoals opgenomen in artikel 63bis, eerste lid, onderdelen a en b, van de Richtlijn (EU) 2016/2341 van het Europees Parlement en de Raad van 14 december 2016 betreffende de werkzaamheden van en het toezicht op instellingen voor bedrijfspensioenvoorziening (IORP II-richtlijn). Vergelijkbare vereisten zijn opgenomen in artikel 2:394a, tweede lid, van het BW. Voor een verdere toelichting op deze vereisten wordt verwezen naar artikel III, onderdeel E.</w:t>
      </w:r>
    </w:p>
    <w:p w:rsidRPr="007456D5" w:rsidR="00C35D66" w:rsidP="001A189C" w:rsidRDefault="00C35D66" w14:paraId="1A16216A" w14:textId="77777777">
      <w:pPr>
        <w:widowControl w:val="0"/>
        <w:spacing w:line="240" w:lineRule="atLeast"/>
        <w:contextualSpacing/>
        <w:rPr>
          <w:rFonts w:ascii="Verdana" w:hAnsi="Verdana"/>
          <w:sz w:val="18"/>
          <w:szCs w:val="18"/>
        </w:rPr>
      </w:pPr>
    </w:p>
    <w:p w:rsidRPr="007456D5" w:rsidR="00C35D66" w:rsidP="001A189C" w:rsidRDefault="00C35D66" w14:paraId="62405075" w14:textId="11210F39">
      <w:pPr>
        <w:pStyle w:val="Default"/>
        <w:spacing w:line="240" w:lineRule="atLeast"/>
        <w:contextualSpacing/>
        <w:rPr>
          <w:rFonts w:ascii="Verdana" w:hAnsi="Verdana"/>
          <w:sz w:val="18"/>
          <w:szCs w:val="18"/>
        </w:rPr>
      </w:pPr>
      <w:r w:rsidRPr="007456D5">
        <w:rPr>
          <w:rFonts w:ascii="Verdana" w:hAnsi="Verdana"/>
          <w:sz w:val="18"/>
          <w:szCs w:val="18"/>
        </w:rPr>
        <w:t xml:space="preserve">In het derde lid is opgenomen dat </w:t>
      </w:r>
      <w:r w:rsidR="004E48F0">
        <w:rPr>
          <w:rFonts w:ascii="Verdana" w:hAnsi="Verdana"/>
          <w:sz w:val="18"/>
          <w:szCs w:val="18"/>
        </w:rPr>
        <w:t>DNB</w:t>
      </w:r>
      <w:r w:rsidRPr="007456D5">
        <w:rPr>
          <w:rFonts w:ascii="Verdana" w:hAnsi="Verdana"/>
          <w:sz w:val="18"/>
          <w:szCs w:val="18"/>
        </w:rPr>
        <w:t xml:space="preserve"> </w:t>
      </w:r>
      <w:r w:rsidRPr="007456D5" w:rsidR="00601795">
        <w:rPr>
          <w:rFonts w:ascii="Verdana" w:hAnsi="Verdana"/>
          <w:sz w:val="18"/>
          <w:szCs w:val="18"/>
        </w:rPr>
        <w:t>als</w:t>
      </w:r>
      <w:r w:rsidRPr="007456D5">
        <w:rPr>
          <w:rFonts w:ascii="Verdana" w:hAnsi="Verdana"/>
          <w:sz w:val="18"/>
          <w:szCs w:val="18"/>
        </w:rPr>
        <w:t xml:space="preserve"> verzamelende instantie </w:t>
      </w:r>
      <w:r w:rsidRPr="007456D5" w:rsidR="00601795">
        <w:rPr>
          <w:rFonts w:ascii="Verdana" w:hAnsi="Verdana"/>
          <w:sz w:val="18"/>
          <w:szCs w:val="18"/>
        </w:rPr>
        <w:t>de voornoemde informatie verzamelt en zo spoedig mogelijk verstrekt aan het Europees centraal toegangspunt</w:t>
      </w:r>
      <w:r w:rsidRPr="007456D5">
        <w:rPr>
          <w:rFonts w:ascii="Verdana" w:hAnsi="Verdana"/>
          <w:sz w:val="18"/>
          <w:szCs w:val="18"/>
        </w:rPr>
        <w:t xml:space="preserve">. In artikel 5 van de </w:t>
      </w:r>
      <w:r w:rsidR="00AB1720">
        <w:rPr>
          <w:rFonts w:ascii="Verdana" w:hAnsi="Verdana"/>
          <w:sz w:val="18"/>
          <w:szCs w:val="18"/>
        </w:rPr>
        <w:t>v</w:t>
      </w:r>
      <w:r w:rsidRPr="007456D5">
        <w:rPr>
          <w:rFonts w:ascii="Verdana" w:hAnsi="Verdana"/>
          <w:sz w:val="18"/>
          <w:szCs w:val="18"/>
        </w:rPr>
        <w:t>erordening</w:t>
      </w:r>
      <w:r w:rsidR="00AB1720">
        <w:rPr>
          <w:rFonts w:ascii="Verdana" w:hAnsi="Verdana"/>
          <w:sz w:val="18"/>
          <w:szCs w:val="18"/>
        </w:rPr>
        <w:t xml:space="preserve"> ESAP</w:t>
      </w:r>
      <w:r w:rsidRPr="007456D5">
        <w:rPr>
          <w:rFonts w:ascii="Verdana" w:hAnsi="Verdana"/>
          <w:sz w:val="18"/>
          <w:szCs w:val="18"/>
        </w:rPr>
        <w:t xml:space="preserve"> is een procedure opgenomen, waarin wordt omschreven op welke wijze en met welke metadata de informatie moet worden aangeleverd. </w:t>
      </w:r>
      <w:r w:rsidRPr="007456D5" w:rsidR="00601795">
        <w:rPr>
          <w:rFonts w:ascii="Verdana" w:hAnsi="Verdana"/>
          <w:sz w:val="18"/>
          <w:szCs w:val="18"/>
        </w:rPr>
        <w:t>‘Zo spoedig mogelijk’ betekent, uitzonderingen voor uitzonderlijke gevallen daar gelaten, binnen maximaal 60 minuten nadat de informatie bij de verzamelende instantie is ingediend.</w:t>
      </w:r>
    </w:p>
    <w:p w:rsidRPr="007456D5" w:rsidR="00C35D66" w:rsidP="001A189C" w:rsidRDefault="00C35D66" w14:paraId="4A9DAD9F" w14:textId="77777777">
      <w:pPr>
        <w:widowControl w:val="0"/>
        <w:spacing w:line="240" w:lineRule="atLeast"/>
        <w:contextualSpacing/>
        <w:rPr>
          <w:rFonts w:ascii="Verdana" w:hAnsi="Verdana"/>
          <w:sz w:val="18"/>
          <w:szCs w:val="18"/>
        </w:rPr>
      </w:pPr>
    </w:p>
    <w:p w:rsidRPr="007456D5" w:rsidR="00C35D66" w:rsidP="001A189C" w:rsidRDefault="00C35D66" w14:paraId="5676043D" w14:textId="0B3E43AC">
      <w:pPr>
        <w:widowControl w:val="0"/>
        <w:spacing w:line="240" w:lineRule="atLeast"/>
        <w:contextualSpacing/>
        <w:rPr>
          <w:rFonts w:ascii="Verdana" w:hAnsi="Verdana"/>
          <w:sz w:val="18"/>
          <w:szCs w:val="18"/>
        </w:rPr>
      </w:pPr>
      <w:r w:rsidRPr="007456D5">
        <w:rPr>
          <w:rFonts w:ascii="Verdana" w:hAnsi="Verdana"/>
          <w:sz w:val="18"/>
          <w:szCs w:val="18"/>
        </w:rPr>
        <w:t xml:space="preserve">In het vierde lid wordt artikel 13 van de </w:t>
      </w:r>
      <w:r w:rsidR="009567A2">
        <w:rPr>
          <w:rFonts w:ascii="Verdana" w:hAnsi="Verdana"/>
          <w:sz w:val="18"/>
          <w:szCs w:val="18"/>
        </w:rPr>
        <w:t xml:space="preserve">richtlijn </w:t>
      </w:r>
      <w:r w:rsidRPr="007456D5">
        <w:rPr>
          <w:rFonts w:ascii="Verdana" w:hAnsi="Verdana"/>
          <w:sz w:val="18"/>
          <w:szCs w:val="18"/>
        </w:rPr>
        <w:t xml:space="preserve">ESAP geïmplementeerd. Op het moment dat een toezichthouder een bestuurlijke sanctie of andere maatregel, als bedoeld in artikelen 185, eerste lid en 188, eerste lid, van de Pensioenwet openbaar maakt, dan moet dit ook </w:t>
      </w:r>
      <w:r w:rsidRPr="007456D5" w:rsidR="0013502F">
        <w:rPr>
          <w:rFonts w:ascii="Verdana" w:hAnsi="Verdana"/>
          <w:sz w:val="18"/>
          <w:szCs w:val="18"/>
        </w:rPr>
        <w:t>worden verstrekt</w:t>
      </w:r>
      <w:r w:rsidRPr="007456D5">
        <w:rPr>
          <w:rFonts w:ascii="Verdana" w:hAnsi="Verdana"/>
          <w:sz w:val="18"/>
          <w:szCs w:val="18"/>
        </w:rPr>
        <w:t xml:space="preserve"> </w:t>
      </w:r>
      <w:r w:rsidRPr="007456D5" w:rsidR="00A3496A">
        <w:rPr>
          <w:rFonts w:ascii="Verdana" w:hAnsi="Verdana"/>
          <w:sz w:val="18"/>
          <w:szCs w:val="18"/>
        </w:rPr>
        <w:t xml:space="preserve">aan </w:t>
      </w:r>
      <w:r w:rsidRPr="007456D5">
        <w:rPr>
          <w:rFonts w:ascii="Verdana" w:hAnsi="Verdana"/>
          <w:sz w:val="18"/>
          <w:szCs w:val="18"/>
        </w:rPr>
        <w:t>het Europees centraal toegangspunt</w:t>
      </w:r>
      <w:r w:rsidRPr="007456D5" w:rsidR="002E25E8">
        <w:rPr>
          <w:rFonts w:ascii="Verdana" w:hAnsi="Verdana"/>
          <w:sz w:val="18"/>
          <w:szCs w:val="18"/>
        </w:rPr>
        <w:t xml:space="preserve"> op de wijze zoals opgenomen in artikel 63bis van de IORP-richtlijn</w:t>
      </w:r>
      <w:r w:rsidRPr="007456D5">
        <w:rPr>
          <w:rFonts w:ascii="Verdana" w:hAnsi="Verdana"/>
          <w:sz w:val="18"/>
          <w:szCs w:val="18"/>
        </w:rPr>
        <w:t xml:space="preserve">. </w:t>
      </w:r>
    </w:p>
    <w:p w:rsidRPr="007456D5" w:rsidR="00C35D66" w:rsidP="001A189C" w:rsidRDefault="00C35D66" w14:paraId="560EAA56" w14:textId="77777777">
      <w:pPr>
        <w:widowControl w:val="0"/>
        <w:spacing w:line="240" w:lineRule="atLeast"/>
        <w:contextualSpacing/>
        <w:rPr>
          <w:rFonts w:ascii="Verdana" w:hAnsi="Verdana"/>
          <w:sz w:val="18"/>
          <w:szCs w:val="18"/>
        </w:rPr>
      </w:pPr>
    </w:p>
    <w:p w:rsidRPr="007456D5" w:rsidR="00C35D66" w:rsidP="001A189C" w:rsidRDefault="00C35D66" w14:paraId="2041141C" w14:textId="2461FBB8">
      <w:pPr>
        <w:widowControl w:val="0"/>
        <w:spacing w:line="240" w:lineRule="atLeast"/>
        <w:contextualSpacing/>
        <w:rPr>
          <w:rFonts w:ascii="Verdana" w:hAnsi="Verdana"/>
          <w:sz w:val="18"/>
          <w:szCs w:val="18"/>
        </w:rPr>
      </w:pPr>
      <w:r w:rsidRPr="007456D5">
        <w:rPr>
          <w:rFonts w:ascii="Verdana" w:hAnsi="Verdana"/>
          <w:sz w:val="18"/>
          <w:szCs w:val="18"/>
        </w:rPr>
        <w:t xml:space="preserve">Tot slot wordt in het </w:t>
      </w:r>
      <w:r w:rsidRPr="007456D5" w:rsidR="00411023">
        <w:rPr>
          <w:rFonts w:ascii="Verdana" w:hAnsi="Verdana"/>
          <w:sz w:val="18"/>
          <w:szCs w:val="18"/>
        </w:rPr>
        <w:t xml:space="preserve">vijfde </w:t>
      </w:r>
      <w:r w:rsidRPr="007456D5">
        <w:rPr>
          <w:rFonts w:ascii="Verdana" w:hAnsi="Verdana"/>
          <w:sz w:val="18"/>
          <w:szCs w:val="18"/>
        </w:rPr>
        <w:t>lid mogelijk gemaakt om bij ministeriële regeling nadere informatie toegankelijk te maken</w:t>
      </w:r>
      <w:r w:rsidRPr="007456D5" w:rsidR="00D245BA">
        <w:rPr>
          <w:rFonts w:ascii="Verdana" w:hAnsi="Verdana"/>
          <w:sz w:val="18"/>
          <w:szCs w:val="18"/>
        </w:rPr>
        <w:t xml:space="preserve"> op</w:t>
      </w:r>
      <w:r w:rsidRPr="007456D5">
        <w:rPr>
          <w:rFonts w:ascii="Verdana" w:hAnsi="Verdana"/>
          <w:sz w:val="18"/>
          <w:szCs w:val="18"/>
        </w:rPr>
        <w:t xml:space="preserve"> het Europees centraal toegangspunt. Hiervan kan bijvoorbeeld gebruik gemaakt worden indien in het kader van de evaluatie van d</w:t>
      </w:r>
      <w:r w:rsidRPr="007456D5" w:rsidR="00D245BA">
        <w:rPr>
          <w:rFonts w:ascii="Verdana" w:hAnsi="Verdana"/>
          <w:sz w:val="18"/>
          <w:szCs w:val="18"/>
        </w:rPr>
        <w:t>e richtlijn en verordeningen</w:t>
      </w:r>
      <w:r w:rsidRPr="007456D5">
        <w:rPr>
          <w:rFonts w:ascii="Verdana" w:hAnsi="Verdana"/>
          <w:sz w:val="18"/>
          <w:szCs w:val="18"/>
        </w:rPr>
        <w:t xml:space="preserve"> in de toekomst nadere informatie op het Europees centraal toegangspunt geplaatst moet worden.  </w:t>
      </w:r>
    </w:p>
    <w:p w:rsidRPr="007456D5" w:rsidR="00C35D66" w:rsidP="001A189C" w:rsidRDefault="00C35D66" w14:paraId="4DB1BAD4" w14:textId="77777777">
      <w:pPr>
        <w:widowControl w:val="0"/>
        <w:spacing w:line="240" w:lineRule="atLeast"/>
        <w:contextualSpacing/>
        <w:rPr>
          <w:rFonts w:ascii="Verdana" w:hAnsi="Verdana"/>
          <w:sz w:val="18"/>
          <w:szCs w:val="18"/>
        </w:rPr>
      </w:pPr>
    </w:p>
    <w:p w:rsidR="00774664" w:rsidP="001A189C" w:rsidRDefault="00774664" w14:paraId="24D20D4C" w14:textId="77777777">
      <w:pPr>
        <w:widowControl w:val="0"/>
        <w:spacing w:line="240" w:lineRule="atLeast"/>
        <w:contextualSpacing/>
        <w:rPr>
          <w:rFonts w:ascii="Verdana" w:hAnsi="Verdana"/>
          <w:b/>
          <w:bCs/>
          <w:sz w:val="18"/>
          <w:szCs w:val="18"/>
        </w:rPr>
      </w:pPr>
      <w:bookmarkStart w:name="_Hlk203654223" w:id="12"/>
    </w:p>
    <w:p w:rsidRPr="007456D5" w:rsidR="00C35D66" w:rsidP="001A189C" w:rsidRDefault="00C35D66" w14:paraId="7C6F54C4" w14:textId="1A1B4FD3">
      <w:pPr>
        <w:widowControl w:val="0"/>
        <w:spacing w:line="240" w:lineRule="atLeast"/>
        <w:contextualSpacing/>
        <w:rPr>
          <w:rFonts w:ascii="Verdana" w:hAnsi="Verdana"/>
          <w:b/>
          <w:bCs/>
          <w:sz w:val="18"/>
          <w:szCs w:val="18"/>
        </w:rPr>
      </w:pPr>
      <w:r w:rsidRPr="007456D5">
        <w:rPr>
          <w:rFonts w:ascii="Verdana" w:hAnsi="Verdana"/>
          <w:b/>
          <w:bCs/>
          <w:sz w:val="18"/>
          <w:szCs w:val="18"/>
        </w:rPr>
        <w:t>A</w:t>
      </w:r>
      <w:r w:rsidRPr="007456D5" w:rsidR="007456D5">
        <w:rPr>
          <w:rFonts w:ascii="Verdana" w:hAnsi="Verdana"/>
          <w:b/>
          <w:bCs/>
          <w:sz w:val="18"/>
          <w:szCs w:val="18"/>
        </w:rPr>
        <w:t>RTIKEL</w:t>
      </w:r>
      <w:r w:rsidRPr="007456D5">
        <w:rPr>
          <w:rFonts w:ascii="Verdana" w:hAnsi="Verdana"/>
          <w:b/>
          <w:bCs/>
          <w:sz w:val="18"/>
          <w:szCs w:val="18"/>
        </w:rPr>
        <w:t xml:space="preserve"> VI (Wet op de verplichte beroepspensioenregeling)</w:t>
      </w:r>
    </w:p>
    <w:p w:rsidRPr="007456D5" w:rsidR="00C35D66" w:rsidP="001A189C" w:rsidRDefault="00C35D66" w14:paraId="1ABAB770" w14:textId="77777777">
      <w:pPr>
        <w:widowControl w:val="0"/>
        <w:spacing w:line="240" w:lineRule="atLeast"/>
        <w:contextualSpacing/>
        <w:rPr>
          <w:rFonts w:ascii="Verdana" w:hAnsi="Verdana"/>
          <w:sz w:val="18"/>
          <w:szCs w:val="18"/>
        </w:rPr>
      </w:pPr>
    </w:p>
    <w:p w:rsidRPr="007456D5" w:rsidR="00C35D66" w:rsidP="001A189C" w:rsidRDefault="00C35D66" w14:paraId="535BB9D5" w14:textId="2D486562">
      <w:pPr>
        <w:widowControl w:val="0"/>
        <w:spacing w:line="240" w:lineRule="atLeast"/>
        <w:contextualSpacing/>
        <w:rPr>
          <w:rFonts w:ascii="Verdana" w:hAnsi="Verdana"/>
          <w:sz w:val="18"/>
          <w:szCs w:val="18"/>
        </w:rPr>
      </w:pPr>
      <w:r w:rsidRPr="007456D5">
        <w:rPr>
          <w:rFonts w:ascii="Verdana" w:hAnsi="Verdana"/>
          <w:sz w:val="18"/>
          <w:szCs w:val="18"/>
        </w:rPr>
        <w:t xml:space="preserve">A </w:t>
      </w:r>
      <w:r w:rsidRPr="007456D5">
        <w:rPr>
          <w:rFonts w:ascii="Verdana" w:hAnsi="Verdana"/>
          <w:i/>
          <w:iCs/>
          <w:sz w:val="18"/>
          <w:szCs w:val="18"/>
        </w:rPr>
        <w:t>(artikel 171)</w:t>
      </w:r>
      <w:r w:rsidRPr="007456D5">
        <w:rPr>
          <w:rFonts w:ascii="Verdana" w:hAnsi="Verdana"/>
          <w:sz w:val="18"/>
          <w:szCs w:val="18"/>
        </w:rPr>
        <w:t xml:space="preserve"> </w:t>
      </w:r>
    </w:p>
    <w:p w:rsidRPr="007456D5" w:rsidR="00C35D66" w:rsidP="001A189C" w:rsidRDefault="00C35D66" w14:paraId="1960C012" w14:textId="77777777">
      <w:pPr>
        <w:widowControl w:val="0"/>
        <w:spacing w:line="240" w:lineRule="atLeast"/>
        <w:contextualSpacing/>
        <w:rPr>
          <w:rFonts w:ascii="Verdana" w:hAnsi="Verdana"/>
          <w:sz w:val="18"/>
          <w:szCs w:val="18"/>
        </w:rPr>
      </w:pPr>
    </w:p>
    <w:p w:rsidRPr="007456D5" w:rsidR="00C35D66" w:rsidP="001A189C" w:rsidRDefault="00C35D66" w14:paraId="00F50B3B" w14:textId="4400F91F">
      <w:pPr>
        <w:widowControl w:val="0"/>
        <w:spacing w:line="240" w:lineRule="atLeast"/>
        <w:contextualSpacing/>
        <w:rPr>
          <w:rFonts w:ascii="Verdana" w:hAnsi="Verdana"/>
          <w:sz w:val="18"/>
          <w:szCs w:val="18"/>
        </w:rPr>
      </w:pPr>
      <w:r w:rsidRPr="007456D5">
        <w:rPr>
          <w:rFonts w:ascii="Verdana" w:hAnsi="Verdana"/>
          <w:sz w:val="18"/>
          <w:szCs w:val="18"/>
        </w:rPr>
        <w:t>Aan artikel 171 van de Wet op de verplichte beroepspensioenregeling over de beboetbare bepalingen wordt artikel 199d, tweede lid toegevoegd.</w:t>
      </w:r>
    </w:p>
    <w:p w:rsidRPr="007456D5" w:rsidR="00C35D66" w:rsidP="001A189C" w:rsidRDefault="00C35D66" w14:paraId="7D70CD27" w14:textId="77777777">
      <w:pPr>
        <w:widowControl w:val="0"/>
        <w:spacing w:line="240" w:lineRule="atLeast"/>
        <w:contextualSpacing/>
        <w:rPr>
          <w:rFonts w:ascii="Verdana" w:hAnsi="Verdana"/>
          <w:sz w:val="18"/>
          <w:szCs w:val="18"/>
        </w:rPr>
      </w:pPr>
    </w:p>
    <w:p w:rsidR="00A82BA0" w:rsidP="001A189C" w:rsidRDefault="00A82BA0" w14:paraId="5BFE6FE2" w14:textId="77777777">
      <w:pPr>
        <w:widowControl w:val="0"/>
        <w:spacing w:line="240" w:lineRule="atLeast"/>
        <w:contextualSpacing/>
        <w:rPr>
          <w:rFonts w:ascii="Verdana" w:hAnsi="Verdana"/>
          <w:sz w:val="18"/>
          <w:szCs w:val="18"/>
        </w:rPr>
      </w:pPr>
    </w:p>
    <w:p w:rsidR="00A82BA0" w:rsidP="001A189C" w:rsidRDefault="00A82BA0" w14:paraId="51EB5B9B" w14:textId="77777777">
      <w:pPr>
        <w:widowControl w:val="0"/>
        <w:spacing w:line="240" w:lineRule="atLeast"/>
        <w:contextualSpacing/>
        <w:rPr>
          <w:rFonts w:ascii="Verdana" w:hAnsi="Verdana"/>
          <w:sz w:val="18"/>
          <w:szCs w:val="18"/>
        </w:rPr>
      </w:pPr>
    </w:p>
    <w:p w:rsidRPr="007456D5" w:rsidR="00C35D66" w:rsidP="001A189C" w:rsidRDefault="00C35D66" w14:paraId="53BC8AA8" w14:textId="4B1724CB">
      <w:pPr>
        <w:widowControl w:val="0"/>
        <w:spacing w:line="240" w:lineRule="atLeast"/>
        <w:contextualSpacing/>
        <w:rPr>
          <w:rFonts w:ascii="Verdana" w:hAnsi="Verdana"/>
          <w:sz w:val="18"/>
          <w:szCs w:val="18"/>
        </w:rPr>
      </w:pPr>
      <w:r w:rsidRPr="007456D5">
        <w:rPr>
          <w:rFonts w:ascii="Verdana" w:hAnsi="Verdana"/>
          <w:sz w:val="18"/>
          <w:szCs w:val="18"/>
        </w:rPr>
        <w:t xml:space="preserve">B </w:t>
      </w:r>
      <w:r w:rsidRPr="007456D5">
        <w:rPr>
          <w:rFonts w:ascii="Verdana" w:hAnsi="Verdana"/>
          <w:i/>
          <w:iCs/>
          <w:sz w:val="18"/>
          <w:szCs w:val="18"/>
        </w:rPr>
        <w:t>(artikel 199d)</w:t>
      </w:r>
    </w:p>
    <w:p w:rsidRPr="007456D5" w:rsidR="00C35D66" w:rsidP="001A189C" w:rsidRDefault="00C35D66" w14:paraId="649B5459" w14:textId="77777777">
      <w:pPr>
        <w:widowControl w:val="0"/>
        <w:spacing w:line="240" w:lineRule="atLeast"/>
        <w:contextualSpacing/>
        <w:rPr>
          <w:rFonts w:ascii="Verdana" w:hAnsi="Verdana"/>
          <w:sz w:val="18"/>
          <w:szCs w:val="18"/>
        </w:rPr>
      </w:pPr>
    </w:p>
    <w:p w:rsidR="00C35D66" w:rsidP="001A189C" w:rsidRDefault="00C35D66" w14:paraId="03204007" w14:textId="3AA28B5B">
      <w:pPr>
        <w:widowControl w:val="0"/>
        <w:spacing w:line="240" w:lineRule="atLeast"/>
        <w:contextualSpacing/>
        <w:rPr>
          <w:rFonts w:ascii="Verdana" w:hAnsi="Verdana"/>
          <w:sz w:val="18"/>
          <w:szCs w:val="18"/>
        </w:rPr>
      </w:pPr>
      <w:r w:rsidRPr="007456D5">
        <w:rPr>
          <w:rFonts w:ascii="Verdana" w:hAnsi="Verdana"/>
          <w:sz w:val="18"/>
          <w:szCs w:val="18"/>
        </w:rPr>
        <w:t>In artikel 199d van de Wet op de verplichte beroepspensioenregeling wordt eenzelfde artikel als artikel 205d van de Pensioenwet opgenomen. Voor de toelichting op dit onderdeel wordt verwezen naar artikel V, onderdeel B.</w:t>
      </w:r>
    </w:p>
    <w:p w:rsidR="00CB00E4" w:rsidP="001A189C" w:rsidRDefault="00CB00E4" w14:paraId="7D34912B" w14:textId="77777777">
      <w:pPr>
        <w:widowControl w:val="0"/>
        <w:spacing w:line="240" w:lineRule="atLeast"/>
        <w:contextualSpacing/>
        <w:rPr>
          <w:rFonts w:ascii="Verdana" w:hAnsi="Verdana"/>
          <w:sz w:val="18"/>
          <w:szCs w:val="18"/>
        </w:rPr>
      </w:pPr>
    </w:p>
    <w:p w:rsidR="00774664" w:rsidP="001A189C" w:rsidRDefault="00774664" w14:paraId="391E06DE" w14:textId="77777777">
      <w:pPr>
        <w:widowControl w:val="0"/>
        <w:spacing w:line="240" w:lineRule="atLeast"/>
        <w:contextualSpacing/>
        <w:rPr>
          <w:rFonts w:ascii="Verdana" w:hAnsi="Verdana"/>
          <w:b/>
          <w:bCs/>
          <w:sz w:val="18"/>
          <w:szCs w:val="18"/>
        </w:rPr>
      </w:pPr>
    </w:p>
    <w:p w:rsidRPr="00CB00E4" w:rsidR="00CB00E4" w:rsidP="001A189C" w:rsidRDefault="00CB00E4" w14:paraId="1A9237F1" w14:textId="2954E691">
      <w:pPr>
        <w:widowControl w:val="0"/>
        <w:spacing w:line="240" w:lineRule="atLeast"/>
        <w:contextualSpacing/>
        <w:rPr>
          <w:rFonts w:ascii="Verdana" w:hAnsi="Verdana"/>
          <w:b/>
          <w:bCs/>
          <w:sz w:val="18"/>
          <w:szCs w:val="18"/>
        </w:rPr>
      </w:pPr>
      <w:r w:rsidRPr="00CB00E4">
        <w:rPr>
          <w:rFonts w:ascii="Verdana" w:hAnsi="Verdana"/>
          <w:b/>
          <w:bCs/>
          <w:sz w:val="18"/>
          <w:szCs w:val="18"/>
        </w:rPr>
        <w:t>ARTIKEL VII (</w:t>
      </w:r>
      <w:r>
        <w:rPr>
          <w:rFonts w:ascii="Verdana" w:hAnsi="Verdana"/>
          <w:b/>
          <w:bCs/>
          <w:sz w:val="18"/>
          <w:szCs w:val="18"/>
        </w:rPr>
        <w:t>T</w:t>
      </w:r>
      <w:r w:rsidRPr="00CB00E4">
        <w:rPr>
          <w:rFonts w:ascii="Verdana" w:hAnsi="Verdana"/>
          <w:b/>
          <w:bCs/>
          <w:sz w:val="18"/>
          <w:szCs w:val="18"/>
        </w:rPr>
        <w:t>oepassing boekja</w:t>
      </w:r>
      <w:r w:rsidR="00663080">
        <w:rPr>
          <w:rFonts w:ascii="Verdana" w:hAnsi="Verdana"/>
          <w:b/>
          <w:bCs/>
          <w:sz w:val="18"/>
          <w:szCs w:val="18"/>
        </w:rPr>
        <w:t>ren</w:t>
      </w:r>
      <w:r w:rsidRPr="00CB00E4">
        <w:rPr>
          <w:rFonts w:ascii="Verdana" w:hAnsi="Verdana"/>
          <w:b/>
          <w:bCs/>
          <w:sz w:val="18"/>
          <w:szCs w:val="18"/>
        </w:rPr>
        <w:t xml:space="preserve"> jaarrekeningrecht)</w:t>
      </w:r>
    </w:p>
    <w:bookmarkEnd w:id="12"/>
    <w:p w:rsidR="00C35D66" w:rsidP="001A189C" w:rsidRDefault="00C35D66" w14:paraId="07450831" w14:textId="77777777">
      <w:pPr>
        <w:widowControl w:val="0"/>
        <w:spacing w:line="240" w:lineRule="atLeast"/>
        <w:contextualSpacing/>
        <w:rPr>
          <w:rFonts w:ascii="Verdana" w:hAnsi="Verdana"/>
          <w:sz w:val="18"/>
          <w:szCs w:val="18"/>
        </w:rPr>
      </w:pPr>
    </w:p>
    <w:p w:rsidR="00CB00E4" w:rsidP="001A189C" w:rsidRDefault="004F6E75" w14:paraId="2E9D2799" w14:textId="10023520">
      <w:pPr>
        <w:widowControl w:val="0"/>
        <w:spacing w:line="240" w:lineRule="atLeast"/>
        <w:contextualSpacing/>
        <w:rPr>
          <w:rFonts w:ascii="Verdana" w:hAnsi="Verdana"/>
          <w:sz w:val="18"/>
          <w:szCs w:val="18"/>
        </w:rPr>
      </w:pPr>
      <w:r>
        <w:rPr>
          <w:rFonts w:ascii="Verdana" w:hAnsi="Verdana"/>
          <w:sz w:val="18"/>
          <w:szCs w:val="18"/>
        </w:rPr>
        <w:t>In dit artikel wordt geregeld</w:t>
      </w:r>
      <w:r w:rsidR="00663080">
        <w:rPr>
          <w:rFonts w:ascii="Verdana" w:hAnsi="Verdana"/>
          <w:sz w:val="18"/>
          <w:szCs w:val="18"/>
        </w:rPr>
        <w:t xml:space="preserve"> vanaf</w:t>
      </w:r>
      <w:r>
        <w:rPr>
          <w:rFonts w:ascii="Verdana" w:hAnsi="Verdana"/>
          <w:sz w:val="18"/>
          <w:szCs w:val="18"/>
        </w:rPr>
        <w:t xml:space="preserve"> welk boekjaar</w:t>
      </w:r>
      <w:r w:rsidR="00663080">
        <w:rPr>
          <w:rFonts w:ascii="Verdana" w:hAnsi="Verdana"/>
          <w:sz w:val="18"/>
          <w:szCs w:val="18"/>
        </w:rPr>
        <w:t xml:space="preserve"> een onderneming bepaalde </w:t>
      </w:r>
      <w:r>
        <w:rPr>
          <w:rFonts w:ascii="Verdana" w:hAnsi="Verdana"/>
          <w:sz w:val="18"/>
          <w:szCs w:val="18"/>
        </w:rPr>
        <w:lastRenderedPageBreak/>
        <w:t>verslaggeving</w:t>
      </w:r>
      <w:r w:rsidR="00663080">
        <w:rPr>
          <w:rFonts w:ascii="Verdana" w:hAnsi="Verdana"/>
          <w:sz w:val="18"/>
          <w:szCs w:val="18"/>
        </w:rPr>
        <w:t>s</w:t>
      </w:r>
      <w:r>
        <w:rPr>
          <w:rFonts w:ascii="Verdana" w:hAnsi="Verdana"/>
          <w:sz w:val="18"/>
          <w:szCs w:val="18"/>
        </w:rPr>
        <w:t>stukken naar de verzamelende instantie moet sturen</w:t>
      </w:r>
      <w:r w:rsidRPr="00663080" w:rsidR="00663080">
        <w:rPr>
          <w:rFonts w:ascii="Verdana" w:hAnsi="Verdana"/>
          <w:sz w:val="18"/>
          <w:szCs w:val="18"/>
        </w:rPr>
        <w:t xml:space="preserve"> </w:t>
      </w:r>
      <w:r w:rsidR="00663080">
        <w:rPr>
          <w:rFonts w:ascii="Verdana" w:hAnsi="Verdana"/>
          <w:sz w:val="18"/>
          <w:szCs w:val="18"/>
        </w:rPr>
        <w:t xml:space="preserve">ten behoeve van openbaarmaking </w:t>
      </w:r>
      <w:r w:rsidR="00B9660D">
        <w:rPr>
          <w:rFonts w:ascii="Verdana" w:hAnsi="Verdana"/>
          <w:sz w:val="18"/>
          <w:szCs w:val="18"/>
        </w:rPr>
        <w:t>op het ESAP</w:t>
      </w:r>
      <w:r>
        <w:rPr>
          <w:rFonts w:ascii="Verdana" w:hAnsi="Verdana"/>
          <w:sz w:val="18"/>
          <w:szCs w:val="18"/>
        </w:rPr>
        <w:t xml:space="preserve">. </w:t>
      </w:r>
      <w:r w:rsidR="00D569E9">
        <w:rPr>
          <w:rFonts w:ascii="Verdana" w:hAnsi="Verdana"/>
          <w:sz w:val="18"/>
          <w:szCs w:val="18"/>
        </w:rPr>
        <w:t xml:space="preserve">Voor </w:t>
      </w:r>
      <w:r w:rsidR="00663080">
        <w:rPr>
          <w:rFonts w:ascii="Verdana" w:hAnsi="Verdana"/>
          <w:sz w:val="18"/>
          <w:szCs w:val="18"/>
        </w:rPr>
        <w:t>de artikelen</w:t>
      </w:r>
      <w:r w:rsidR="00D569E9">
        <w:rPr>
          <w:rFonts w:ascii="Verdana" w:hAnsi="Verdana"/>
          <w:sz w:val="18"/>
          <w:szCs w:val="18"/>
        </w:rPr>
        <w:t xml:space="preserve"> 4:52, vijfde lid</w:t>
      </w:r>
      <w:r w:rsidR="00663080">
        <w:rPr>
          <w:rFonts w:ascii="Verdana" w:hAnsi="Verdana"/>
          <w:sz w:val="18"/>
          <w:szCs w:val="18"/>
        </w:rPr>
        <w:t>,</w:t>
      </w:r>
      <w:r w:rsidR="00D569E9">
        <w:rPr>
          <w:rFonts w:ascii="Verdana" w:hAnsi="Verdana"/>
          <w:sz w:val="18"/>
          <w:szCs w:val="18"/>
        </w:rPr>
        <w:t xml:space="preserve"> en 5:25o, zesde lid</w:t>
      </w:r>
      <w:r w:rsidR="00663080">
        <w:rPr>
          <w:rFonts w:ascii="Verdana" w:hAnsi="Verdana"/>
          <w:sz w:val="18"/>
          <w:szCs w:val="18"/>
        </w:rPr>
        <w:t xml:space="preserve">, </w:t>
      </w:r>
      <w:r w:rsidR="00D569E9">
        <w:rPr>
          <w:rFonts w:ascii="Verdana" w:hAnsi="Verdana"/>
          <w:sz w:val="18"/>
          <w:szCs w:val="18"/>
        </w:rPr>
        <w:t xml:space="preserve">Wft, artikel 2:394a BW, artikel 205d PW, en artikel 199d </w:t>
      </w:r>
      <w:proofErr w:type="spellStart"/>
      <w:r w:rsidR="00D569E9">
        <w:rPr>
          <w:rFonts w:ascii="Verdana" w:hAnsi="Verdana"/>
          <w:sz w:val="18"/>
          <w:szCs w:val="18"/>
        </w:rPr>
        <w:t>Wvb</w:t>
      </w:r>
      <w:proofErr w:type="spellEnd"/>
      <w:r w:rsidR="00D569E9">
        <w:rPr>
          <w:rFonts w:ascii="Verdana" w:hAnsi="Verdana"/>
          <w:sz w:val="18"/>
          <w:szCs w:val="18"/>
        </w:rPr>
        <w:t>, geldt dat deze artikelen van toepassing zijn op informatie die betrekking heeft op boekjaren die aanvangen op of na 1 januari 2027.</w:t>
      </w:r>
    </w:p>
    <w:p w:rsidRPr="007456D5" w:rsidR="007456D5" w:rsidP="001A189C" w:rsidRDefault="007456D5" w14:paraId="28152EB1" w14:textId="77777777">
      <w:pPr>
        <w:widowControl w:val="0"/>
        <w:tabs>
          <w:tab w:val="num" w:pos="720"/>
        </w:tabs>
        <w:spacing w:line="240" w:lineRule="atLeast"/>
        <w:contextualSpacing/>
        <w:rPr>
          <w:rFonts w:ascii="Verdana" w:hAnsi="Verdana"/>
          <w:b/>
          <w:bCs/>
          <w:sz w:val="18"/>
          <w:szCs w:val="18"/>
        </w:rPr>
      </w:pPr>
    </w:p>
    <w:p w:rsidR="00774664" w:rsidP="001A189C" w:rsidRDefault="00774664" w14:paraId="4EF678DC" w14:textId="77777777">
      <w:pPr>
        <w:widowControl w:val="0"/>
        <w:tabs>
          <w:tab w:val="num" w:pos="720"/>
        </w:tabs>
        <w:spacing w:line="240" w:lineRule="atLeast"/>
        <w:contextualSpacing/>
        <w:rPr>
          <w:rFonts w:ascii="Verdana" w:hAnsi="Verdana"/>
          <w:b/>
          <w:bCs/>
          <w:sz w:val="18"/>
          <w:szCs w:val="18"/>
        </w:rPr>
      </w:pPr>
    </w:p>
    <w:p w:rsidRPr="007456D5" w:rsidR="001A049B" w:rsidP="001A189C" w:rsidRDefault="00A42ABA" w14:paraId="38F95E72" w14:textId="4FFA4358">
      <w:pPr>
        <w:widowControl w:val="0"/>
        <w:tabs>
          <w:tab w:val="num" w:pos="720"/>
        </w:tabs>
        <w:spacing w:line="240" w:lineRule="atLeast"/>
        <w:contextualSpacing/>
        <w:rPr>
          <w:rFonts w:ascii="Verdana" w:hAnsi="Verdana"/>
          <w:b/>
          <w:bCs/>
          <w:sz w:val="18"/>
          <w:szCs w:val="18"/>
        </w:rPr>
      </w:pPr>
      <w:r w:rsidRPr="007456D5">
        <w:rPr>
          <w:rFonts w:ascii="Verdana" w:hAnsi="Verdana"/>
          <w:b/>
          <w:bCs/>
          <w:sz w:val="18"/>
          <w:szCs w:val="18"/>
        </w:rPr>
        <w:t>A</w:t>
      </w:r>
      <w:r w:rsidRPr="007456D5" w:rsidR="007456D5">
        <w:rPr>
          <w:rFonts w:ascii="Verdana" w:hAnsi="Verdana"/>
          <w:b/>
          <w:bCs/>
          <w:sz w:val="18"/>
          <w:szCs w:val="18"/>
        </w:rPr>
        <w:t>RTIKEL</w:t>
      </w:r>
      <w:r w:rsidRPr="007456D5">
        <w:rPr>
          <w:rFonts w:ascii="Verdana" w:hAnsi="Verdana"/>
          <w:b/>
          <w:bCs/>
          <w:sz w:val="18"/>
          <w:szCs w:val="18"/>
        </w:rPr>
        <w:t xml:space="preserve"> VIII</w:t>
      </w:r>
      <w:r w:rsidRPr="007456D5" w:rsidR="007456D5">
        <w:rPr>
          <w:rFonts w:ascii="Verdana" w:hAnsi="Verdana"/>
          <w:b/>
          <w:bCs/>
          <w:sz w:val="18"/>
          <w:szCs w:val="18"/>
        </w:rPr>
        <w:t xml:space="preserve"> (</w:t>
      </w:r>
      <w:r w:rsidR="00CB00E4">
        <w:rPr>
          <w:rFonts w:ascii="Verdana" w:hAnsi="Verdana"/>
          <w:b/>
          <w:bCs/>
          <w:sz w:val="18"/>
          <w:szCs w:val="18"/>
        </w:rPr>
        <w:t>I</w:t>
      </w:r>
      <w:r w:rsidRPr="007456D5" w:rsidR="007456D5">
        <w:rPr>
          <w:rFonts w:ascii="Verdana" w:hAnsi="Verdana"/>
          <w:b/>
          <w:bCs/>
          <w:sz w:val="18"/>
          <w:szCs w:val="18"/>
        </w:rPr>
        <w:t>nwerkingtreding)</w:t>
      </w:r>
    </w:p>
    <w:p w:rsidRPr="007456D5" w:rsidR="007456D5" w:rsidP="001A189C" w:rsidRDefault="007456D5" w14:paraId="6A8BE2F1" w14:textId="77777777">
      <w:pPr>
        <w:widowControl w:val="0"/>
        <w:tabs>
          <w:tab w:val="num" w:pos="720"/>
        </w:tabs>
        <w:spacing w:line="240" w:lineRule="atLeast"/>
        <w:contextualSpacing/>
        <w:rPr>
          <w:rFonts w:ascii="Verdana" w:hAnsi="Verdana" w:cs="Arial"/>
          <w:sz w:val="18"/>
          <w:szCs w:val="18"/>
        </w:rPr>
      </w:pPr>
    </w:p>
    <w:p w:rsidR="007456D5" w:rsidP="001A189C" w:rsidRDefault="007456D5" w14:paraId="4A3CD81E" w14:textId="4B9225A4">
      <w:pPr>
        <w:widowControl w:val="0"/>
        <w:tabs>
          <w:tab w:val="num" w:pos="720"/>
        </w:tabs>
        <w:spacing w:line="240" w:lineRule="atLeast"/>
        <w:contextualSpacing/>
        <w:rPr>
          <w:rFonts w:ascii="Verdana" w:hAnsi="Verdana"/>
          <w:sz w:val="18"/>
          <w:szCs w:val="18"/>
        </w:rPr>
      </w:pPr>
      <w:r w:rsidRPr="007456D5">
        <w:rPr>
          <w:rFonts w:ascii="Verdana" w:hAnsi="Verdana" w:cs="Arial"/>
          <w:sz w:val="18"/>
          <w:szCs w:val="18"/>
        </w:rPr>
        <w:t xml:space="preserve">Dit artikel regelt de inwerkingtreding. </w:t>
      </w:r>
      <w:bookmarkStart w:name="_Hlk193877698" w:id="13"/>
      <w:r w:rsidRPr="007456D5">
        <w:rPr>
          <w:rFonts w:ascii="Verdana" w:hAnsi="Verdana"/>
          <w:sz w:val="18"/>
          <w:szCs w:val="18"/>
        </w:rPr>
        <w:t xml:space="preserve">De </w:t>
      </w:r>
      <w:r>
        <w:rPr>
          <w:rFonts w:ascii="Verdana" w:hAnsi="Verdana"/>
          <w:sz w:val="18"/>
          <w:szCs w:val="18"/>
        </w:rPr>
        <w:t>richtlijn</w:t>
      </w:r>
      <w:r w:rsidR="00AB1720">
        <w:rPr>
          <w:rFonts w:ascii="Verdana" w:hAnsi="Verdana"/>
          <w:sz w:val="18"/>
          <w:szCs w:val="18"/>
        </w:rPr>
        <w:t xml:space="preserve"> ESAP</w:t>
      </w:r>
      <w:r w:rsidRPr="007456D5">
        <w:rPr>
          <w:rFonts w:ascii="Verdana" w:hAnsi="Verdana"/>
          <w:sz w:val="18"/>
          <w:szCs w:val="18"/>
        </w:rPr>
        <w:t xml:space="preserve"> dient op uiterlijk 1</w:t>
      </w:r>
      <w:r>
        <w:rPr>
          <w:rFonts w:ascii="Verdana" w:hAnsi="Verdana"/>
          <w:sz w:val="18"/>
          <w:szCs w:val="18"/>
        </w:rPr>
        <w:t xml:space="preserve">0 </w:t>
      </w:r>
    </w:p>
    <w:p w:rsidRPr="007456D5" w:rsidR="00CA2014" w:rsidP="001A189C" w:rsidRDefault="007456D5" w14:paraId="06C92F7B" w14:textId="0C638CC4">
      <w:pPr>
        <w:widowControl w:val="0"/>
        <w:tabs>
          <w:tab w:val="num" w:pos="720"/>
        </w:tabs>
        <w:spacing w:line="240" w:lineRule="atLeast"/>
        <w:contextualSpacing/>
        <w:rPr>
          <w:rFonts w:ascii="Verdana" w:hAnsi="Verdana" w:cs="Arial"/>
          <w:sz w:val="18"/>
          <w:szCs w:val="18"/>
        </w:rPr>
      </w:pPr>
      <w:r>
        <w:rPr>
          <w:rFonts w:ascii="Verdana" w:hAnsi="Verdana"/>
          <w:sz w:val="18"/>
          <w:szCs w:val="18"/>
        </w:rPr>
        <w:t>januari 2026</w:t>
      </w:r>
      <w:r w:rsidRPr="007456D5">
        <w:rPr>
          <w:rFonts w:ascii="Verdana" w:hAnsi="Verdana"/>
          <w:sz w:val="18"/>
          <w:szCs w:val="18"/>
        </w:rPr>
        <w:t xml:space="preserve"> te zijn geïmplementeerd in nationale wetgeving</w:t>
      </w:r>
      <w:bookmarkEnd w:id="13"/>
      <w:r>
        <w:rPr>
          <w:rFonts w:ascii="Verdana" w:hAnsi="Verdana"/>
          <w:sz w:val="18"/>
          <w:szCs w:val="18"/>
        </w:rPr>
        <w:t xml:space="preserve">. De artikelen met betrekking tot het </w:t>
      </w:r>
      <w:r w:rsidRPr="007456D5" w:rsidR="00CA2014">
        <w:rPr>
          <w:rFonts w:ascii="Verdana" w:hAnsi="Verdana"/>
          <w:sz w:val="18"/>
          <w:szCs w:val="18"/>
        </w:rPr>
        <w:t xml:space="preserve">aanleveren van informatie ten behoeve van openbaarmaking </w:t>
      </w:r>
      <w:r w:rsidR="00AB1720">
        <w:rPr>
          <w:rFonts w:ascii="Verdana" w:hAnsi="Verdana"/>
          <w:sz w:val="18"/>
          <w:szCs w:val="18"/>
        </w:rPr>
        <w:t>op</w:t>
      </w:r>
      <w:r w:rsidRPr="007456D5" w:rsidR="00CA2014">
        <w:rPr>
          <w:rFonts w:ascii="Verdana" w:hAnsi="Verdana"/>
          <w:sz w:val="18"/>
          <w:szCs w:val="18"/>
        </w:rPr>
        <w:t xml:space="preserve"> ESAP z</w:t>
      </w:r>
      <w:r>
        <w:rPr>
          <w:rFonts w:ascii="Verdana" w:hAnsi="Verdana"/>
          <w:sz w:val="18"/>
          <w:szCs w:val="18"/>
        </w:rPr>
        <w:t xml:space="preserve">ullen op verschillende tijdstippen in werking treden. </w:t>
      </w:r>
      <w:r w:rsidR="00B673CF">
        <w:rPr>
          <w:rFonts w:ascii="Verdana" w:hAnsi="Verdana"/>
          <w:sz w:val="18"/>
          <w:szCs w:val="18"/>
        </w:rPr>
        <w:t xml:space="preserve">Vanaf 10 juli 2026 dienen </w:t>
      </w:r>
      <w:r w:rsidR="004F6E75">
        <w:rPr>
          <w:rFonts w:ascii="Verdana" w:hAnsi="Verdana"/>
          <w:sz w:val="18"/>
          <w:szCs w:val="18"/>
        </w:rPr>
        <w:t>u</w:t>
      </w:r>
      <w:r w:rsidR="00B673CF">
        <w:rPr>
          <w:rFonts w:ascii="Verdana" w:hAnsi="Verdana"/>
          <w:sz w:val="18"/>
          <w:szCs w:val="18"/>
        </w:rPr>
        <w:t>itgevende instellingen informatie aan te leveren bij de AFM op grond van artikel 5:25m, tiende lid, Wft.</w:t>
      </w:r>
      <w:r w:rsidRPr="007456D5" w:rsidR="00CA2014">
        <w:rPr>
          <w:rFonts w:ascii="Verdana" w:hAnsi="Verdana"/>
          <w:sz w:val="18"/>
          <w:szCs w:val="18"/>
        </w:rPr>
        <w:t xml:space="preserve"> </w:t>
      </w:r>
      <w:r w:rsidR="00B673CF">
        <w:rPr>
          <w:rFonts w:ascii="Verdana" w:hAnsi="Verdana"/>
          <w:sz w:val="18"/>
          <w:szCs w:val="18"/>
        </w:rPr>
        <w:t xml:space="preserve">Beheerders van </w:t>
      </w:r>
      <w:proofErr w:type="spellStart"/>
      <w:r w:rsidR="00B673CF">
        <w:rPr>
          <w:rFonts w:ascii="Verdana" w:hAnsi="Verdana"/>
          <w:sz w:val="18"/>
          <w:szCs w:val="18"/>
        </w:rPr>
        <w:t>icbe’s</w:t>
      </w:r>
      <w:proofErr w:type="spellEnd"/>
      <w:r w:rsidR="00B673CF">
        <w:rPr>
          <w:rFonts w:ascii="Verdana" w:hAnsi="Verdana"/>
          <w:sz w:val="18"/>
          <w:szCs w:val="18"/>
        </w:rPr>
        <w:t xml:space="preserve"> dienen </w:t>
      </w:r>
      <w:r w:rsidR="004F6E75">
        <w:rPr>
          <w:rFonts w:ascii="Verdana" w:hAnsi="Verdana"/>
          <w:sz w:val="18"/>
          <w:szCs w:val="18"/>
        </w:rPr>
        <w:t xml:space="preserve">bijvoorbeeld </w:t>
      </w:r>
      <w:r w:rsidR="00B673CF">
        <w:rPr>
          <w:rFonts w:ascii="Verdana" w:hAnsi="Verdana"/>
          <w:sz w:val="18"/>
          <w:szCs w:val="18"/>
        </w:rPr>
        <w:t xml:space="preserve">het prospectus, jaarrekening en bestuursverslag op grond van de artikelen 4:49, zevende lid en 4:52, vijfde lid, Wft aan te leveren bij de AFM met ingang van 10 januari 2028. </w:t>
      </w:r>
      <w:r w:rsidR="00D575D2">
        <w:rPr>
          <w:rFonts w:ascii="Verdana" w:hAnsi="Verdana"/>
          <w:sz w:val="18"/>
          <w:szCs w:val="18"/>
        </w:rPr>
        <w:t xml:space="preserve">Op </w:t>
      </w:r>
      <w:r w:rsidR="00B673CF">
        <w:rPr>
          <w:rFonts w:ascii="Verdana" w:hAnsi="Verdana"/>
          <w:sz w:val="18"/>
          <w:szCs w:val="18"/>
        </w:rPr>
        <w:t>10 januari 2030</w:t>
      </w:r>
      <w:r w:rsidR="00D575D2">
        <w:rPr>
          <w:rFonts w:ascii="Verdana" w:hAnsi="Verdana"/>
          <w:sz w:val="18"/>
          <w:szCs w:val="18"/>
        </w:rPr>
        <w:t xml:space="preserve"> zullen de overige artikelen in werking treden. Gelet hierop zal de inwerkingtreding van de artikelen van deze wet bij </w:t>
      </w:r>
      <w:r w:rsidR="000169C2">
        <w:rPr>
          <w:rFonts w:ascii="Verdana" w:hAnsi="Verdana"/>
          <w:sz w:val="18"/>
          <w:szCs w:val="18"/>
        </w:rPr>
        <w:t>koninklijk besluit</w:t>
      </w:r>
      <w:r w:rsidR="00D575D2">
        <w:rPr>
          <w:rFonts w:ascii="Verdana" w:hAnsi="Verdana"/>
          <w:sz w:val="18"/>
          <w:szCs w:val="18"/>
        </w:rPr>
        <w:t xml:space="preserve"> worden geregeld.</w:t>
      </w:r>
    </w:p>
    <w:p w:rsidRPr="007456D5" w:rsidR="00A42ABA" w:rsidP="004054CF" w:rsidRDefault="00A42ABA" w14:paraId="5DE80482" w14:textId="77777777">
      <w:pPr>
        <w:widowControl w:val="0"/>
        <w:tabs>
          <w:tab w:val="num" w:pos="720"/>
        </w:tabs>
        <w:spacing w:line="240" w:lineRule="atLeast"/>
        <w:contextualSpacing/>
        <w:rPr>
          <w:rFonts w:ascii="Verdana" w:hAnsi="Verdana" w:cs="Arial"/>
          <w:sz w:val="18"/>
          <w:szCs w:val="18"/>
        </w:rPr>
      </w:pPr>
    </w:p>
    <w:p w:rsidRPr="007456D5" w:rsidR="00A42ABA" w:rsidP="004054CF" w:rsidRDefault="00A42ABA" w14:paraId="2EBE9235" w14:textId="77777777">
      <w:pPr>
        <w:widowControl w:val="0"/>
        <w:tabs>
          <w:tab w:val="num" w:pos="720"/>
        </w:tabs>
        <w:spacing w:line="240" w:lineRule="atLeast"/>
        <w:contextualSpacing/>
        <w:rPr>
          <w:rFonts w:ascii="Verdana" w:hAnsi="Verdana" w:cs="Arial"/>
          <w:sz w:val="18"/>
          <w:szCs w:val="18"/>
        </w:rPr>
      </w:pPr>
    </w:p>
    <w:p w:rsidRPr="007456D5" w:rsidR="001F3B5F" w:rsidP="004054CF" w:rsidRDefault="001F3B5F" w14:paraId="7DEAB1A2" w14:textId="5F327BA7">
      <w:pPr>
        <w:widowControl w:val="0"/>
        <w:tabs>
          <w:tab w:val="num" w:pos="720"/>
        </w:tabs>
        <w:spacing w:line="240" w:lineRule="atLeast"/>
        <w:contextualSpacing/>
        <w:rPr>
          <w:rFonts w:ascii="Verdana" w:hAnsi="Verdana" w:cs="Arial"/>
          <w:sz w:val="18"/>
          <w:szCs w:val="18"/>
        </w:rPr>
      </w:pPr>
      <w:r w:rsidRPr="007456D5">
        <w:rPr>
          <w:rFonts w:ascii="Verdana" w:hAnsi="Verdana" w:cs="Arial"/>
          <w:sz w:val="18"/>
          <w:szCs w:val="18"/>
        </w:rPr>
        <w:t>De Minister van Financiën,</w:t>
      </w:r>
    </w:p>
    <w:p w:rsidRPr="007456D5" w:rsidR="001F3B5F" w:rsidP="007D25C5" w:rsidRDefault="001F3B5F" w14:paraId="134377AA" w14:textId="77777777">
      <w:pPr>
        <w:widowControl w:val="0"/>
        <w:tabs>
          <w:tab w:val="num" w:pos="720"/>
        </w:tabs>
        <w:spacing w:line="240" w:lineRule="exact"/>
        <w:contextualSpacing/>
        <w:rPr>
          <w:rFonts w:ascii="Verdana" w:hAnsi="Verdana" w:cs="Arial"/>
          <w:sz w:val="18"/>
          <w:szCs w:val="18"/>
        </w:rPr>
      </w:pPr>
    </w:p>
    <w:p w:rsidRPr="007456D5" w:rsidR="001F3B5F" w:rsidP="007D25C5" w:rsidRDefault="001F3B5F" w14:paraId="26F7B030" w14:textId="77777777">
      <w:pPr>
        <w:widowControl w:val="0"/>
        <w:tabs>
          <w:tab w:val="num" w:pos="720"/>
        </w:tabs>
        <w:spacing w:line="240" w:lineRule="exact"/>
        <w:contextualSpacing/>
        <w:rPr>
          <w:rFonts w:ascii="Verdana" w:hAnsi="Verdana" w:cs="Arial"/>
          <w:sz w:val="18"/>
          <w:szCs w:val="18"/>
        </w:rPr>
      </w:pPr>
    </w:p>
    <w:p w:rsidRPr="007456D5" w:rsidR="001A049B" w:rsidP="007D25C5" w:rsidRDefault="001A049B" w14:paraId="5333C8CB" w14:textId="77777777">
      <w:pPr>
        <w:widowControl w:val="0"/>
        <w:tabs>
          <w:tab w:val="num" w:pos="720"/>
        </w:tabs>
        <w:spacing w:line="240" w:lineRule="exact"/>
        <w:contextualSpacing/>
        <w:rPr>
          <w:rFonts w:ascii="Verdana" w:hAnsi="Verdana" w:cs="Arial"/>
          <w:sz w:val="18"/>
          <w:szCs w:val="18"/>
        </w:rPr>
      </w:pPr>
    </w:p>
    <w:p w:rsidRPr="007456D5" w:rsidR="001A049B" w:rsidP="007D25C5" w:rsidRDefault="001A049B" w14:paraId="5C79491D" w14:textId="77777777">
      <w:pPr>
        <w:widowControl w:val="0"/>
        <w:tabs>
          <w:tab w:val="num" w:pos="720"/>
        </w:tabs>
        <w:spacing w:line="240" w:lineRule="exact"/>
        <w:contextualSpacing/>
        <w:rPr>
          <w:rFonts w:ascii="Verdana" w:hAnsi="Verdana" w:cs="Arial"/>
          <w:sz w:val="18"/>
          <w:szCs w:val="18"/>
        </w:rPr>
      </w:pPr>
    </w:p>
    <w:p w:rsidR="00774664" w:rsidP="007D25C5" w:rsidRDefault="00774664" w14:paraId="467B294E" w14:textId="77777777">
      <w:pPr>
        <w:widowControl w:val="0"/>
        <w:tabs>
          <w:tab w:val="num" w:pos="720"/>
        </w:tabs>
        <w:spacing w:line="240" w:lineRule="exact"/>
        <w:contextualSpacing/>
        <w:rPr>
          <w:rFonts w:ascii="Verdana" w:hAnsi="Verdana" w:cs="Arial"/>
          <w:sz w:val="18"/>
          <w:szCs w:val="18"/>
        </w:rPr>
      </w:pPr>
    </w:p>
    <w:p w:rsidRPr="007456D5" w:rsidR="001F3B5F" w:rsidP="007D25C5" w:rsidRDefault="001A049B" w14:paraId="2CD88D98" w14:textId="60876D5B">
      <w:pPr>
        <w:widowControl w:val="0"/>
        <w:tabs>
          <w:tab w:val="num" w:pos="720"/>
        </w:tabs>
        <w:spacing w:line="240" w:lineRule="exact"/>
        <w:contextualSpacing/>
        <w:rPr>
          <w:rFonts w:ascii="Verdana" w:hAnsi="Verdana" w:cs="Arial"/>
          <w:sz w:val="18"/>
          <w:szCs w:val="18"/>
        </w:rPr>
        <w:sectPr w:rsidRPr="007456D5" w:rsidR="001F3B5F" w:rsidSect="001F3B5F">
          <w:headerReference w:type="even" r:id="rId7"/>
          <w:footerReference w:type="even" r:id="rId8"/>
          <w:footerReference w:type="default" r:id="rId9"/>
          <w:headerReference w:type="first" r:id="rId10"/>
          <w:footerReference w:type="first" r:id="rId11"/>
          <w:type w:val="continuous"/>
          <w:pgSz w:w="11906" w:h="16838"/>
          <w:pgMar w:top="1418" w:right="1418" w:bottom="1418" w:left="3238" w:header="709" w:footer="709" w:gutter="0"/>
          <w:cols w:space="708"/>
          <w:docGrid w:linePitch="360"/>
        </w:sectPr>
      </w:pPr>
      <w:r w:rsidRPr="007456D5">
        <w:rPr>
          <w:rFonts w:ascii="Verdana" w:hAnsi="Verdana" w:cs="Arial"/>
          <w:sz w:val="18"/>
          <w:szCs w:val="18"/>
        </w:rPr>
        <w:t>E. Heine</w:t>
      </w:r>
      <w:r w:rsidR="00627534">
        <w:rPr>
          <w:rFonts w:ascii="Verdana" w:hAnsi="Verdana" w:cs="Arial"/>
          <w:sz w:val="18"/>
          <w:szCs w:val="18"/>
        </w:rPr>
        <w:t>n</w:t>
      </w:r>
    </w:p>
    <w:p w:rsidRPr="007456D5" w:rsidR="00CE0128" w:rsidP="007D25C5" w:rsidRDefault="00CE0128" w14:paraId="2B0BCBEB" w14:textId="5BCE0940">
      <w:pPr>
        <w:widowControl w:val="0"/>
        <w:tabs>
          <w:tab w:val="num" w:pos="720"/>
        </w:tabs>
        <w:spacing w:line="240" w:lineRule="exact"/>
        <w:contextualSpacing/>
        <w:rPr>
          <w:rFonts w:ascii="Verdana" w:hAnsi="Verdana" w:cs="Arial"/>
          <w:sz w:val="18"/>
          <w:szCs w:val="18"/>
        </w:rPr>
        <w:sectPr w:rsidRPr="007456D5" w:rsidR="00CE0128" w:rsidSect="00DD0008">
          <w:type w:val="continuous"/>
          <w:pgSz w:w="11906" w:h="16838"/>
          <w:pgMar w:top="1418" w:right="1418" w:bottom="1418" w:left="1418" w:header="709" w:footer="709" w:gutter="0"/>
          <w:cols w:space="708"/>
          <w:docGrid w:linePitch="360"/>
        </w:sectPr>
      </w:pPr>
    </w:p>
    <w:p w:rsidRPr="007456D5" w:rsidR="00CB554D" w:rsidP="007D25C5" w:rsidRDefault="00CB554D" w14:paraId="443C25F0" w14:textId="77777777">
      <w:pPr>
        <w:widowControl w:val="0"/>
        <w:tabs>
          <w:tab w:val="num" w:pos="720"/>
        </w:tabs>
        <w:spacing w:line="240" w:lineRule="exact"/>
        <w:contextualSpacing/>
        <w:rPr>
          <w:rFonts w:ascii="Verdana" w:hAnsi="Verdana" w:cs="Arial"/>
          <w:sz w:val="18"/>
          <w:szCs w:val="18"/>
        </w:rPr>
      </w:pPr>
    </w:p>
    <w:p w:rsidRPr="007456D5" w:rsidR="00CB554D" w:rsidP="007D25C5" w:rsidRDefault="00CB554D" w14:paraId="51318585" w14:textId="73DC0D77">
      <w:pPr>
        <w:spacing w:line="240" w:lineRule="exact"/>
        <w:contextualSpacing/>
        <w:rPr>
          <w:rFonts w:ascii="Verdana" w:hAnsi="Verdana" w:cs="Arial"/>
          <w:sz w:val="18"/>
          <w:szCs w:val="18"/>
        </w:rPr>
      </w:pPr>
      <w:r w:rsidRPr="007456D5">
        <w:rPr>
          <w:rFonts w:ascii="Verdana" w:hAnsi="Verdana" w:cs="Arial"/>
          <w:sz w:val="18"/>
          <w:szCs w:val="18"/>
        </w:rPr>
        <w:br w:type="page"/>
      </w:r>
    </w:p>
    <w:p w:rsidRPr="007456D5" w:rsidR="00C04CC7" w:rsidP="007D25C5" w:rsidRDefault="00CB554D" w14:paraId="30CEC483" w14:textId="4E72FD04">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lastRenderedPageBreak/>
        <w:t>Bijlage</w:t>
      </w:r>
      <w:r w:rsidRPr="007456D5" w:rsidR="00C04CC7">
        <w:rPr>
          <w:rFonts w:ascii="Verdana" w:hAnsi="Verdana" w:cs="Arial"/>
          <w:b/>
          <w:sz w:val="18"/>
          <w:szCs w:val="18"/>
        </w:rPr>
        <w:t>.</w:t>
      </w:r>
      <w:r w:rsidRPr="007456D5">
        <w:rPr>
          <w:rFonts w:ascii="Verdana" w:hAnsi="Verdana" w:cs="Arial"/>
          <w:b/>
          <w:sz w:val="18"/>
          <w:szCs w:val="18"/>
        </w:rPr>
        <w:t xml:space="preserve"> Transponeringstabel</w:t>
      </w:r>
      <w:r w:rsidRPr="007456D5" w:rsidR="0053675A">
        <w:rPr>
          <w:rFonts w:ascii="Verdana" w:hAnsi="Verdana" w:cs="Arial"/>
          <w:b/>
          <w:sz w:val="18"/>
          <w:szCs w:val="18"/>
        </w:rPr>
        <w:t>len</w:t>
      </w:r>
      <w:r w:rsidRPr="007456D5">
        <w:rPr>
          <w:rFonts w:ascii="Verdana" w:hAnsi="Verdana" w:cs="Arial"/>
          <w:b/>
          <w:sz w:val="18"/>
          <w:szCs w:val="18"/>
        </w:rPr>
        <w:t xml:space="preserve"> </w:t>
      </w:r>
    </w:p>
    <w:p w:rsidRPr="007456D5" w:rsidR="00C04CC7" w:rsidP="007D25C5" w:rsidRDefault="00C04CC7" w14:paraId="0B20B603" w14:textId="77777777">
      <w:pPr>
        <w:widowControl w:val="0"/>
        <w:tabs>
          <w:tab w:val="num" w:pos="720"/>
        </w:tabs>
        <w:spacing w:line="240" w:lineRule="exact"/>
        <w:contextualSpacing/>
        <w:rPr>
          <w:rFonts w:ascii="Verdana" w:hAnsi="Verdana" w:cs="Arial"/>
          <w:b/>
          <w:sz w:val="18"/>
          <w:szCs w:val="18"/>
        </w:rPr>
      </w:pPr>
    </w:p>
    <w:tbl>
      <w:tblPr>
        <w:tblStyle w:val="Tabelraster"/>
        <w:tblW w:w="0" w:type="auto"/>
        <w:tblLook w:val="04A0" w:firstRow="1" w:lastRow="0" w:firstColumn="1" w:lastColumn="0" w:noHBand="0" w:noVBand="1"/>
      </w:tblPr>
      <w:tblGrid>
        <w:gridCol w:w="3620"/>
        <w:gridCol w:w="3620"/>
      </w:tblGrid>
      <w:tr w:rsidRPr="007456D5" w:rsidR="00476C5E" w:rsidTr="00C04CC7" w14:paraId="1148762E" w14:textId="77777777">
        <w:tc>
          <w:tcPr>
            <w:tcW w:w="3620" w:type="dxa"/>
          </w:tcPr>
          <w:p w:rsidRPr="007456D5" w:rsidR="00476C5E" w:rsidP="007D25C5" w:rsidRDefault="00476C5E" w14:paraId="0FC9FB2B" w14:textId="6B975C73">
            <w:pPr>
              <w:widowControl w:val="0"/>
              <w:tabs>
                <w:tab w:val="num" w:pos="720"/>
              </w:tabs>
              <w:spacing w:line="240" w:lineRule="exact"/>
              <w:contextualSpacing/>
              <w:rPr>
                <w:rFonts w:ascii="Verdana" w:hAnsi="Verdana" w:cs="Arial"/>
                <w:bCs/>
                <w:i/>
                <w:iCs/>
                <w:sz w:val="18"/>
                <w:szCs w:val="18"/>
              </w:rPr>
            </w:pPr>
            <w:r w:rsidRPr="007456D5">
              <w:rPr>
                <w:rFonts w:ascii="Verdana" w:hAnsi="Verdana"/>
                <w:i/>
                <w:sz w:val="18"/>
                <w:szCs w:val="18"/>
              </w:rPr>
              <w:t>AIFM-richtlijn</w:t>
            </w:r>
          </w:p>
        </w:tc>
        <w:tc>
          <w:tcPr>
            <w:tcW w:w="3620" w:type="dxa"/>
          </w:tcPr>
          <w:p w:rsidRPr="007456D5" w:rsidR="00476C5E" w:rsidP="007D25C5" w:rsidRDefault="00476C5E" w14:paraId="52B55346" w14:textId="28C2A01D">
            <w:pPr>
              <w:widowControl w:val="0"/>
              <w:tabs>
                <w:tab w:val="num" w:pos="720"/>
              </w:tabs>
              <w:spacing w:line="240" w:lineRule="exact"/>
              <w:contextualSpacing/>
              <w:rPr>
                <w:rFonts w:ascii="Verdana" w:hAnsi="Verdana" w:cs="Arial"/>
                <w:bCs/>
                <w:sz w:val="18"/>
                <w:szCs w:val="18"/>
              </w:rPr>
            </w:pPr>
            <w:r w:rsidRPr="007456D5">
              <w:rPr>
                <w:rFonts w:ascii="Verdana" w:hAnsi="Verdana"/>
                <w:sz w:val="18"/>
                <w:szCs w:val="18"/>
              </w:rPr>
              <w:t xml:space="preserve">Richtlijn 2011/61/EU van het Europees Parlement en de Raad van de Europese Unie van 8 juni 2011 inzake beheerders van alternatieve beleggingsinstellingen en tot wijziging van de richtlijnen 2003/41/EG en 2009/65/EG en van de Verordeningen (EG) nr. 1060/2009 en (EU) nr. 1095/2010 </w:t>
            </w:r>
          </w:p>
        </w:tc>
      </w:tr>
      <w:tr w:rsidRPr="007456D5" w:rsidR="00476C5E" w:rsidTr="00C04CC7" w14:paraId="62E31BDA" w14:textId="77777777">
        <w:tc>
          <w:tcPr>
            <w:tcW w:w="3620" w:type="dxa"/>
          </w:tcPr>
          <w:p w:rsidRPr="007456D5" w:rsidR="00476C5E" w:rsidP="007D25C5" w:rsidRDefault="00476C5E" w14:paraId="4FE8DAE9" w14:textId="4BAAFD91">
            <w:pPr>
              <w:widowControl w:val="0"/>
              <w:tabs>
                <w:tab w:val="num" w:pos="720"/>
              </w:tabs>
              <w:spacing w:line="240" w:lineRule="exact"/>
              <w:contextualSpacing/>
              <w:rPr>
                <w:rFonts w:ascii="Verdana" w:hAnsi="Verdana" w:cs="Arial"/>
                <w:bCs/>
                <w:i/>
                <w:iCs/>
                <w:sz w:val="18"/>
                <w:szCs w:val="18"/>
              </w:rPr>
            </w:pPr>
            <w:r w:rsidRPr="007456D5">
              <w:rPr>
                <w:rFonts w:ascii="Verdana" w:hAnsi="Verdana" w:cs="Arial"/>
                <w:bCs/>
                <w:i/>
                <w:iCs/>
                <w:sz w:val="18"/>
                <w:szCs w:val="18"/>
              </w:rPr>
              <w:t>Audit richtlijn</w:t>
            </w:r>
          </w:p>
        </w:tc>
        <w:tc>
          <w:tcPr>
            <w:tcW w:w="3620" w:type="dxa"/>
          </w:tcPr>
          <w:p w:rsidRPr="007456D5" w:rsidR="00476C5E" w:rsidP="007D25C5" w:rsidRDefault="00476C5E" w14:paraId="33230E29" w14:textId="0BEAF582">
            <w:pPr>
              <w:widowControl w:val="0"/>
              <w:tabs>
                <w:tab w:val="num" w:pos="720"/>
              </w:tabs>
              <w:spacing w:line="240" w:lineRule="exact"/>
              <w:contextualSpacing/>
              <w:rPr>
                <w:rFonts w:ascii="Verdana" w:hAnsi="Verdana" w:cs="Arial"/>
                <w:bCs/>
                <w:sz w:val="18"/>
                <w:szCs w:val="18"/>
              </w:rPr>
            </w:pPr>
            <w:r w:rsidRPr="007456D5">
              <w:rPr>
                <w:rFonts w:ascii="Verdana" w:hAnsi="Verdana" w:cs="Arial"/>
                <w:bCs/>
                <w:sz w:val="18"/>
                <w:szCs w:val="18"/>
              </w:rPr>
              <w:t>Richtlijn 2006/43/EG betreffende de wettelijke controles van jaarrekeningen en geconsolideerde jaarrekeningen</w:t>
            </w:r>
          </w:p>
        </w:tc>
      </w:tr>
      <w:tr w:rsidRPr="007456D5" w:rsidR="00476C5E" w:rsidTr="00C04CC7" w14:paraId="5836ECE0" w14:textId="77777777">
        <w:tc>
          <w:tcPr>
            <w:tcW w:w="3620" w:type="dxa"/>
          </w:tcPr>
          <w:p w:rsidRPr="007456D5" w:rsidR="00476C5E" w:rsidP="007D25C5" w:rsidRDefault="00476C5E" w14:paraId="25D93CA3" w14:textId="4A782D84">
            <w:pPr>
              <w:widowControl w:val="0"/>
              <w:tabs>
                <w:tab w:val="num" w:pos="720"/>
              </w:tabs>
              <w:spacing w:line="240" w:lineRule="exact"/>
              <w:contextualSpacing/>
              <w:rPr>
                <w:rFonts w:ascii="Verdana" w:hAnsi="Verdana" w:cs="Arial"/>
                <w:bCs/>
                <w:i/>
                <w:iCs/>
                <w:sz w:val="18"/>
                <w:szCs w:val="18"/>
              </w:rPr>
            </w:pPr>
            <w:proofErr w:type="spellStart"/>
            <w:r w:rsidRPr="007456D5">
              <w:rPr>
                <w:rFonts w:ascii="Verdana" w:hAnsi="Verdana" w:cs="Arial"/>
                <w:bCs/>
                <w:i/>
                <w:iCs/>
                <w:sz w:val="18"/>
                <w:szCs w:val="18"/>
              </w:rPr>
              <w:t>Awb</w:t>
            </w:r>
            <w:proofErr w:type="spellEnd"/>
          </w:p>
        </w:tc>
        <w:tc>
          <w:tcPr>
            <w:tcW w:w="3620" w:type="dxa"/>
          </w:tcPr>
          <w:p w:rsidRPr="007456D5" w:rsidR="00476C5E" w:rsidP="007D25C5" w:rsidRDefault="00476C5E" w14:paraId="19F7F321" w14:textId="1BBD4136">
            <w:pPr>
              <w:widowControl w:val="0"/>
              <w:tabs>
                <w:tab w:val="num" w:pos="720"/>
              </w:tabs>
              <w:spacing w:line="240" w:lineRule="exact"/>
              <w:contextualSpacing/>
              <w:rPr>
                <w:rFonts w:ascii="Verdana" w:hAnsi="Verdana" w:cs="Arial"/>
                <w:bCs/>
                <w:sz w:val="18"/>
                <w:szCs w:val="18"/>
              </w:rPr>
            </w:pPr>
            <w:r w:rsidRPr="007456D5">
              <w:rPr>
                <w:rFonts w:ascii="Verdana" w:hAnsi="Verdana" w:cs="Arial"/>
                <w:bCs/>
                <w:sz w:val="18"/>
                <w:szCs w:val="18"/>
              </w:rPr>
              <w:t>Algemene wet bestuursrecht</w:t>
            </w:r>
          </w:p>
        </w:tc>
      </w:tr>
      <w:tr w:rsidRPr="007456D5" w:rsidR="00476C5E" w:rsidTr="00C04CC7" w14:paraId="44341B1B" w14:textId="77777777">
        <w:tc>
          <w:tcPr>
            <w:tcW w:w="3620" w:type="dxa"/>
          </w:tcPr>
          <w:p w:rsidRPr="007456D5" w:rsidR="00476C5E" w:rsidP="007D25C5" w:rsidRDefault="00476C5E" w14:paraId="4E2A3231" w14:textId="73C19288">
            <w:pPr>
              <w:widowControl w:val="0"/>
              <w:tabs>
                <w:tab w:val="num" w:pos="720"/>
              </w:tabs>
              <w:spacing w:line="240" w:lineRule="exact"/>
              <w:contextualSpacing/>
              <w:rPr>
                <w:rFonts w:ascii="Verdana" w:hAnsi="Verdana" w:cs="Arial"/>
                <w:b/>
                <w:sz w:val="18"/>
                <w:szCs w:val="18"/>
              </w:rPr>
            </w:pPr>
            <w:proofErr w:type="spellStart"/>
            <w:r w:rsidRPr="007456D5">
              <w:rPr>
                <w:rFonts w:ascii="Verdana" w:hAnsi="Verdana"/>
                <w:i/>
                <w:sz w:val="18"/>
                <w:szCs w:val="18"/>
              </w:rPr>
              <w:t>BGfo</w:t>
            </w:r>
            <w:proofErr w:type="spellEnd"/>
          </w:p>
        </w:tc>
        <w:tc>
          <w:tcPr>
            <w:tcW w:w="3620" w:type="dxa"/>
          </w:tcPr>
          <w:p w:rsidRPr="007456D5" w:rsidR="00476C5E" w:rsidP="007D25C5" w:rsidRDefault="00476C5E" w14:paraId="43D457AB" w14:textId="28A8BA7D">
            <w:pPr>
              <w:widowControl w:val="0"/>
              <w:tabs>
                <w:tab w:val="num" w:pos="720"/>
              </w:tabs>
              <w:spacing w:line="240" w:lineRule="exact"/>
              <w:contextualSpacing/>
              <w:rPr>
                <w:rFonts w:ascii="Verdana" w:hAnsi="Verdana" w:cs="Arial"/>
                <w:b/>
                <w:sz w:val="18"/>
                <w:szCs w:val="18"/>
              </w:rPr>
            </w:pPr>
            <w:r w:rsidRPr="007456D5">
              <w:rPr>
                <w:rFonts w:ascii="Verdana" w:hAnsi="Verdana"/>
                <w:sz w:val="18"/>
                <w:szCs w:val="18"/>
              </w:rPr>
              <w:t>Besluit Gedragstoezicht financiële ondernemingen Wft</w:t>
            </w:r>
          </w:p>
        </w:tc>
      </w:tr>
      <w:tr w:rsidRPr="007456D5" w:rsidR="00476C5E" w:rsidTr="00C04CC7" w14:paraId="26C0C454" w14:textId="77777777">
        <w:tc>
          <w:tcPr>
            <w:tcW w:w="3620" w:type="dxa"/>
          </w:tcPr>
          <w:p w:rsidRPr="007456D5" w:rsidR="00476C5E" w:rsidP="007D25C5" w:rsidRDefault="00476C5E" w14:paraId="559BC253" w14:textId="751A3201">
            <w:pPr>
              <w:widowControl w:val="0"/>
              <w:tabs>
                <w:tab w:val="num" w:pos="720"/>
              </w:tabs>
              <w:spacing w:line="240" w:lineRule="exact"/>
              <w:contextualSpacing/>
              <w:rPr>
                <w:rFonts w:ascii="Verdana" w:hAnsi="Verdana"/>
                <w:i/>
                <w:sz w:val="18"/>
                <w:szCs w:val="18"/>
              </w:rPr>
            </w:pPr>
            <w:r w:rsidRPr="007456D5">
              <w:rPr>
                <w:rFonts w:ascii="Verdana" w:hAnsi="Verdana"/>
                <w:i/>
                <w:sz w:val="18"/>
                <w:szCs w:val="18"/>
              </w:rPr>
              <w:t>BW</w:t>
            </w:r>
          </w:p>
        </w:tc>
        <w:tc>
          <w:tcPr>
            <w:tcW w:w="3620" w:type="dxa"/>
          </w:tcPr>
          <w:p w:rsidRPr="007456D5" w:rsidR="00476C5E" w:rsidP="007D25C5" w:rsidRDefault="00476C5E" w14:paraId="537ABD66" w14:textId="168EE5E7">
            <w:pPr>
              <w:widowControl w:val="0"/>
              <w:tabs>
                <w:tab w:val="num" w:pos="720"/>
              </w:tabs>
              <w:spacing w:line="240" w:lineRule="exact"/>
              <w:contextualSpacing/>
              <w:rPr>
                <w:rFonts w:ascii="Verdana" w:hAnsi="Verdana"/>
                <w:sz w:val="18"/>
                <w:szCs w:val="18"/>
              </w:rPr>
            </w:pPr>
            <w:r w:rsidRPr="007456D5">
              <w:rPr>
                <w:rFonts w:ascii="Verdana" w:hAnsi="Verdana"/>
                <w:sz w:val="18"/>
                <w:szCs w:val="18"/>
              </w:rPr>
              <w:t>Burgerlijk Wetboek</w:t>
            </w:r>
          </w:p>
        </w:tc>
      </w:tr>
      <w:tr w:rsidRPr="007456D5" w:rsidR="00476C5E" w:rsidTr="00C04CC7" w14:paraId="2461ED4C" w14:textId="77777777">
        <w:tc>
          <w:tcPr>
            <w:tcW w:w="3620" w:type="dxa"/>
          </w:tcPr>
          <w:p w:rsidRPr="007456D5" w:rsidR="00476C5E" w:rsidP="007D25C5" w:rsidRDefault="00476C5E" w14:paraId="38BD1F59" w14:textId="2DC6E937">
            <w:pPr>
              <w:widowControl w:val="0"/>
              <w:tabs>
                <w:tab w:val="num" w:pos="720"/>
              </w:tabs>
              <w:spacing w:line="240" w:lineRule="exact"/>
              <w:contextualSpacing/>
              <w:rPr>
                <w:rFonts w:ascii="Verdana" w:hAnsi="Verdana"/>
                <w:i/>
                <w:sz w:val="18"/>
                <w:szCs w:val="18"/>
              </w:rPr>
            </w:pPr>
            <w:proofErr w:type="spellStart"/>
            <w:r w:rsidRPr="007456D5">
              <w:rPr>
                <w:rFonts w:ascii="Verdana" w:hAnsi="Verdana"/>
                <w:i/>
                <w:sz w:val="18"/>
                <w:szCs w:val="18"/>
              </w:rPr>
              <w:t>Hrw</w:t>
            </w:r>
            <w:proofErr w:type="spellEnd"/>
          </w:p>
        </w:tc>
        <w:tc>
          <w:tcPr>
            <w:tcW w:w="3620" w:type="dxa"/>
          </w:tcPr>
          <w:p w:rsidRPr="007456D5" w:rsidR="00476C5E" w:rsidP="007D25C5" w:rsidRDefault="00476C5E" w14:paraId="4A68751E" w14:textId="45FB98F9">
            <w:pPr>
              <w:widowControl w:val="0"/>
              <w:tabs>
                <w:tab w:val="num" w:pos="720"/>
              </w:tabs>
              <w:spacing w:line="240" w:lineRule="exact"/>
              <w:contextualSpacing/>
              <w:rPr>
                <w:rFonts w:ascii="Verdana" w:hAnsi="Verdana"/>
                <w:sz w:val="18"/>
                <w:szCs w:val="18"/>
              </w:rPr>
            </w:pPr>
            <w:r w:rsidRPr="007456D5">
              <w:rPr>
                <w:rFonts w:ascii="Verdana" w:hAnsi="Verdana"/>
                <w:sz w:val="18"/>
                <w:szCs w:val="18"/>
              </w:rPr>
              <w:t>Handelsregisterwet</w:t>
            </w:r>
          </w:p>
        </w:tc>
      </w:tr>
      <w:tr w:rsidRPr="007456D5" w:rsidR="00476C5E" w:rsidTr="00C04CC7" w14:paraId="7185877E" w14:textId="77777777">
        <w:tc>
          <w:tcPr>
            <w:tcW w:w="3620" w:type="dxa"/>
          </w:tcPr>
          <w:p w:rsidRPr="007456D5" w:rsidR="00476C5E" w:rsidP="007D25C5" w:rsidRDefault="00476C5E" w14:paraId="6DF43F83" w14:textId="6FB1392B">
            <w:pPr>
              <w:widowControl w:val="0"/>
              <w:tabs>
                <w:tab w:val="num" w:pos="720"/>
              </w:tabs>
              <w:spacing w:line="240" w:lineRule="exact"/>
              <w:contextualSpacing/>
              <w:rPr>
                <w:rFonts w:ascii="Verdana" w:hAnsi="Verdana"/>
                <w:i/>
                <w:sz w:val="18"/>
                <w:szCs w:val="18"/>
              </w:rPr>
            </w:pPr>
            <w:r w:rsidRPr="007456D5">
              <w:rPr>
                <w:rFonts w:ascii="Verdana" w:hAnsi="Verdana"/>
                <w:i/>
                <w:sz w:val="18"/>
                <w:szCs w:val="18"/>
              </w:rPr>
              <w:t>Icbe-richtlijn</w:t>
            </w:r>
          </w:p>
        </w:tc>
        <w:tc>
          <w:tcPr>
            <w:tcW w:w="3620" w:type="dxa"/>
          </w:tcPr>
          <w:p w:rsidRPr="007456D5" w:rsidR="00476C5E" w:rsidP="007D25C5" w:rsidRDefault="00476C5E" w14:paraId="4E35658C" w14:textId="7CEB1E0E">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2009/65/EG van het Europees Parlement en de Raad van de Europese Unie van 13 juli 2009 tot coördinatie van de wettelijke en bestuursrechtelijke bepalingen betreffende bepaalde instellingen voor collectieve belegging in effecten (</w:t>
            </w:r>
            <w:proofErr w:type="spellStart"/>
            <w:r w:rsidRPr="007456D5">
              <w:rPr>
                <w:rFonts w:ascii="Verdana" w:hAnsi="Verdana"/>
                <w:sz w:val="18"/>
                <w:szCs w:val="18"/>
              </w:rPr>
              <w:t>icbe’s</w:t>
            </w:r>
            <w:proofErr w:type="spellEnd"/>
            <w:r w:rsidRPr="007456D5">
              <w:rPr>
                <w:rFonts w:ascii="Verdana" w:hAnsi="Verdana"/>
                <w:sz w:val="18"/>
                <w:szCs w:val="18"/>
              </w:rPr>
              <w:t>)</w:t>
            </w:r>
          </w:p>
        </w:tc>
      </w:tr>
      <w:tr w:rsidRPr="007456D5" w:rsidR="00476C5E" w:rsidTr="00C04CC7" w14:paraId="1C98F2C1" w14:textId="77777777">
        <w:tc>
          <w:tcPr>
            <w:tcW w:w="3620" w:type="dxa"/>
          </w:tcPr>
          <w:p w:rsidRPr="007456D5" w:rsidR="00476C5E" w:rsidP="007D25C5" w:rsidRDefault="00A65911" w14:paraId="07452B40" w14:textId="0E2B8B98">
            <w:pPr>
              <w:widowControl w:val="0"/>
              <w:tabs>
                <w:tab w:val="num" w:pos="720"/>
              </w:tabs>
              <w:spacing w:line="240" w:lineRule="exact"/>
              <w:contextualSpacing/>
              <w:rPr>
                <w:rFonts w:ascii="Verdana" w:hAnsi="Verdana"/>
                <w:i/>
                <w:iCs/>
                <w:sz w:val="18"/>
                <w:szCs w:val="18"/>
              </w:rPr>
            </w:pPr>
            <w:r>
              <w:rPr>
                <w:rFonts w:ascii="Verdana" w:hAnsi="Verdana" w:cs="Arial"/>
                <w:i/>
                <w:iCs/>
                <w:sz w:val="18"/>
                <w:szCs w:val="18"/>
              </w:rPr>
              <w:t>richtlijn ESAP</w:t>
            </w:r>
          </w:p>
        </w:tc>
        <w:tc>
          <w:tcPr>
            <w:tcW w:w="3620" w:type="dxa"/>
          </w:tcPr>
          <w:p w:rsidRPr="007456D5" w:rsidR="00476C5E" w:rsidP="007D25C5" w:rsidRDefault="00476C5E" w14:paraId="0398EBC1" w14:textId="79FC26C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Richtlijn (EU) 2023/2864 van het Europees Parlement en de Raad van 13 december 2023 tot wijziging van bepaalde richtlijnen wat betreft de oprichting en het functioneren van het Europees centraal toegangspunt</w:t>
            </w:r>
          </w:p>
        </w:tc>
      </w:tr>
      <w:tr w:rsidRPr="007456D5" w:rsidR="00476C5E" w:rsidTr="00C04CC7" w14:paraId="2DAE7E46" w14:textId="77777777">
        <w:tc>
          <w:tcPr>
            <w:tcW w:w="3620" w:type="dxa"/>
          </w:tcPr>
          <w:p w:rsidRPr="007456D5" w:rsidR="00476C5E" w:rsidP="007D25C5" w:rsidRDefault="00A65911" w14:paraId="57A1E412" w14:textId="1F2F9054">
            <w:pPr>
              <w:widowControl w:val="0"/>
              <w:tabs>
                <w:tab w:val="num" w:pos="720"/>
              </w:tabs>
              <w:spacing w:line="240" w:lineRule="exact"/>
              <w:contextualSpacing/>
              <w:rPr>
                <w:rFonts w:ascii="Verdana" w:hAnsi="Verdana" w:cs="Arial"/>
                <w:i/>
                <w:iCs/>
                <w:sz w:val="18"/>
                <w:szCs w:val="18"/>
              </w:rPr>
            </w:pPr>
            <w:r>
              <w:rPr>
                <w:rFonts w:ascii="Verdana" w:hAnsi="Verdana" w:cs="Arial"/>
                <w:i/>
                <w:iCs/>
                <w:sz w:val="18"/>
                <w:szCs w:val="18"/>
              </w:rPr>
              <w:t>verordening ESAP</w:t>
            </w:r>
          </w:p>
        </w:tc>
        <w:tc>
          <w:tcPr>
            <w:tcW w:w="3620" w:type="dxa"/>
          </w:tcPr>
          <w:p w:rsidRPr="007456D5" w:rsidR="00476C5E" w:rsidP="007D25C5" w:rsidRDefault="00476C5E" w14:paraId="78B75E6D" w14:textId="57DDF271">
            <w:pPr>
              <w:widowControl w:val="0"/>
              <w:tabs>
                <w:tab w:val="num" w:pos="720"/>
              </w:tabs>
              <w:spacing w:line="240" w:lineRule="exact"/>
              <w:contextualSpacing/>
              <w:rPr>
                <w:rFonts w:ascii="Verdana" w:hAnsi="Verdana"/>
                <w:sz w:val="18"/>
                <w:szCs w:val="18"/>
                <w:highlight w:val="yellow"/>
              </w:rPr>
            </w:pPr>
            <w:r w:rsidRPr="007456D5">
              <w:rPr>
                <w:rFonts w:ascii="Verdana" w:hAnsi="Verdana"/>
                <w:sz w:val="18"/>
                <w:szCs w:val="18"/>
              </w:rPr>
              <w:t>Verordening (EU) 2023/2869 van het Europees Parlement en de Raad van 13 december 2023 tot wijziging van bepaalde verordeningen wat betreft de oprichting en het functioneren van het Europees centraal toegangspunt</w:t>
            </w:r>
          </w:p>
        </w:tc>
      </w:tr>
      <w:tr w:rsidRPr="007456D5" w:rsidR="00476C5E" w:rsidTr="00C04CC7" w14:paraId="22EEF4A7" w14:textId="77777777">
        <w:tc>
          <w:tcPr>
            <w:tcW w:w="3620" w:type="dxa"/>
          </w:tcPr>
          <w:p w:rsidRPr="007456D5" w:rsidR="00476C5E" w:rsidP="007D25C5" w:rsidRDefault="008930D2" w14:paraId="50EBBAF3" w14:textId="0139B700">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476C5E">
              <w:rPr>
                <w:rFonts w:ascii="Verdana" w:hAnsi="Verdana" w:cs="Arial"/>
                <w:i/>
                <w:iCs/>
                <w:sz w:val="18"/>
                <w:szCs w:val="18"/>
              </w:rPr>
              <w:t>ichtlijn aandeelhoudersrechten</w:t>
            </w:r>
          </w:p>
        </w:tc>
        <w:tc>
          <w:tcPr>
            <w:tcW w:w="3620" w:type="dxa"/>
          </w:tcPr>
          <w:p w:rsidRPr="007456D5" w:rsidR="00476C5E" w:rsidP="007D25C5" w:rsidRDefault="00476C5E" w14:paraId="7E6FD297" w14:textId="77FE3BBA">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2007/36/EG betreffende de uitoefening van bepaalde rechten van aandeelhouders in beursgenoteerde vennootschappen</w:t>
            </w:r>
          </w:p>
        </w:tc>
      </w:tr>
      <w:tr w:rsidRPr="007456D5" w:rsidR="00476C5E" w:rsidTr="00C04CC7" w14:paraId="35957F6D" w14:textId="77777777">
        <w:tc>
          <w:tcPr>
            <w:tcW w:w="3620" w:type="dxa"/>
          </w:tcPr>
          <w:p w:rsidRPr="007456D5" w:rsidR="00476C5E" w:rsidP="007D25C5" w:rsidRDefault="008930D2" w14:paraId="2CD8156E" w14:textId="6CB41040">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476C5E">
              <w:rPr>
                <w:rFonts w:ascii="Verdana" w:hAnsi="Verdana" w:cs="Arial"/>
                <w:i/>
                <w:iCs/>
                <w:sz w:val="18"/>
                <w:szCs w:val="18"/>
              </w:rPr>
              <w:t>ichtlijn financiële conglomeraten</w:t>
            </w:r>
          </w:p>
        </w:tc>
        <w:tc>
          <w:tcPr>
            <w:tcW w:w="3620" w:type="dxa"/>
          </w:tcPr>
          <w:p w:rsidRPr="007456D5" w:rsidR="00476C5E" w:rsidP="007D25C5" w:rsidRDefault="00476C5E" w14:paraId="78BAE94F" w14:textId="420A5FB3">
            <w:pPr>
              <w:widowControl w:val="0"/>
              <w:tabs>
                <w:tab w:val="num" w:pos="720"/>
              </w:tabs>
              <w:spacing w:line="240" w:lineRule="exact"/>
              <w:contextualSpacing/>
              <w:rPr>
                <w:rFonts w:ascii="Verdana" w:hAnsi="Verdana"/>
                <w:sz w:val="18"/>
                <w:szCs w:val="18"/>
                <w:highlight w:val="yellow"/>
              </w:rPr>
            </w:pPr>
            <w:r w:rsidRPr="007456D5">
              <w:rPr>
                <w:rFonts w:ascii="Verdana" w:hAnsi="Verdana"/>
                <w:sz w:val="18"/>
                <w:szCs w:val="18"/>
              </w:rPr>
              <w:t xml:space="preserve">Richtlijn 2002/87/EG van het Europees Parlement en de Raad van 16 december 2002 betreffende het aanvullende toezicht op kredietinstellingen, verzekeringsondernemingen en beleggingsondernemingen in een financieel conglomeraat </w:t>
            </w:r>
          </w:p>
        </w:tc>
      </w:tr>
      <w:tr w:rsidRPr="007456D5" w:rsidR="008930D2" w:rsidTr="00C04CC7" w14:paraId="670C2F30" w14:textId="77777777">
        <w:tc>
          <w:tcPr>
            <w:tcW w:w="3620" w:type="dxa"/>
          </w:tcPr>
          <w:p w:rsidRPr="007456D5" w:rsidR="008930D2" w:rsidP="007D25C5" w:rsidRDefault="008930D2" w14:paraId="7353FADD" w14:textId="4FEBDB92">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richtlijn herstel en afwikkeling van banken en beleggingsondernemingen</w:t>
            </w:r>
          </w:p>
        </w:tc>
        <w:tc>
          <w:tcPr>
            <w:tcW w:w="3620" w:type="dxa"/>
          </w:tcPr>
          <w:p w:rsidRPr="007456D5" w:rsidR="008930D2" w:rsidP="007D25C5" w:rsidRDefault="008930D2" w14:paraId="77CBF894" w14:textId="716028D1">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2014/59/EU betreffende de totstandbrenging van een kader voor het herstel en de afwikkeling van kredietinstellingen en beleggingsondernemingen</w:t>
            </w:r>
          </w:p>
        </w:tc>
      </w:tr>
      <w:tr w:rsidRPr="007456D5" w:rsidR="003D3DD3" w:rsidTr="00C04CC7" w14:paraId="26A4D410" w14:textId="77777777">
        <w:tc>
          <w:tcPr>
            <w:tcW w:w="3620" w:type="dxa"/>
          </w:tcPr>
          <w:p w:rsidRPr="007456D5" w:rsidR="003D3DD3" w:rsidP="007D25C5" w:rsidRDefault="003D3DD3" w14:paraId="130ECC90" w14:textId="1ACE4D84">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lastRenderedPageBreak/>
              <w:t>richtlijn instellingen voor bedrijfspensioenvoorziening</w:t>
            </w:r>
          </w:p>
        </w:tc>
        <w:tc>
          <w:tcPr>
            <w:tcW w:w="3620" w:type="dxa"/>
          </w:tcPr>
          <w:p w:rsidRPr="007456D5" w:rsidR="003D3DD3" w:rsidP="007D25C5" w:rsidRDefault="003D3DD3" w14:paraId="39CA72D9" w14:textId="3B285C0E">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(EU) 2016/2341 betreffende de werkzaamheden van en het toezicht op instellingen voor bedrijfspensioenvoorziening</w:t>
            </w:r>
          </w:p>
        </w:tc>
      </w:tr>
      <w:tr w:rsidRPr="007456D5" w:rsidR="005353EB" w:rsidTr="00C04CC7" w14:paraId="4060125B" w14:textId="77777777">
        <w:tc>
          <w:tcPr>
            <w:tcW w:w="3620" w:type="dxa"/>
          </w:tcPr>
          <w:p w:rsidRPr="007456D5" w:rsidR="005353EB" w:rsidP="007D25C5" w:rsidRDefault="008930D2" w14:paraId="56C4C5F6" w14:textId="1809C41A">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5353EB">
              <w:rPr>
                <w:rFonts w:ascii="Verdana" w:hAnsi="Verdana" w:cs="Arial"/>
                <w:i/>
                <w:iCs/>
                <w:sz w:val="18"/>
                <w:szCs w:val="18"/>
              </w:rPr>
              <w:t>ichtlijn jaarrekening</w:t>
            </w:r>
          </w:p>
        </w:tc>
        <w:tc>
          <w:tcPr>
            <w:tcW w:w="3620" w:type="dxa"/>
          </w:tcPr>
          <w:p w:rsidRPr="007456D5" w:rsidR="005353EB" w:rsidP="007D25C5" w:rsidRDefault="005353EB" w14:paraId="55EB5671" w14:textId="231DA832">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2013/34/EU betreffende de jaarlijkse financiële overzichten, geconsolideerde financiële overzichten en aanverwante verslagen van bepaalde ondernemingsvormen</w:t>
            </w:r>
          </w:p>
        </w:tc>
      </w:tr>
      <w:tr w:rsidRPr="007456D5" w:rsidR="00DB5DB7" w:rsidTr="00C04CC7" w14:paraId="146FE926" w14:textId="77777777">
        <w:tc>
          <w:tcPr>
            <w:tcW w:w="3620" w:type="dxa"/>
          </w:tcPr>
          <w:p w:rsidRPr="007456D5" w:rsidR="00DB5DB7" w:rsidP="007D25C5" w:rsidRDefault="008930D2" w14:paraId="55FEE94B" w14:textId="3BA7230F">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DB5DB7">
              <w:rPr>
                <w:rFonts w:ascii="Verdana" w:hAnsi="Verdana" w:cs="Arial"/>
                <w:i/>
                <w:iCs/>
                <w:sz w:val="18"/>
                <w:szCs w:val="18"/>
              </w:rPr>
              <w:t>ichtlijn kapitaalvereisten</w:t>
            </w:r>
          </w:p>
        </w:tc>
        <w:tc>
          <w:tcPr>
            <w:tcW w:w="3620" w:type="dxa"/>
          </w:tcPr>
          <w:p w:rsidRPr="007456D5" w:rsidR="00DB5DB7" w:rsidP="007D25C5" w:rsidRDefault="00DB5DB7" w14:paraId="2F48BC63" w14:textId="1D8BB1BB">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2013/36/EU betreffende toegang tot het bedrijf van kredietinstellingen en het prudentieel toezicht op kredietinstellingen</w:t>
            </w:r>
          </w:p>
        </w:tc>
      </w:tr>
      <w:tr w:rsidRPr="007456D5" w:rsidR="004177E4" w:rsidTr="00C04CC7" w14:paraId="461832AD" w14:textId="77777777">
        <w:tc>
          <w:tcPr>
            <w:tcW w:w="3620" w:type="dxa"/>
          </w:tcPr>
          <w:p w:rsidRPr="007456D5" w:rsidR="004177E4" w:rsidP="007D25C5" w:rsidRDefault="004177E4" w14:paraId="05EB970A" w14:textId="4A4F2A0C">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richtlijn markten voor financiële instrumenten 2014</w:t>
            </w:r>
          </w:p>
        </w:tc>
        <w:tc>
          <w:tcPr>
            <w:tcW w:w="3620" w:type="dxa"/>
          </w:tcPr>
          <w:p w:rsidRPr="007456D5" w:rsidR="004177E4" w:rsidP="007D25C5" w:rsidRDefault="004177E4" w14:paraId="3A0DFFB9" w14:textId="55B101CF">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2014/65/EU betreffende markten voor financiële instrumenten</w:t>
            </w:r>
          </w:p>
        </w:tc>
      </w:tr>
      <w:tr w:rsidRPr="007456D5" w:rsidR="00476C5E" w:rsidTr="00C04CC7" w14:paraId="70493987" w14:textId="77777777">
        <w:tc>
          <w:tcPr>
            <w:tcW w:w="3620" w:type="dxa"/>
          </w:tcPr>
          <w:p w:rsidRPr="007456D5" w:rsidR="00476C5E" w:rsidP="007D25C5" w:rsidRDefault="008930D2" w14:paraId="450AA1C5" w14:textId="02535B7A">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476C5E">
              <w:rPr>
                <w:rFonts w:ascii="Verdana" w:hAnsi="Verdana" w:cs="Arial"/>
                <w:i/>
                <w:iCs/>
                <w:sz w:val="18"/>
                <w:szCs w:val="18"/>
              </w:rPr>
              <w:t>ichtlijn openbaar overnamebod</w:t>
            </w:r>
          </w:p>
        </w:tc>
        <w:tc>
          <w:tcPr>
            <w:tcW w:w="3620" w:type="dxa"/>
          </w:tcPr>
          <w:p w:rsidRPr="007456D5" w:rsidR="00476C5E" w:rsidP="007D25C5" w:rsidRDefault="00476C5E" w14:paraId="43ECD8E2" w14:textId="1F4AA926">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2004/25/EG betreffende het openbaar overnamebod</w:t>
            </w:r>
          </w:p>
        </w:tc>
      </w:tr>
      <w:tr w:rsidRPr="007456D5" w:rsidR="00063C23" w:rsidTr="00C04CC7" w14:paraId="7B043B63" w14:textId="77777777">
        <w:tc>
          <w:tcPr>
            <w:tcW w:w="3620" w:type="dxa"/>
          </w:tcPr>
          <w:p w:rsidRPr="007456D5" w:rsidR="00063C23" w:rsidP="007D25C5" w:rsidRDefault="00063C23" w14:paraId="4644A46C" w14:textId="39563F93">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richtlijn prudentieel toezicht beleggingsondernemingen</w:t>
            </w:r>
          </w:p>
        </w:tc>
        <w:tc>
          <w:tcPr>
            <w:tcW w:w="3620" w:type="dxa"/>
          </w:tcPr>
          <w:p w:rsidRPr="007456D5" w:rsidR="00063C23" w:rsidP="007D25C5" w:rsidRDefault="00063C23" w14:paraId="5264AB16" w14:textId="0BB1683C">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2019/2034 betreffende het prudentiële toezicht op beleggingsondernemingen</w:t>
            </w:r>
          </w:p>
        </w:tc>
      </w:tr>
      <w:tr w:rsidRPr="007456D5" w:rsidR="00476C5E" w:rsidTr="00C04CC7" w14:paraId="6F4EA2E3" w14:textId="77777777">
        <w:tc>
          <w:tcPr>
            <w:tcW w:w="3620" w:type="dxa"/>
          </w:tcPr>
          <w:p w:rsidRPr="007456D5" w:rsidR="00476C5E" w:rsidP="007D25C5" w:rsidRDefault="008930D2" w14:paraId="2AF6D69B" w14:textId="5144864D">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476C5E">
              <w:rPr>
                <w:rFonts w:ascii="Verdana" w:hAnsi="Verdana" w:cs="Arial"/>
                <w:i/>
                <w:iCs/>
                <w:sz w:val="18"/>
                <w:szCs w:val="18"/>
              </w:rPr>
              <w:t>ichtlijn solvabiliteit II</w:t>
            </w:r>
          </w:p>
        </w:tc>
        <w:tc>
          <w:tcPr>
            <w:tcW w:w="3620" w:type="dxa"/>
          </w:tcPr>
          <w:p w:rsidRPr="007456D5" w:rsidR="00476C5E" w:rsidP="007D25C5" w:rsidRDefault="00476C5E" w14:paraId="5A93B333" w14:textId="5CD85BC1">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2009/138/EG betreffende de toegang tot en uitoefening van het verzekerings- en het herverzekeringsbedrijf</w:t>
            </w:r>
          </w:p>
        </w:tc>
      </w:tr>
      <w:tr w:rsidRPr="007456D5" w:rsidR="00476C5E" w:rsidTr="00C04CC7" w14:paraId="652E8D47" w14:textId="77777777">
        <w:tc>
          <w:tcPr>
            <w:tcW w:w="3620" w:type="dxa"/>
          </w:tcPr>
          <w:p w:rsidRPr="007456D5" w:rsidR="00476C5E" w:rsidP="007D25C5" w:rsidRDefault="008930D2" w14:paraId="414F4D66" w14:textId="718F0911">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w:t>
            </w:r>
            <w:r w:rsidRPr="007456D5" w:rsidR="00476C5E">
              <w:rPr>
                <w:rFonts w:ascii="Verdana" w:hAnsi="Verdana" w:cs="Arial"/>
                <w:i/>
                <w:iCs/>
                <w:sz w:val="18"/>
                <w:szCs w:val="18"/>
              </w:rPr>
              <w:t>ichtlijn transparantie</w:t>
            </w:r>
          </w:p>
        </w:tc>
        <w:tc>
          <w:tcPr>
            <w:tcW w:w="3620" w:type="dxa"/>
          </w:tcPr>
          <w:p w:rsidRPr="007456D5" w:rsidR="00476C5E" w:rsidP="007D25C5" w:rsidRDefault="00476C5E" w14:paraId="1A590C03" w14:textId="23062AEC">
            <w:pPr>
              <w:widowControl w:val="0"/>
              <w:tabs>
                <w:tab w:val="num" w:pos="720"/>
              </w:tabs>
              <w:spacing w:line="240" w:lineRule="exact"/>
              <w:contextualSpacing/>
              <w:rPr>
                <w:rFonts w:ascii="Verdana" w:hAnsi="Verdana"/>
                <w:sz w:val="18"/>
                <w:szCs w:val="18"/>
              </w:rPr>
            </w:pPr>
            <w:r w:rsidRPr="007456D5">
              <w:rPr>
                <w:rFonts w:ascii="Verdana" w:hAnsi="Verdana"/>
                <w:sz w:val="18"/>
                <w:szCs w:val="18"/>
              </w:rPr>
              <w:t xml:space="preserve">Richtlijn nr. 2004/109/EG van het Europees Parlement en de Raad van de Europese Unie van 15 december 2004 betreffende de transparantievereisten die gelden voor informatie over uitgevende instellingen waarvan effecten tot de handel op een gereglementeerde markt zijn toegelaten </w:t>
            </w:r>
          </w:p>
        </w:tc>
      </w:tr>
      <w:tr w:rsidRPr="007456D5" w:rsidR="00CA7336" w:rsidTr="00C04CC7" w14:paraId="129028ED" w14:textId="77777777">
        <w:tc>
          <w:tcPr>
            <w:tcW w:w="3620" w:type="dxa"/>
          </w:tcPr>
          <w:p w:rsidRPr="007456D5" w:rsidR="00CA7336" w:rsidP="007D25C5" w:rsidRDefault="00CA7336" w14:paraId="535AE05C" w14:textId="651F2800">
            <w:pPr>
              <w:widowControl w:val="0"/>
              <w:tabs>
                <w:tab w:val="num" w:pos="720"/>
              </w:tabs>
              <w:spacing w:line="240" w:lineRule="exact"/>
              <w:contextualSpacing/>
              <w:rPr>
                <w:rFonts w:ascii="Verdana" w:hAnsi="Verdana" w:cs="Arial"/>
                <w:i/>
                <w:iCs/>
                <w:sz w:val="18"/>
                <w:szCs w:val="18"/>
              </w:rPr>
            </w:pPr>
            <w:r w:rsidRPr="007456D5">
              <w:rPr>
                <w:rFonts w:ascii="Verdana" w:hAnsi="Verdana" w:cs="Arial"/>
                <w:i/>
                <w:iCs/>
                <w:sz w:val="18"/>
                <w:szCs w:val="18"/>
              </w:rPr>
              <w:t>richtlijn verzekeringsdistributie</w:t>
            </w:r>
          </w:p>
        </w:tc>
        <w:tc>
          <w:tcPr>
            <w:tcW w:w="3620" w:type="dxa"/>
          </w:tcPr>
          <w:p w:rsidRPr="007456D5" w:rsidR="00CA7336" w:rsidP="007D25C5" w:rsidRDefault="00CA7336" w14:paraId="605E091B" w14:textId="608CFAED">
            <w:pPr>
              <w:widowControl w:val="0"/>
              <w:tabs>
                <w:tab w:val="num" w:pos="720"/>
              </w:tabs>
              <w:spacing w:line="240" w:lineRule="exact"/>
              <w:contextualSpacing/>
              <w:rPr>
                <w:rFonts w:ascii="Verdana" w:hAnsi="Verdana"/>
                <w:sz w:val="18"/>
                <w:szCs w:val="18"/>
              </w:rPr>
            </w:pPr>
            <w:r w:rsidRPr="007456D5">
              <w:rPr>
                <w:rFonts w:ascii="Verdana" w:hAnsi="Verdana"/>
                <w:sz w:val="18"/>
                <w:szCs w:val="18"/>
              </w:rPr>
              <w:t>Richtlijn (EU) 2016/97 betreffende verzekeringsdistributie</w:t>
            </w:r>
          </w:p>
        </w:tc>
      </w:tr>
      <w:tr w:rsidRPr="007456D5" w:rsidR="00476C5E" w:rsidTr="00C04CC7" w14:paraId="38C58508" w14:textId="77777777">
        <w:tc>
          <w:tcPr>
            <w:tcW w:w="3620" w:type="dxa"/>
          </w:tcPr>
          <w:p w:rsidRPr="007456D5" w:rsidR="00476C5E" w:rsidP="007D25C5" w:rsidRDefault="003C0AD5" w14:paraId="1E00A870" w14:textId="09129B5F">
            <w:pPr>
              <w:widowControl w:val="0"/>
              <w:tabs>
                <w:tab w:val="num" w:pos="720"/>
              </w:tabs>
              <w:spacing w:line="240" w:lineRule="exact"/>
              <w:contextualSpacing/>
              <w:rPr>
                <w:rFonts w:ascii="Verdana" w:hAnsi="Verdana" w:cs="Arial"/>
                <w:b/>
                <w:sz w:val="18"/>
                <w:szCs w:val="18"/>
              </w:rPr>
            </w:pPr>
            <w:r>
              <w:rPr>
                <w:rFonts w:ascii="Verdana" w:hAnsi="Verdana"/>
                <w:i/>
                <w:sz w:val="18"/>
                <w:szCs w:val="18"/>
              </w:rPr>
              <w:t>Rtt</w:t>
            </w:r>
          </w:p>
        </w:tc>
        <w:tc>
          <w:tcPr>
            <w:tcW w:w="3620" w:type="dxa"/>
          </w:tcPr>
          <w:p w:rsidRPr="007456D5" w:rsidR="00476C5E" w:rsidP="007D25C5" w:rsidRDefault="003C0AD5" w14:paraId="1A4A8B0F" w14:textId="3446FC3E">
            <w:pPr>
              <w:widowControl w:val="0"/>
              <w:tabs>
                <w:tab w:val="num" w:pos="720"/>
              </w:tabs>
              <w:spacing w:line="240" w:lineRule="exact"/>
              <w:contextualSpacing/>
              <w:rPr>
                <w:rFonts w:ascii="Verdana" w:hAnsi="Verdana" w:cs="Arial"/>
                <w:b/>
                <w:sz w:val="18"/>
                <w:szCs w:val="18"/>
              </w:rPr>
            </w:pPr>
            <w:r w:rsidRPr="003C0AD5">
              <w:rPr>
                <w:rFonts w:ascii="Verdana" w:hAnsi="Verdana"/>
                <w:sz w:val="18"/>
                <w:szCs w:val="18"/>
              </w:rPr>
              <w:t>Regeling taakuitoefening toezichthouders Wft</w:t>
            </w:r>
          </w:p>
        </w:tc>
      </w:tr>
      <w:tr w:rsidRPr="007456D5" w:rsidR="00476C5E" w:rsidTr="00C04CC7" w14:paraId="069959A6" w14:textId="77777777">
        <w:tc>
          <w:tcPr>
            <w:tcW w:w="3620" w:type="dxa"/>
          </w:tcPr>
          <w:p w:rsidRPr="007456D5" w:rsidR="00476C5E" w:rsidP="007D25C5" w:rsidRDefault="00476C5E" w14:paraId="7CF79BE3" w14:textId="77E83787">
            <w:pPr>
              <w:widowControl w:val="0"/>
              <w:tabs>
                <w:tab w:val="num" w:pos="720"/>
              </w:tabs>
              <w:spacing w:line="240" w:lineRule="exact"/>
              <w:contextualSpacing/>
              <w:rPr>
                <w:rFonts w:ascii="Verdana" w:hAnsi="Verdana" w:cs="Arial"/>
                <w:bCs/>
                <w:i/>
                <w:iCs/>
                <w:sz w:val="18"/>
                <w:szCs w:val="18"/>
              </w:rPr>
            </w:pPr>
            <w:r w:rsidRPr="007456D5">
              <w:rPr>
                <w:rFonts w:ascii="Verdana" w:hAnsi="Verdana" w:cs="Arial"/>
                <w:bCs/>
                <w:i/>
                <w:iCs/>
                <w:sz w:val="18"/>
                <w:szCs w:val="18"/>
              </w:rPr>
              <w:t>PW</w:t>
            </w:r>
          </w:p>
        </w:tc>
        <w:tc>
          <w:tcPr>
            <w:tcW w:w="3620" w:type="dxa"/>
          </w:tcPr>
          <w:p w:rsidRPr="007456D5" w:rsidR="00476C5E" w:rsidP="007D25C5" w:rsidRDefault="00476C5E" w14:paraId="42245338" w14:textId="04E82860">
            <w:pPr>
              <w:widowControl w:val="0"/>
              <w:tabs>
                <w:tab w:val="num" w:pos="720"/>
              </w:tabs>
              <w:spacing w:line="240" w:lineRule="exact"/>
              <w:contextualSpacing/>
              <w:rPr>
                <w:rFonts w:ascii="Verdana" w:hAnsi="Verdana" w:cs="Arial"/>
                <w:bCs/>
                <w:sz w:val="18"/>
                <w:szCs w:val="18"/>
              </w:rPr>
            </w:pPr>
            <w:r w:rsidRPr="007456D5">
              <w:rPr>
                <w:rFonts w:ascii="Verdana" w:hAnsi="Verdana" w:cs="Arial"/>
                <w:bCs/>
                <w:sz w:val="18"/>
                <w:szCs w:val="18"/>
              </w:rPr>
              <w:t>Pensioenwet</w:t>
            </w:r>
          </w:p>
        </w:tc>
      </w:tr>
      <w:tr w:rsidRPr="007456D5" w:rsidR="00476C5E" w:rsidTr="00C04CC7" w14:paraId="336A6BD2" w14:textId="77777777">
        <w:tc>
          <w:tcPr>
            <w:tcW w:w="3620" w:type="dxa"/>
          </w:tcPr>
          <w:p w:rsidRPr="007456D5" w:rsidR="00476C5E" w:rsidP="007D25C5" w:rsidRDefault="008930D2" w14:paraId="00F2610F" w14:textId="389BE6A3">
            <w:pPr>
              <w:widowControl w:val="0"/>
              <w:tabs>
                <w:tab w:val="num" w:pos="720"/>
              </w:tabs>
              <w:spacing w:line="240" w:lineRule="exact"/>
              <w:contextualSpacing/>
              <w:rPr>
                <w:rFonts w:ascii="Verdana" w:hAnsi="Verdana" w:cs="Arial"/>
                <w:bCs/>
                <w:i/>
                <w:iCs/>
                <w:sz w:val="18"/>
                <w:szCs w:val="18"/>
              </w:rPr>
            </w:pPr>
            <w:r w:rsidRPr="007456D5">
              <w:rPr>
                <w:rFonts w:ascii="Verdana" w:hAnsi="Verdana" w:cs="Arial"/>
                <w:bCs/>
                <w:i/>
                <w:iCs/>
                <w:sz w:val="18"/>
                <w:szCs w:val="18"/>
              </w:rPr>
              <w:t>v</w:t>
            </w:r>
            <w:r w:rsidRPr="007456D5" w:rsidR="00476C5E">
              <w:rPr>
                <w:rFonts w:ascii="Verdana" w:hAnsi="Verdana" w:cs="Arial"/>
                <w:bCs/>
                <w:i/>
                <w:iCs/>
                <w:sz w:val="18"/>
                <w:szCs w:val="18"/>
              </w:rPr>
              <w:t>erordening oprichting ESAP</w:t>
            </w:r>
          </w:p>
        </w:tc>
        <w:tc>
          <w:tcPr>
            <w:tcW w:w="3620" w:type="dxa"/>
          </w:tcPr>
          <w:p w:rsidRPr="007456D5" w:rsidR="00476C5E" w:rsidP="007D25C5" w:rsidRDefault="00476C5E" w14:paraId="6D821B9E" w14:textId="2E6F2C1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tc>
      </w:tr>
      <w:tr w:rsidRPr="007456D5" w:rsidR="00476C5E" w:rsidTr="00C04CC7" w14:paraId="6C0DAE4A" w14:textId="77777777">
        <w:tc>
          <w:tcPr>
            <w:tcW w:w="3620" w:type="dxa"/>
          </w:tcPr>
          <w:p w:rsidRPr="007456D5" w:rsidR="00476C5E" w:rsidP="007D25C5" w:rsidRDefault="00476C5E" w14:paraId="4410E1AA" w14:textId="2F6719E6">
            <w:pPr>
              <w:widowControl w:val="0"/>
              <w:tabs>
                <w:tab w:val="num" w:pos="720"/>
              </w:tabs>
              <w:spacing w:line="240" w:lineRule="exact"/>
              <w:contextualSpacing/>
              <w:rPr>
                <w:rFonts w:ascii="Verdana" w:hAnsi="Verdana" w:cs="Arial"/>
                <w:bCs/>
                <w:i/>
                <w:iCs/>
                <w:sz w:val="18"/>
                <w:szCs w:val="18"/>
              </w:rPr>
            </w:pPr>
            <w:r w:rsidRPr="007456D5">
              <w:rPr>
                <w:rFonts w:ascii="Verdana" w:hAnsi="Verdana" w:cs="Arial"/>
                <w:bCs/>
                <w:i/>
                <w:iCs/>
                <w:sz w:val="18"/>
                <w:szCs w:val="18"/>
              </w:rPr>
              <w:t>Wft</w:t>
            </w:r>
          </w:p>
        </w:tc>
        <w:tc>
          <w:tcPr>
            <w:tcW w:w="3620" w:type="dxa"/>
          </w:tcPr>
          <w:p w:rsidRPr="007456D5" w:rsidR="00476C5E" w:rsidP="007D25C5" w:rsidRDefault="00476C5E" w14:paraId="56ADFE9D" w14:textId="24DEF80B">
            <w:pPr>
              <w:widowControl w:val="0"/>
              <w:tabs>
                <w:tab w:val="num" w:pos="720"/>
              </w:tabs>
              <w:spacing w:line="240" w:lineRule="exact"/>
              <w:contextualSpacing/>
              <w:rPr>
                <w:rFonts w:ascii="Verdana" w:hAnsi="Verdana" w:cs="Arial"/>
                <w:bCs/>
                <w:sz w:val="18"/>
                <w:szCs w:val="18"/>
              </w:rPr>
            </w:pPr>
            <w:r w:rsidRPr="007456D5">
              <w:rPr>
                <w:rFonts w:ascii="Verdana" w:hAnsi="Verdana" w:cs="Arial"/>
                <w:bCs/>
                <w:sz w:val="18"/>
                <w:szCs w:val="18"/>
              </w:rPr>
              <w:t>Wet op het financieel toezicht</w:t>
            </w:r>
          </w:p>
        </w:tc>
      </w:tr>
      <w:tr w:rsidRPr="007456D5" w:rsidR="00476C5E" w:rsidTr="00C04CC7" w14:paraId="0A07A000" w14:textId="77777777">
        <w:tc>
          <w:tcPr>
            <w:tcW w:w="3620" w:type="dxa"/>
          </w:tcPr>
          <w:p w:rsidRPr="007456D5" w:rsidR="00476C5E" w:rsidP="007D25C5" w:rsidRDefault="00476C5E" w14:paraId="7A4E0794" w14:textId="482954AF">
            <w:pPr>
              <w:widowControl w:val="0"/>
              <w:tabs>
                <w:tab w:val="num" w:pos="720"/>
              </w:tabs>
              <w:spacing w:line="240" w:lineRule="exact"/>
              <w:contextualSpacing/>
              <w:rPr>
                <w:rFonts w:ascii="Verdana" w:hAnsi="Verdana" w:cs="Arial"/>
                <w:bCs/>
                <w:i/>
                <w:iCs/>
                <w:sz w:val="18"/>
                <w:szCs w:val="18"/>
              </w:rPr>
            </w:pPr>
            <w:proofErr w:type="spellStart"/>
            <w:r w:rsidRPr="007456D5">
              <w:rPr>
                <w:rFonts w:ascii="Verdana" w:hAnsi="Verdana" w:cs="Arial"/>
                <w:bCs/>
                <w:i/>
                <w:iCs/>
                <w:sz w:val="18"/>
                <w:szCs w:val="18"/>
              </w:rPr>
              <w:t>Wvb</w:t>
            </w:r>
            <w:proofErr w:type="spellEnd"/>
          </w:p>
        </w:tc>
        <w:tc>
          <w:tcPr>
            <w:tcW w:w="3620" w:type="dxa"/>
          </w:tcPr>
          <w:p w:rsidRPr="007456D5" w:rsidR="00476C5E" w:rsidP="007D25C5" w:rsidRDefault="00476C5E" w14:paraId="1E85B1ED" w14:textId="54261934">
            <w:pPr>
              <w:widowControl w:val="0"/>
              <w:tabs>
                <w:tab w:val="num" w:pos="720"/>
              </w:tabs>
              <w:spacing w:line="240" w:lineRule="exact"/>
              <w:contextualSpacing/>
              <w:rPr>
                <w:rFonts w:ascii="Verdana" w:hAnsi="Verdana" w:cs="Arial"/>
                <w:bCs/>
                <w:sz w:val="18"/>
                <w:szCs w:val="18"/>
              </w:rPr>
            </w:pPr>
            <w:r w:rsidRPr="007456D5">
              <w:rPr>
                <w:rFonts w:ascii="Verdana" w:hAnsi="Verdana" w:cs="Arial"/>
                <w:bCs/>
                <w:sz w:val="18"/>
                <w:szCs w:val="18"/>
              </w:rPr>
              <w:t>Wet verplichte beroepspensioenregeling</w:t>
            </w:r>
          </w:p>
        </w:tc>
      </w:tr>
    </w:tbl>
    <w:p w:rsidRPr="007456D5" w:rsidR="00C04CC7" w:rsidP="007D25C5" w:rsidRDefault="00C04CC7" w14:paraId="3D7AF3CF" w14:textId="77777777">
      <w:pPr>
        <w:widowControl w:val="0"/>
        <w:tabs>
          <w:tab w:val="num" w:pos="720"/>
        </w:tabs>
        <w:spacing w:line="240" w:lineRule="exact"/>
        <w:contextualSpacing/>
        <w:rPr>
          <w:rFonts w:ascii="Verdana" w:hAnsi="Verdana" w:cs="Arial"/>
          <w:b/>
          <w:sz w:val="18"/>
          <w:szCs w:val="18"/>
        </w:rPr>
      </w:pPr>
    </w:p>
    <w:p w:rsidRPr="007456D5" w:rsidR="00E11F93" w:rsidP="007D25C5" w:rsidRDefault="00E11F93" w14:paraId="095EE3E7" w14:textId="77777777">
      <w:pPr>
        <w:widowControl w:val="0"/>
        <w:tabs>
          <w:tab w:val="num" w:pos="720"/>
        </w:tabs>
        <w:spacing w:line="240" w:lineRule="exact"/>
        <w:contextualSpacing/>
        <w:rPr>
          <w:rFonts w:ascii="Verdana" w:hAnsi="Verdana" w:cs="Arial"/>
          <w:b/>
          <w:sz w:val="18"/>
          <w:szCs w:val="18"/>
        </w:rPr>
      </w:pPr>
    </w:p>
    <w:p w:rsidR="00095537" w:rsidRDefault="00095537" w14:paraId="6BCCAA9C" w14:textId="77777777">
      <w:pPr>
        <w:rPr>
          <w:rFonts w:ascii="Verdana" w:hAnsi="Verdana" w:cs="Arial"/>
          <w:b/>
          <w:sz w:val="18"/>
          <w:szCs w:val="18"/>
        </w:rPr>
      </w:pPr>
      <w:r>
        <w:rPr>
          <w:rFonts w:ascii="Verdana" w:hAnsi="Verdana" w:cs="Arial"/>
          <w:b/>
          <w:sz w:val="18"/>
          <w:szCs w:val="18"/>
        </w:rPr>
        <w:br w:type="page"/>
      </w:r>
    </w:p>
    <w:p w:rsidRPr="007456D5" w:rsidR="00E11F93" w:rsidP="007D25C5" w:rsidRDefault="00E11F93" w14:paraId="1FEDF77E" w14:textId="6BEFDBB5">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lastRenderedPageBreak/>
        <w:t>Transponeringstabel verordening oprichting ESAP</w:t>
      </w:r>
    </w:p>
    <w:p w:rsidRPr="007456D5" w:rsidR="00CB554D" w:rsidP="007D25C5" w:rsidRDefault="00CB554D" w14:paraId="65B25B81" w14:textId="77777777">
      <w:pPr>
        <w:widowControl w:val="0"/>
        <w:tabs>
          <w:tab w:val="num" w:pos="720"/>
        </w:tabs>
        <w:spacing w:line="240" w:lineRule="exact"/>
        <w:contextualSpacing/>
        <w:rPr>
          <w:rFonts w:ascii="Verdana" w:hAnsi="Verdana" w:cs="Arial"/>
          <w:sz w:val="18"/>
          <w:szCs w:val="18"/>
        </w:rPr>
      </w:pPr>
    </w:p>
    <w:tbl>
      <w:tblPr>
        <w:tblStyle w:val="Tabelraster1"/>
        <w:tblW w:w="0" w:type="auto"/>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1721"/>
        <w:gridCol w:w="1971"/>
        <w:gridCol w:w="1729"/>
        <w:gridCol w:w="1819"/>
      </w:tblGrid>
      <w:tr w:rsidRPr="007456D5" w:rsidR="00CB554D" w:rsidTr="007F0E9C" w14:paraId="70CF7BEC" w14:textId="77777777">
        <w:tc>
          <w:tcPr>
            <w:tcW w:w="2140" w:type="dxa"/>
            <w:shd w:val="clear" w:color="auto" w:fill="EEECE1"/>
          </w:tcPr>
          <w:p w:rsidRPr="007456D5" w:rsidR="00CB554D" w:rsidP="007D25C5" w:rsidRDefault="00C04CC7" w14:paraId="066D5396" w14:textId="4E8BF095">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Verordening oprichting ESAP</w:t>
            </w:r>
          </w:p>
        </w:tc>
        <w:tc>
          <w:tcPr>
            <w:tcW w:w="2510" w:type="dxa"/>
            <w:shd w:val="clear" w:color="auto" w:fill="EEECE1"/>
          </w:tcPr>
          <w:p w:rsidRPr="007456D5" w:rsidR="00CB554D" w:rsidP="007D25C5" w:rsidRDefault="00CB554D" w14:paraId="5CEB8B52" w14:textId="1B2EB624">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Bepaling in implementatieregeling of bestaande regeling</w:t>
            </w:r>
          </w:p>
        </w:tc>
        <w:tc>
          <w:tcPr>
            <w:tcW w:w="2205" w:type="dxa"/>
            <w:shd w:val="clear" w:color="auto" w:fill="EEECE1"/>
          </w:tcPr>
          <w:p w:rsidRPr="007456D5" w:rsidR="00CB554D" w:rsidP="007D25C5" w:rsidRDefault="00CB554D" w14:paraId="534CC266"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Omschrijving beleidsruimte</w:t>
            </w:r>
          </w:p>
        </w:tc>
        <w:tc>
          <w:tcPr>
            <w:tcW w:w="2205" w:type="dxa"/>
            <w:shd w:val="clear" w:color="auto" w:fill="EEECE1"/>
          </w:tcPr>
          <w:p w:rsidRPr="007456D5" w:rsidR="00CB554D" w:rsidP="007D25C5" w:rsidRDefault="00CB554D" w14:paraId="42CA9553"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Toelichting op de keuze(n) bij de invulling van de beleidsruimte</w:t>
            </w:r>
          </w:p>
        </w:tc>
      </w:tr>
      <w:tr w:rsidRPr="007456D5" w:rsidR="00CB554D" w:rsidTr="007F0E9C" w14:paraId="40DF9B02" w14:textId="77777777">
        <w:tc>
          <w:tcPr>
            <w:tcW w:w="2140" w:type="dxa"/>
          </w:tcPr>
          <w:p w:rsidRPr="007456D5" w:rsidR="00CB554D" w:rsidP="007D25C5" w:rsidRDefault="00CB554D" w14:paraId="62D206B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eerste lid</w:t>
            </w:r>
          </w:p>
        </w:tc>
        <w:tc>
          <w:tcPr>
            <w:tcW w:w="2510" w:type="dxa"/>
          </w:tcPr>
          <w:p w:rsidRPr="007456D5" w:rsidR="00CB554D" w:rsidP="007D25C5" w:rsidRDefault="00CB554D" w14:paraId="2E588F9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is gericht tot ESMA.</w:t>
            </w:r>
          </w:p>
        </w:tc>
        <w:tc>
          <w:tcPr>
            <w:tcW w:w="2205" w:type="dxa"/>
          </w:tcPr>
          <w:p w:rsidRPr="007456D5" w:rsidR="00CB554D" w:rsidP="007D25C5" w:rsidRDefault="00CB554D" w14:paraId="1689906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674FB75"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869DA68" w14:textId="77777777">
        <w:tc>
          <w:tcPr>
            <w:tcW w:w="2140" w:type="dxa"/>
          </w:tcPr>
          <w:p w:rsidRPr="007456D5" w:rsidR="00CB554D" w:rsidP="007D25C5" w:rsidRDefault="00CB554D" w14:paraId="5D4A7DF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tweede lid</w:t>
            </w:r>
          </w:p>
        </w:tc>
        <w:tc>
          <w:tcPr>
            <w:tcW w:w="2510" w:type="dxa"/>
          </w:tcPr>
          <w:p w:rsidRPr="007456D5" w:rsidR="00CB554D" w:rsidP="007D25C5" w:rsidRDefault="00CB554D" w14:paraId="0DCEFED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59143C79"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860E62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B0D2118" w14:textId="77777777">
        <w:tc>
          <w:tcPr>
            <w:tcW w:w="2140" w:type="dxa"/>
          </w:tcPr>
          <w:p w:rsidRPr="007456D5" w:rsidR="00CB554D" w:rsidP="007D25C5" w:rsidRDefault="00CB554D" w14:paraId="4FEC8DD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derde lid</w:t>
            </w:r>
          </w:p>
        </w:tc>
        <w:tc>
          <w:tcPr>
            <w:tcW w:w="2510" w:type="dxa"/>
          </w:tcPr>
          <w:p w:rsidRPr="007456D5" w:rsidR="00CB554D" w:rsidP="007D25C5" w:rsidRDefault="00CB554D" w14:paraId="410A449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verzamelende instanties die organen of instanties van de Unie zijn.</w:t>
            </w:r>
          </w:p>
        </w:tc>
        <w:tc>
          <w:tcPr>
            <w:tcW w:w="2205" w:type="dxa"/>
          </w:tcPr>
          <w:p w:rsidRPr="007456D5" w:rsidR="00CB554D" w:rsidP="007D25C5" w:rsidRDefault="00CB554D" w14:paraId="41F5A29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76AE62E"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A09C9CE" w14:textId="77777777">
        <w:tc>
          <w:tcPr>
            <w:tcW w:w="2140" w:type="dxa"/>
          </w:tcPr>
          <w:p w:rsidRPr="007456D5" w:rsidR="00CB554D" w:rsidP="007D25C5" w:rsidRDefault="00CB554D" w14:paraId="31BB59E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w:t>
            </w:r>
          </w:p>
        </w:tc>
        <w:tc>
          <w:tcPr>
            <w:tcW w:w="2510" w:type="dxa"/>
          </w:tcPr>
          <w:p w:rsidRPr="007456D5" w:rsidR="00CB554D" w:rsidP="007D25C5" w:rsidRDefault="00CB554D" w14:paraId="7B74D7F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 (definities).</w:t>
            </w:r>
          </w:p>
        </w:tc>
        <w:tc>
          <w:tcPr>
            <w:tcW w:w="2205" w:type="dxa"/>
          </w:tcPr>
          <w:p w:rsidRPr="007456D5" w:rsidR="00CB554D" w:rsidP="007D25C5" w:rsidRDefault="00CB554D" w14:paraId="4C8F2CC0"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BB496CC"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323E01C" w14:textId="77777777">
        <w:tc>
          <w:tcPr>
            <w:tcW w:w="2140" w:type="dxa"/>
          </w:tcPr>
          <w:p w:rsidRPr="007456D5" w:rsidR="00CB554D" w:rsidP="007D25C5" w:rsidRDefault="00CB554D" w14:paraId="748FB86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 eerste lid</w:t>
            </w:r>
          </w:p>
        </w:tc>
        <w:tc>
          <w:tcPr>
            <w:tcW w:w="2510" w:type="dxa"/>
          </w:tcPr>
          <w:p w:rsidRPr="007456D5" w:rsidR="00CB554D" w:rsidP="007D25C5" w:rsidRDefault="00CB554D" w14:paraId="48A3309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hun aard geen implementatie, hebben rechtstreekse werking.</w:t>
            </w:r>
          </w:p>
        </w:tc>
        <w:tc>
          <w:tcPr>
            <w:tcW w:w="2205" w:type="dxa"/>
          </w:tcPr>
          <w:p w:rsidRPr="007456D5" w:rsidR="00CB554D" w:rsidP="007D25C5" w:rsidRDefault="00CB554D" w14:paraId="378B3E5C"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3E429C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7F2051B" w14:textId="77777777">
        <w:tc>
          <w:tcPr>
            <w:tcW w:w="2140" w:type="dxa"/>
          </w:tcPr>
          <w:p w:rsidRPr="007456D5" w:rsidR="00CB554D" w:rsidP="007D25C5" w:rsidRDefault="00CB554D" w14:paraId="62594EC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 tweede lid</w:t>
            </w:r>
          </w:p>
        </w:tc>
        <w:tc>
          <w:tcPr>
            <w:tcW w:w="2510" w:type="dxa"/>
          </w:tcPr>
          <w:p w:rsidRPr="007456D5" w:rsidR="00CB554D" w:rsidP="007D25C5" w:rsidRDefault="00CB554D" w14:paraId="17307334" w14:textId="432D887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214DE1">
              <w:rPr>
                <w:rFonts w:ascii="Verdana" w:hAnsi="Verdana" w:cs="Arial"/>
                <w:sz w:val="18"/>
                <w:szCs w:val="18"/>
              </w:rPr>
              <w:t>110</w:t>
            </w:r>
            <w:r w:rsidRPr="007456D5">
              <w:rPr>
                <w:rFonts w:ascii="Verdana" w:hAnsi="Verdana" w:cs="Arial"/>
                <w:sz w:val="18"/>
                <w:szCs w:val="18"/>
              </w:rPr>
              <w:t xml:space="preserve">, </w:t>
            </w:r>
            <w:r w:rsidRPr="007456D5" w:rsidR="00E62FBD">
              <w:rPr>
                <w:rFonts w:ascii="Verdana" w:hAnsi="Verdana" w:cs="Arial"/>
                <w:sz w:val="18"/>
                <w:szCs w:val="18"/>
              </w:rPr>
              <w:t xml:space="preserve">eerste lid, </w:t>
            </w:r>
            <w:r w:rsidRPr="007456D5">
              <w:rPr>
                <w:rFonts w:ascii="Verdana" w:hAnsi="Verdana" w:cs="Arial"/>
                <w:sz w:val="18"/>
                <w:szCs w:val="18"/>
              </w:rPr>
              <w:t>Wft</w:t>
            </w:r>
          </w:p>
          <w:p w:rsidRPr="007456D5" w:rsidR="00CB554D" w:rsidP="007D25C5" w:rsidRDefault="00CB554D" w14:paraId="38C040DF" w14:textId="610B94D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205d, </w:t>
            </w:r>
            <w:r w:rsidRPr="007456D5" w:rsidR="00313470">
              <w:rPr>
                <w:rFonts w:ascii="Verdana" w:hAnsi="Verdana" w:cs="Arial"/>
                <w:sz w:val="18"/>
                <w:szCs w:val="18"/>
              </w:rPr>
              <w:t xml:space="preserve">derde lid, </w:t>
            </w:r>
            <w:r w:rsidRPr="007456D5">
              <w:rPr>
                <w:rFonts w:ascii="Verdana" w:hAnsi="Verdana" w:cs="Arial"/>
                <w:sz w:val="18"/>
                <w:szCs w:val="18"/>
              </w:rPr>
              <w:t>PW</w:t>
            </w:r>
          </w:p>
          <w:p w:rsidRPr="007456D5" w:rsidR="00CB554D" w:rsidP="007D25C5" w:rsidRDefault="00CB554D" w14:paraId="44482897" w14:textId="24DE329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w:t>
            </w:r>
            <w:r w:rsidRPr="007456D5" w:rsidR="00313470">
              <w:rPr>
                <w:rFonts w:ascii="Verdana" w:hAnsi="Verdana" w:cs="Arial"/>
                <w:sz w:val="18"/>
                <w:szCs w:val="18"/>
              </w:rPr>
              <w:t xml:space="preserve">derde lid, </w:t>
            </w:r>
            <w:proofErr w:type="spellStart"/>
            <w:r w:rsidRPr="007456D5">
              <w:rPr>
                <w:rFonts w:ascii="Verdana" w:hAnsi="Verdana" w:cs="Arial"/>
                <w:sz w:val="18"/>
                <w:szCs w:val="18"/>
              </w:rPr>
              <w:t>Wvb</w:t>
            </w:r>
            <w:proofErr w:type="spellEnd"/>
          </w:p>
          <w:p w:rsidRPr="007456D5" w:rsidR="00CB554D" w:rsidP="007D25C5" w:rsidRDefault="00CB554D" w14:paraId="76B73A44" w14:textId="2D5D0CF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52a, </w:t>
            </w:r>
            <w:r w:rsidRPr="007456D5" w:rsidR="00313470">
              <w:rPr>
                <w:rFonts w:ascii="Verdana" w:hAnsi="Verdana" w:cs="Arial"/>
                <w:sz w:val="18"/>
                <w:szCs w:val="18"/>
              </w:rPr>
              <w:t xml:space="preserve">eerste lid, </w:t>
            </w:r>
            <w:proofErr w:type="spellStart"/>
            <w:r w:rsidRPr="007456D5">
              <w:rPr>
                <w:rFonts w:ascii="Verdana" w:hAnsi="Verdana" w:cs="Arial"/>
                <w:sz w:val="18"/>
                <w:szCs w:val="18"/>
              </w:rPr>
              <w:t>Hrw</w:t>
            </w:r>
            <w:proofErr w:type="spellEnd"/>
            <w:r w:rsidRPr="007456D5">
              <w:rPr>
                <w:rFonts w:ascii="Verdana" w:hAnsi="Verdana" w:cs="Arial"/>
                <w:sz w:val="18"/>
                <w:szCs w:val="18"/>
              </w:rPr>
              <w:t xml:space="preserve"> </w:t>
            </w:r>
          </w:p>
        </w:tc>
        <w:tc>
          <w:tcPr>
            <w:tcW w:w="2205" w:type="dxa"/>
          </w:tcPr>
          <w:p w:rsidRPr="007456D5" w:rsidR="00CB554D" w:rsidP="007D25C5" w:rsidRDefault="00CB554D" w14:paraId="6E43484C"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63986B8" w14:textId="55405F6F">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In lijn met de aanwijzing van verzamelende instanties conform </w:t>
            </w:r>
            <w:r w:rsidR="00A65911">
              <w:rPr>
                <w:rFonts w:ascii="Verdana" w:hAnsi="Verdana" w:cs="Arial"/>
                <w:sz w:val="18"/>
                <w:szCs w:val="18"/>
              </w:rPr>
              <w:t>richtlijn ESAP</w:t>
            </w:r>
          </w:p>
        </w:tc>
      </w:tr>
      <w:tr w:rsidRPr="007456D5" w:rsidR="00CB554D" w:rsidTr="007F0E9C" w14:paraId="22FDE7F7" w14:textId="77777777">
        <w:tc>
          <w:tcPr>
            <w:tcW w:w="2140" w:type="dxa"/>
          </w:tcPr>
          <w:p w:rsidRPr="007456D5" w:rsidR="00CB554D" w:rsidP="007D25C5" w:rsidRDefault="00CB554D" w14:paraId="6ABAA27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 derde en vierde lid</w:t>
            </w:r>
          </w:p>
        </w:tc>
        <w:tc>
          <w:tcPr>
            <w:tcW w:w="2510" w:type="dxa"/>
          </w:tcPr>
          <w:p w:rsidRPr="007456D5" w:rsidR="00CB554D" w:rsidP="007D25C5" w:rsidRDefault="00CB554D" w14:paraId="14F892C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zijn gericht tot de Europese toezichthoudende autoriteiten.</w:t>
            </w:r>
          </w:p>
        </w:tc>
        <w:tc>
          <w:tcPr>
            <w:tcW w:w="2205" w:type="dxa"/>
          </w:tcPr>
          <w:p w:rsidRPr="007456D5" w:rsidR="00CB554D" w:rsidP="007D25C5" w:rsidRDefault="00CB554D" w14:paraId="1F233EA0"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626364D"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8DAB024" w14:textId="77777777">
        <w:tc>
          <w:tcPr>
            <w:tcW w:w="2140" w:type="dxa"/>
          </w:tcPr>
          <w:p w:rsidRPr="007456D5" w:rsidR="00CB554D" w:rsidP="007D25C5" w:rsidRDefault="00CB554D" w14:paraId="01B8A6D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 vijfde lid</w:t>
            </w:r>
          </w:p>
        </w:tc>
        <w:tc>
          <w:tcPr>
            <w:tcW w:w="2510" w:type="dxa"/>
          </w:tcPr>
          <w:p w:rsidRPr="007456D5" w:rsidR="00CB554D" w:rsidP="007D25C5" w:rsidRDefault="00CB554D" w14:paraId="23E5D4E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4325AEB6"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7AC5236"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BB9F572" w14:textId="77777777">
        <w:tc>
          <w:tcPr>
            <w:tcW w:w="2140" w:type="dxa"/>
          </w:tcPr>
          <w:p w:rsidRPr="007456D5" w:rsidR="00CB554D" w:rsidP="007D25C5" w:rsidRDefault="00CB554D" w14:paraId="08A43CB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4</w:t>
            </w:r>
          </w:p>
        </w:tc>
        <w:tc>
          <w:tcPr>
            <w:tcW w:w="2510" w:type="dxa"/>
          </w:tcPr>
          <w:p w:rsidRPr="007456D5" w:rsidR="00CB554D" w:rsidP="007D25C5" w:rsidRDefault="00CB554D" w14:paraId="1FB9A74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is gericht tot ESMA.</w:t>
            </w:r>
          </w:p>
        </w:tc>
        <w:tc>
          <w:tcPr>
            <w:tcW w:w="2205" w:type="dxa"/>
          </w:tcPr>
          <w:p w:rsidRPr="007456D5" w:rsidR="00CB554D" w:rsidP="007D25C5" w:rsidRDefault="00CB554D" w14:paraId="3051FE4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4946380"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F78BCE6" w14:textId="77777777">
        <w:tc>
          <w:tcPr>
            <w:tcW w:w="2140" w:type="dxa"/>
          </w:tcPr>
          <w:p w:rsidRPr="007456D5" w:rsidR="00CB554D" w:rsidP="007D25C5" w:rsidRDefault="00CB554D" w14:paraId="080A0F5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eerste t/m vierde lid</w:t>
            </w:r>
          </w:p>
        </w:tc>
        <w:tc>
          <w:tcPr>
            <w:tcW w:w="2510" w:type="dxa"/>
          </w:tcPr>
          <w:p w:rsidRPr="007456D5" w:rsidR="00CB554D" w:rsidP="007D25C5" w:rsidRDefault="00CB554D" w14:paraId="04FBA99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zijn gericht tot verzamelende instanties.</w:t>
            </w:r>
          </w:p>
        </w:tc>
        <w:tc>
          <w:tcPr>
            <w:tcW w:w="2205" w:type="dxa"/>
          </w:tcPr>
          <w:p w:rsidRPr="007456D5" w:rsidR="00CB554D" w:rsidP="007D25C5" w:rsidRDefault="00CB554D" w14:paraId="45A6D589"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C5AB905"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F7AB5B6" w14:textId="77777777">
        <w:tc>
          <w:tcPr>
            <w:tcW w:w="2140" w:type="dxa"/>
          </w:tcPr>
          <w:p w:rsidRPr="007456D5" w:rsidR="00CB554D" w:rsidP="007D25C5" w:rsidRDefault="00CB554D" w14:paraId="45F3935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vijfde en zesde lid</w:t>
            </w:r>
          </w:p>
        </w:tc>
        <w:tc>
          <w:tcPr>
            <w:tcW w:w="2510" w:type="dxa"/>
          </w:tcPr>
          <w:p w:rsidRPr="007456D5" w:rsidR="00CB554D" w:rsidP="007D25C5" w:rsidRDefault="00CB554D" w14:paraId="2C68CEB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4BCE44D3"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3333B6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2901F4B" w14:textId="77777777">
        <w:tc>
          <w:tcPr>
            <w:tcW w:w="2140" w:type="dxa"/>
          </w:tcPr>
          <w:p w:rsidRPr="007456D5" w:rsidR="00CB554D" w:rsidP="007D25C5" w:rsidRDefault="00CB554D" w14:paraId="4199D20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zevende t/m negende lid, eerste zin</w:t>
            </w:r>
          </w:p>
        </w:tc>
        <w:tc>
          <w:tcPr>
            <w:tcW w:w="2510" w:type="dxa"/>
          </w:tcPr>
          <w:p w:rsidRPr="007456D5" w:rsidR="00CB554D" w:rsidP="007D25C5" w:rsidRDefault="00CB554D" w14:paraId="451BE26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zijn gericht tot verzamelende instanties.</w:t>
            </w:r>
          </w:p>
        </w:tc>
        <w:tc>
          <w:tcPr>
            <w:tcW w:w="2205" w:type="dxa"/>
          </w:tcPr>
          <w:p w:rsidRPr="007456D5" w:rsidR="00CB554D" w:rsidP="007D25C5" w:rsidRDefault="00CB554D" w14:paraId="59C9BDF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B8AB009"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9FF3D26" w14:textId="77777777">
        <w:tc>
          <w:tcPr>
            <w:tcW w:w="2140" w:type="dxa"/>
          </w:tcPr>
          <w:p w:rsidRPr="007456D5" w:rsidR="00CB554D" w:rsidP="007D25C5" w:rsidRDefault="00CB554D" w14:paraId="6E0D217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negende lid, tweede zin</w:t>
            </w:r>
          </w:p>
        </w:tc>
        <w:tc>
          <w:tcPr>
            <w:tcW w:w="2510" w:type="dxa"/>
          </w:tcPr>
          <w:p w:rsidRPr="007456D5" w:rsidR="00CB554D" w:rsidP="007D25C5" w:rsidRDefault="00CB554D" w14:paraId="08C8B17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Geen implementatie omdat niet gebruik wordt gemaakt van de lidstaatoptie.</w:t>
            </w:r>
          </w:p>
        </w:tc>
        <w:tc>
          <w:tcPr>
            <w:tcW w:w="2205" w:type="dxa"/>
          </w:tcPr>
          <w:p w:rsidRPr="007456D5" w:rsidR="00CB554D" w:rsidP="007D25C5" w:rsidRDefault="00CB554D" w14:paraId="164BE7E3" w14:textId="7A3C9CF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Dit is een lidstaatoptie om toe te staan dat de verzamelende instanties mogen eisen dat de door </w:t>
            </w:r>
            <w:r w:rsidRPr="007456D5" w:rsidR="003866F1">
              <w:rPr>
                <w:rFonts w:ascii="Verdana" w:hAnsi="Verdana" w:cs="Arial"/>
                <w:sz w:val="18"/>
                <w:szCs w:val="18"/>
              </w:rPr>
              <w:t>ondernemingen</w:t>
            </w:r>
            <w:r w:rsidRPr="007456D5">
              <w:rPr>
                <w:rFonts w:ascii="Verdana" w:hAnsi="Verdana" w:cs="Arial"/>
                <w:sz w:val="18"/>
                <w:szCs w:val="18"/>
              </w:rPr>
              <w:t xml:space="preserve"> ingediende informatie die toegankelijk moet worden gemaakt op het ESAP vergezeld gaat van een gekwalificeerd elektronisch zegel. </w:t>
            </w:r>
          </w:p>
        </w:tc>
        <w:tc>
          <w:tcPr>
            <w:tcW w:w="2205" w:type="dxa"/>
          </w:tcPr>
          <w:p w:rsidRPr="007456D5" w:rsidR="00CB554D" w:rsidP="007D25C5" w:rsidRDefault="00CB554D" w14:paraId="790BACE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Er zal geen </w:t>
            </w:r>
          </w:p>
          <w:p w:rsidRPr="007456D5" w:rsidR="00CB554D" w:rsidP="007D25C5" w:rsidRDefault="00CB554D" w14:paraId="4FF5180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gebruik worden gemaakt van deze lidstaatoptie aangezien het voorschrijven </w:t>
            </w:r>
          </w:p>
          <w:p w:rsidRPr="007456D5" w:rsidR="00CB554D" w:rsidP="007D25C5" w:rsidRDefault="00CB554D" w14:paraId="08A76CA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van een gekwalificeerd elektronisch zegel extra regeldruk voor het bedrijfsleven zal betekenen en ook weinig toegevoegde waarde lijkt te hebben. Ondernemingen kunnen wel vrijwillig de informatie met een gekwalificeerd elektronisch zegel aanleveren bij de verzamelende instanties.</w:t>
            </w:r>
          </w:p>
        </w:tc>
      </w:tr>
      <w:tr w:rsidRPr="007456D5" w:rsidR="00CB554D" w:rsidTr="007F0E9C" w14:paraId="57F8B941" w14:textId="77777777">
        <w:tc>
          <w:tcPr>
            <w:tcW w:w="2140" w:type="dxa"/>
          </w:tcPr>
          <w:p w:rsidRPr="007456D5" w:rsidR="00CB554D" w:rsidP="007D25C5" w:rsidRDefault="00CB554D" w14:paraId="6FD99A6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tiende lid</w:t>
            </w:r>
          </w:p>
        </w:tc>
        <w:tc>
          <w:tcPr>
            <w:tcW w:w="2510" w:type="dxa"/>
          </w:tcPr>
          <w:p w:rsidRPr="007456D5" w:rsidR="00CB554D" w:rsidP="007D25C5" w:rsidRDefault="00CB554D" w14:paraId="0A05DCE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is gericht tot de Europese toezichthoudende autoriteiten.</w:t>
            </w:r>
          </w:p>
        </w:tc>
        <w:tc>
          <w:tcPr>
            <w:tcW w:w="2205" w:type="dxa"/>
          </w:tcPr>
          <w:p w:rsidRPr="007456D5" w:rsidR="00CB554D" w:rsidP="007D25C5" w:rsidRDefault="00CB554D" w14:paraId="1DF76DB2"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83803DB"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2495CBD" w14:textId="77777777">
        <w:tc>
          <w:tcPr>
            <w:tcW w:w="2140" w:type="dxa"/>
          </w:tcPr>
          <w:p w:rsidRPr="007456D5" w:rsidR="00CB554D" w:rsidP="007D25C5" w:rsidRDefault="00CB554D" w14:paraId="7BE7E48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elfde lid</w:t>
            </w:r>
          </w:p>
        </w:tc>
        <w:tc>
          <w:tcPr>
            <w:tcW w:w="2510" w:type="dxa"/>
          </w:tcPr>
          <w:p w:rsidRPr="007456D5" w:rsidR="00CB554D" w:rsidP="007D25C5" w:rsidRDefault="00CB554D" w14:paraId="0A36064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is gericht tot de Europese toe</w:t>
            </w:r>
            <w:r w:rsidRPr="007456D5">
              <w:rPr>
                <w:rFonts w:ascii="Verdana" w:hAnsi="Verdana" w:cs="Arial"/>
                <w:sz w:val="18"/>
                <w:szCs w:val="18"/>
              </w:rPr>
              <w:lastRenderedPageBreak/>
              <w:t>zichthoudende autoriteiten en de Europese Commissie.</w:t>
            </w:r>
          </w:p>
        </w:tc>
        <w:tc>
          <w:tcPr>
            <w:tcW w:w="2205" w:type="dxa"/>
          </w:tcPr>
          <w:p w:rsidRPr="007456D5" w:rsidR="00CB554D" w:rsidP="007D25C5" w:rsidRDefault="00CB554D" w14:paraId="559C7EE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FBE4AD2"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F46426C" w14:textId="77777777">
        <w:tc>
          <w:tcPr>
            <w:tcW w:w="2140" w:type="dxa"/>
          </w:tcPr>
          <w:p w:rsidRPr="007456D5" w:rsidR="00CB554D" w:rsidP="007D25C5" w:rsidRDefault="00CB554D" w14:paraId="0377A1A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twaalfde lid</w:t>
            </w:r>
          </w:p>
        </w:tc>
        <w:tc>
          <w:tcPr>
            <w:tcW w:w="2510" w:type="dxa"/>
          </w:tcPr>
          <w:p w:rsidRPr="007456D5" w:rsidR="00CB554D" w:rsidP="007D25C5" w:rsidRDefault="00CB554D" w14:paraId="1F80E87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verzamelende instanties die organen of instanties van de Unie zijn.</w:t>
            </w:r>
          </w:p>
        </w:tc>
        <w:tc>
          <w:tcPr>
            <w:tcW w:w="2205" w:type="dxa"/>
          </w:tcPr>
          <w:p w:rsidRPr="007456D5" w:rsidR="00CB554D" w:rsidP="007D25C5" w:rsidRDefault="00CB554D" w14:paraId="2F631FE8"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8CBD8BB"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EAC22F8" w14:textId="77777777">
        <w:tc>
          <w:tcPr>
            <w:tcW w:w="2140" w:type="dxa"/>
          </w:tcPr>
          <w:p w:rsidRPr="007456D5" w:rsidR="00CB554D" w:rsidP="007D25C5" w:rsidRDefault="00CB554D" w14:paraId="156EDD7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t/m 7, tweede lid</w:t>
            </w:r>
          </w:p>
        </w:tc>
        <w:tc>
          <w:tcPr>
            <w:tcW w:w="2510" w:type="dxa"/>
          </w:tcPr>
          <w:p w:rsidRPr="007456D5" w:rsidR="00CB554D" w:rsidP="007D25C5" w:rsidRDefault="00CB554D" w14:paraId="5932C27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zijn gericht tot ESMA.</w:t>
            </w:r>
          </w:p>
        </w:tc>
        <w:tc>
          <w:tcPr>
            <w:tcW w:w="2205" w:type="dxa"/>
          </w:tcPr>
          <w:p w:rsidRPr="007456D5" w:rsidR="00CB554D" w:rsidP="007D25C5" w:rsidRDefault="00CB554D" w14:paraId="0B5C58A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0C2DD2E"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3214DDE" w14:textId="77777777">
        <w:tc>
          <w:tcPr>
            <w:tcW w:w="2140" w:type="dxa"/>
          </w:tcPr>
          <w:p w:rsidRPr="007456D5" w:rsidR="00CB554D" w:rsidP="007D25C5" w:rsidRDefault="00CB554D" w14:paraId="2CC68EA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derde lid</w:t>
            </w:r>
          </w:p>
        </w:tc>
        <w:tc>
          <w:tcPr>
            <w:tcW w:w="2510" w:type="dxa"/>
          </w:tcPr>
          <w:p w:rsidRPr="007456D5" w:rsidR="00CB554D" w:rsidP="007D25C5" w:rsidRDefault="00CB554D" w14:paraId="585AD78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300A7D5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D76D6F6"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E037D65" w14:textId="77777777">
        <w:tc>
          <w:tcPr>
            <w:tcW w:w="2140" w:type="dxa"/>
          </w:tcPr>
          <w:p w:rsidRPr="007456D5" w:rsidR="00CB554D" w:rsidP="007D25C5" w:rsidRDefault="00CB554D" w14:paraId="5FB527D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vierde lid</w:t>
            </w:r>
          </w:p>
        </w:tc>
        <w:tc>
          <w:tcPr>
            <w:tcW w:w="2510" w:type="dxa"/>
          </w:tcPr>
          <w:p w:rsidRPr="007456D5" w:rsidR="00CB554D" w:rsidP="007D25C5" w:rsidRDefault="00CB554D" w14:paraId="43C58BF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is gericht tot de Europese toezichthoudende autoriteiten en de Europese Commissie.</w:t>
            </w:r>
          </w:p>
        </w:tc>
        <w:tc>
          <w:tcPr>
            <w:tcW w:w="2205" w:type="dxa"/>
          </w:tcPr>
          <w:p w:rsidRPr="007456D5" w:rsidR="00CB554D" w:rsidP="007D25C5" w:rsidRDefault="00CB554D" w14:paraId="0C97530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45A0F23"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6250A27" w14:textId="77777777">
        <w:tc>
          <w:tcPr>
            <w:tcW w:w="2140" w:type="dxa"/>
          </w:tcPr>
          <w:p w:rsidRPr="007456D5" w:rsidR="00CB554D" w:rsidP="007D25C5" w:rsidRDefault="00CB554D" w14:paraId="56EE50B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8, eerste t/m vierde lid</w:t>
            </w:r>
          </w:p>
        </w:tc>
        <w:tc>
          <w:tcPr>
            <w:tcW w:w="2510" w:type="dxa"/>
          </w:tcPr>
          <w:p w:rsidRPr="007456D5" w:rsidR="00CB554D" w:rsidP="007D25C5" w:rsidRDefault="00CB554D" w14:paraId="0F9AC80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zijn gericht tot ESMA.</w:t>
            </w:r>
          </w:p>
        </w:tc>
        <w:tc>
          <w:tcPr>
            <w:tcW w:w="2205" w:type="dxa"/>
          </w:tcPr>
          <w:p w:rsidRPr="007456D5" w:rsidR="00CB554D" w:rsidP="007D25C5" w:rsidRDefault="00CB554D" w14:paraId="3FF8AF0D"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2605EE3"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6F69BEC" w14:textId="77777777">
        <w:tc>
          <w:tcPr>
            <w:tcW w:w="2140" w:type="dxa"/>
          </w:tcPr>
          <w:p w:rsidRPr="007456D5" w:rsidR="00CB554D" w:rsidP="007D25C5" w:rsidRDefault="00CB554D" w14:paraId="56032BE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8, vijfde lid</w:t>
            </w:r>
          </w:p>
        </w:tc>
        <w:tc>
          <w:tcPr>
            <w:tcW w:w="2510" w:type="dxa"/>
          </w:tcPr>
          <w:p w:rsidRPr="007456D5" w:rsidR="00CB554D" w:rsidP="007D25C5" w:rsidRDefault="00CB554D" w14:paraId="52B8C79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is gericht tot ESMA en de Europese Commissie.</w:t>
            </w:r>
          </w:p>
        </w:tc>
        <w:tc>
          <w:tcPr>
            <w:tcW w:w="2205" w:type="dxa"/>
          </w:tcPr>
          <w:p w:rsidRPr="007456D5" w:rsidR="00CB554D" w:rsidP="007D25C5" w:rsidRDefault="00CB554D" w14:paraId="15CDB0F1"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F09D32A"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6DD374F" w14:textId="77777777">
        <w:tc>
          <w:tcPr>
            <w:tcW w:w="2140" w:type="dxa"/>
          </w:tcPr>
          <w:p w:rsidRPr="007456D5" w:rsidR="00CB554D" w:rsidP="007D25C5" w:rsidRDefault="00CB554D" w14:paraId="3DC85FE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8, zesde lid</w:t>
            </w:r>
          </w:p>
        </w:tc>
        <w:tc>
          <w:tcPr>
            <w:tcW w:w="2510" w:type="dxa"/>
          </w:tcPr>
          <w:p w:rsidRPr="007456D5" w:rsidR="00CB554D" w:rsidP="007D25C5" w:rsidRDefault="00CB554D" w14:paraId="4B1449C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64604DB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D920BD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3782D25" w14:textId="77777777">
        <w:tc>
          <w:tcPr>
            <w:tcW w:w="2140" w:type="dxa"/>
          </w:tcPr>
          <w:p w:rsidRPr="007456D5" w:rsidR="00CB554D" w:rsidP="007D25C5" w:rsidRDefault="00CB554D" w14:paraId="2F9FA35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eerste en tweede lid</w:t>
            </w:r>
          </w:p>
        </w:tc>
        <w:tc>
          <w:tcPr>
            <w:tcW w:w="2510" w:type="dxa"/>
          </w:tcPr>
          <w:p w:rsidRPr="007456D5" w:rsidR="00CB554D" w:rsidP="007D25C5" w:rsidRDefault="00CB554D" w14:paraId="1A4B4CE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55D2082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58F3F3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608A5FA" w14:textId="77777777">
        <w:tc>
          <w:tcPr>
            <w:tcW w:w="2140" w:type="dxa"/>
          </w:tcPr>
          <w:p w:rsidRPr="007456D5" w:rsidR="00CB554D" w:rsidP="007D25C5" w:rsidRDefault="00CB554D" w14:paraId="04689F1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derde lid</w:t>
            </w:r>
          </w:p>
        </w:tc>
        <w:tc>
          <w:tcPr>
            <w:tcW w:w="2510" w:type="dxa"/>
          </w:tcPr>
          <w:p w:rsidRPr="007456D5" w:rsidR="00CB554D" w:rsidP="007D25C5" w:rsidRDefault="00CB554D" w14:paraId="3CACD7A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4DD908E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A36DEA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C29B810" w14:textId="77777777">
        <w:tc>
          <w:tcPr>
            <w:tcW w:w="2140" w:type="dxa"/>
          </w:tcPr>
          <w:p w:rsidRPr="007456D5" w:rsidR="00CB554D" w:rsidP="007D25C5" w:rsidRDefault="00CB554D" w14:paraId="54D4449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vierde lid</w:t>
            </w:r>
          </w:p>
        </w:tc>
        <w:tc>
          <w:tcPr>
            <w:tcW w:w="2510" w:type="dxa"/>
          </w:tcPr>
          <w:p w:rsidRPr="007456D5" w:rsidR="00CB554D" w:rsidP="007D25C5" w:rsidRDefault="00CB554D" w14:paraId="6E57DD0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Behoeft naar haar </w:t>
            </w:r>
            <w:r w:rsidRPr="007456D5">
              <w:rPr>
                <w:rFonts w:ascii="Verdana" w:hAnsi="Verdana" w:cs="Arial"/>
                <w:sz w:val="18"/>
                <w:szCs w:val="18"/>
              </w:rPr>
              <w:lastRenderedPageBreak/>
              <w:t>aard geen implementatie, heeft rechtstreekse werking.</w:t>
            </w:r>
          </w:p>
        </w:tc>
        <w:tc>
          <w:tcPr>
            <w:tcW w:w="2205" w:type="dxa"/>
          </w:tcPr>
          <w:p w:rsidRPr="007456D5" w:rsidR="00CB554D" w:rsidP="007D25C5" w:rsidRDefault="00CB554D" w14:paraId="3BC7014D"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C89C3CF"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940C29B" w14:textId="77777777">
        <w:tc>
          <w:tcPr>
            <w:tcW w:w="2140" w:type="dxa"/>
          </w:tcPr>
          <w:p w:rsidRPr="007456D5" w:rsidR="00CB554D" w:rsidP="007D25C5" w:rsidRDefault="00CB554D" w14:paraId="57870BD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10 t/m 12, eerste lid</w:t>
            </w:r>
          </w:p>
        </w:tc>
        <w:tc>
          <w:tcPr>
            <w:tcW w:w="2510" w:type="dxa"/>
          </w:tcPr>
          <w:p w:rsidRPr="007456D5" w:rsidR="00CB554D" w:rsidP="007D25C5" w:rsidRDefault="00CB554D" w14:paraId="72DD07C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gericht tot ESMA.</w:t>
            </w:r>
          </w:p>
        </w:tc>
        <w:tc>
          <w:tcPr>
            <w:tcW w:w="2205" w:type="dxa"/>
          </w:tcPr>
          <w:p w:rsidRPr="007456D5" w:rsidR="00CB554D" w:rsidP="007D25C5" w:rsidRDefault="00CB554D" w14:paraId="24800F46"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FD6A9E6"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AF99668" w14:textId="77777777">
        <w:tc>
          <w:tcPr>
            <w:tcW w:w="2140" w:type="dxa"/>
          </w:tcPr>
          <w:p w:rsidRPr="007456D5" w:rsidR="00CB554D" w:rsidP="007D25C5" w:rsidRDefault="00CB554D" w14:paraId="54769D4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tweede lid</w:t>
            </w:r>
          </w:p>
        </w:tc>
        <w:tc>
          <w:tcPr>
            <w:tcW w:w="2510" w:type="dxa"/>
          </w:tcPr>
          <w:p w:rsidRPr="007456D5" w:rsidR="00CB554D" w:rsidP="007D25C5" w:rsidRDefault="00CB554D" w14:paraId="657CBF5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7DC5C49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714FB4E"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15ECB7B" w14:textId="77777777">
        <w:tc>
          <w:tcPr>
            <w:tcW w:w="2140" w:type="dxa"/>
          </w:tcPr>
          <w:p w:rsidRPr="007456D5" w:rsidR="00CB554D" w:rsidP="007D25C5" w:rsidRDefault="00CB554D" w14:paraId="040C010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derde lid</w:t>
            </w:r>
          </w:p>
        </w:tc>
        <w:tc>
          <w:tcPr>
            <w:tcW w:w="2510" w:type="dxa"/>
          </w:tcPr>
          <w:p w:rsidRPr="007456D5" w:rsidR="00CB554D" w:rsidP="007D25C5" w:rsidRDefault="00CB554D" w14:paraId="5B903D1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47846323"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CDC100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936798B" w14:textId="77777777">
        <w:tc>
          <w:tcPr>
            <w:tcW w:w="2140" w:type="dxa"/>
          </w:tcPr>
          <w:p w:rsidRPr="007456D5" w:rsidR="00CB554D" w:rsidP="007D25C5" w:rsidRDefault="00CB554D" w14:paraId="0CB114B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eerste lid</w:t>
            </w:r>
          </w:p>
        </w:tc>
        <w:tc>
          <w:tcPr>
            <w:tcW w:w="2510" w:type="dxa"/>
          </w:tcPr>
          <w:p w:rsidRPr="007456D5" w:rsidR="00CB554D" w:rsidP="007D25C5" w:rsidRDefault="00CB554D" w14:paraId="00745A9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de Europese Commissie.</w:t>
            </w:r>
          </w:p>
        </w:tc>
        <w:tc>
          <w:tcPr>
            <w:tcW w:w="2205" w:type="dxa"/>
          </w:tcPr>
          <w:p w:rsidRPr="007456D5" w:rsidR="00CB554D" w:rsidP="007D25C5" w:rsidRDefault="00CB554D" w14:paraId="0AC42FD8"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36C34E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AB642EA" w14:textId="77777777">
        <w:tc>
          <w:tcPr>
            <w:tcW w:w="2140" w:type="dxa"/>
          </w:tcPr>
          <w:p w:rsidRPr="007456D5" w:rsidR="00CB554D" w:rsidP="007D25C5" w:rsidRDefault="00CB554D" w14:paraId="09E18FB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tweede en derde lid</w:t>
            </w:r>
          </w:p>
        </w:tc>
        <w:tc>
          <w:tcPr>
            <w:tcW w:w="2510" w:type="dxa"/>
          </w:tcPr>
          <w:p w:rsidRPr="007456D5" w:rsidR="00CB554D" w:rsidP="007D25C5" w:rsidRDefault="00CB554D" w14:paraId="2D543DB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13D11EF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89EAF4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1225BAA" w14:textId="77777777">
        <w:tc>
          <w:tcPr>
            <w:tcW w:w="2140" w:type="dxa"/>
          </w:tcPr>
          <w:p w:rsidRPr="007456D5" w:rsidR="00CB554D" w:rsidP="007D25C5" w:rsidRDefault="00CB554D" w14:paraId="1D31FB8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vierde lid</w:t>
            </w:r>
          </w:p>
        </w:tc>
        <w:tc>
          <w:tcPr>
            <w:tcW w:w="2510" w:type="dxa"/>
          </w:tcPr>
          <w:p w:rsidRPr="007456D5" w:rsidR="00CB554D" w:rsidP="007D25C5" w:rsidRDefault="00CB554D" w14:paraId="218C235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de Europese Commissie.</w:t>
            </w:r>
          </w:p>
        </w:tc>
        <w:tc>
          <w:tcPr>
            <w:tcW w:w="2205" w:type="dxa"/>
          </w:tcPr>
          <w:p w:rsidRPr="007456D5" w:rsidR="00CB554D" w:rsidP="007D25C5" w:rsidRDefault="00CB554D" w14:paraId="1833C520"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51E294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995EEAF" w14:textId="77777777">
        <w:tc>
          <w:tcPr>
            <w:tcW w:w="2140" w:type="dxa"/>
          </w:tcPr>
          <w:p w:rsidRPr="007456D5" w:rsidR="00CB554D" w:rsidP="007D25C5" w:rsidRDefault="00CB554D" w14:paraId="5E235E8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eerste en tweede lid</w:t>
            </w:r>
          </w:p>
        </w:tc>
        <w:tc>
          <w:tcPr>
            <w:tcW w:w="2510" w:type="dxa"/>
          </w:tcPr>
          <w:p w:rsidRPr="007456D5" w:rsidR="00CB554D" w:rsidP="007D25C5" w:rsidRDefault="00CB554D" w14:paraId="0DEF203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gericht tot de Europese Commissie.</w:t>
            </w:r>
          </w:p>
        </w:tc>
        <w:tc>
          <w:tcPr>
            <w:tcW w:w="2205" w:type="dxa"/>
          </w:tcPr>
          <w:p w:rsidRPr="007456D5" w:rsidR="00CB554D" w:rsidP="007D25C5" w:rsidRDefault="00CB554D" w14:paraId="29B495E9"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FE7C5A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7E62FC9" w14:textId="77777777">
        <w:tc>
          <w:tcPr>
            <w:tcW w:w="2140" w:type="dxa"/>
          </w:tcPr>
          <w:p w:rsidRPr="007456D5" w:rsidR="00CB554D" w:rsidP="007D25C5" w:rsidRDefault="00CB554D" w14:paraId="17F27BB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derde lid</w:t>
            </w:r>
          </w:p>
        </w:tc>
        <w:tc>
          <w:tcPr>
            <w:tcW w:w="2510" w:type="dxa"/>
          </w:tcPr>
          <w:p w:rsidRPr="007456D5" w:rsidR="00CB554D" w:rsidP="007D25C5" w:rsidRDefault="00CB554D" w14:paraId="4C8070D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7676011B"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815659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8777558" w14:textId="77777777">
        <w:tc>
          <w:tcPr>
            <w:tcW w:w="2140" w:type="dxa"/>
          </w:tcPr>
          <w:p w:rsidRPr="007456D5" w:rsidR="00CB554D" w:rsidP="007D25C5" w:rsidRDefault="00CB554D" w14:paraId="34C4102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vierde en vijfde lid</w:t>
            </w:r>
          </w:p>
        </w:tc>
        <w:tc>
          <w:tcPr>
            <w:tcW w:w="2510" w:type="dxa"/>
          </w:tcPr>
          <w:p w:rsidRPr="007456D5" w:rsidR="00CB554D" w:rsidP="007D25C5" w:rsidRDefault="00CB554D" w14:paraId="60ABA13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geen implementatie. Bepalingen gericht tot de Europese Commissie.</w:t>
            </w:r>
          </w:p>
        </w:tc>
        <w:tc>
          <w:tcPr>
            <w:tcW w:w="2205" w:type="dxa"/>
          </w:tcPr>
          <w:p w:rsidRPr="007456D5" w:rsidR="00CB554D" w:rsidP="007D25C5" w:rsidRDefault="00CB554D" w14:paraId="3354DC61"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997327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84A2611" w14:textId="77777777">
        <w:tc>
          <w:tcPr>
            <w:tcW w:w="2140" w:type="dxa"/>
          </w:tcPr>
          <w:p w:rsidRPr="007456D5" w:rsidR="00CB554D" w:rsidP="007D25C5" w:rsidRDefault="00CB554D" w14:paraId="39DD655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zesde lid</w:t>
            </w:r>
          </w:p>
        </w:tc>
        <w:tc>
          <w:tcPr>
            <w:tcW w:w="2510" w:type="dxa"/>
          </w:tcPr>
          <w:p w:rsidRPr="007456D5" w:rsidR="00CB554D" w:rsidP="007D25C5" w:rsidRDefault="00CB554D" w14:paraId="7D85B98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0E2B8B13"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7830456" w14:textId="77777777">
            <w:pPr>
              <w:widowControl w:val="0"/>
              <w:tabs>
                <w:tab w:val="num" w:pos="720"/>
              </w:tabs>
              <w:spacing w:line="240" w:lineRule="exact"/>
              <w:contextualSpacing/>
              <w:rPr>
                <w:rFonts w:ascii="Verdana" w:hAnsi="Verdana" w:cs="Arial"/>
                <w:sz w:val="18"/>
                <w:szCs w:val="18"/>
              </w:rPr>
            </w:pPr>
          </w:p>
        </w:tc>
      </w:tr>
    </w:tbl>
    <w:p w:rsidR="00095537" w:rsidP="007D25C5" w:rsidRDefault="00095537" w14:paraId="3F15A669" w14:textId="77777777">
      <w:pPr>
        <w:widowControl w:val="0"/>
        <w:tabs>
          <w:tab w:val="num" w:pos="720"/>
        </w:tabs>
        <w:spacing w:line="240" w:lineRule="exact"/>
        <w:contextualSpacing/>
        <w:rPr>
          <w:rFonts w:ascii="Verdana" w:hAnsi="Verdana" w:cs="Arial"/>
          <w:b/>
          <w:bCs/>
          <w:sz w:val="18"/>
          <w:szCs w:val="18"/>
        </w:rPr>
      </w:pPr>
    </w:p>
    <w:p w:rsidRPr="007456D5" w:rsidR="00E11F93" w:rsidP="007D25C5" w:rsidRDefault="00E11F93" w14:paraId="568D8B1B" w14:textId="38CA2C63">
      <w:pPr>
        <w:widowControl w:val="0"/>
        <w:tabs>
          <w:tab w:val="num" w:pos="720"/>
        </w:tabs>
        <w:spacing w:line="240" w:lineRule="exact"/>
        <w:contextualSpacing/>
        <w:rPr>
          <w:rFonts w:ascii="Verdana" w:hAnsi="Verdana" w:cs="Arial"/>
          <w:b/>
          <w:bCs/>
          <w:sz w:val="18"/>
          <w:szCs w:val="18"/>
        </w:rPr>
      </w:pPr>
      <w:r w:rsidRPr="007456D5">
        <w:rPr>
          <w:rFonts w:ascii="Verdana" w:hAnsi="Verdana" w:cs="Arial"/>
          <w:b/>
          <w:bCs/>
          <w:sz w:val="18"/>
          <w:szCs w:val="18"/>
        </w:rPr>
        <w:t xml:space="preserve">Transponeringstabel </w:t>
      </w:r>
      <w:r w:rsidR="00A65911">
        <w:rPr>
          <w:rFonts w:ascii="Verdana" w:hAnsi="Verdana" w:cs="Arial"/>
          <w:b/>
          <w:bCs/>
          <w:sz w:val="18"/>
          <w:szCs w:val="18"/>
        </w:rPr>
        <w:t>richtlijn ESAP</w:t>
      </w:r>
    </w:p>
    <w:p w:rsidRPr="007456D5" w:rsidR="00CB554D" w:rsidP="007D25C5" w:rsidRDefault="00CB554D" w14:paraId="2AAB636F" w14:textId="77777777">
      <w:pPr>
        <w:widowControl w:val="0"/>
        <w:tabs>
          <w:tab w:val="num" w:pos="720"/>
        </w:tabs>
        <w:spacing w:line="240" w:lineRule="exact"/>
        <w:contextualSpacing/>
        <w:rPr>
          <w:rFonts w:ascii="Verdana" w:hAnsi="Verdana" w:cs="Arial"/>
          <w:sz w:val="18"/>
          <w:szCs w:val="18"/>
        </w:rPr>
      </w:pPr>
    </w:p>
    <w:tbl>
      <w:tblPr>
        <w:tblStyle w:val="Tabelraster1"/>
        <w:tblW w:w="722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1696"/>
        <w:gridCol w:w="1701"/>
        <w:gridCol w:w="1985"/>
        <w:gridCol w:w="1843"/>
      </w:tblGrid>
      <w:tr w:rsidRPr="007456D5" w:rsidR="005C6504" w:rsidTr="00E62FBD" w14:paraId="3FCA4936" w14:textId="77777777">
        <w:tc>
          <w:tcPr>
            <w:tcW w:w="1696" w:type="dxa"/>
            <w:shd w:val="clear" w:color="auto" w:fill="EEECE1"/>
          </w:tcPr>
          <w:p w:rsidRPr="007456D5" w:rsidR="00CB554D" w:rsidP="007D25C5" w:rsidRDefault="00A65911" w14:paraId="0C12665B" w14:textId="0B121D79">
            <w:pPr>
              <w:widowControl w:val="0"/>
              <w:tabs>
                <w:tab w:val="num" w:pos="720"/>
              </w:tabs>
              <w:spacing w:line="240" w:lineRule="exact"/>
              <w:contextualSpacing/>
              <w:rPr>
                <w:rFonts w:ascii="Verdana" w:hAnsi="Verdana" w:cs="Arial"/>
                <w:b/>
                <w:sz w:val="18"/>
                <w:szCs w:val="18"/>
              </w:rPr>
            </w:pPr>
            <w:r>
              <w:rPr>
                <w:rFonts w:ascii="Verdana" w:hAnsi="Verdana" w:cs="Arial"/>
                <w:b/>
                <w:sz w:val="18"/>
                <w:szCs w:val="18"/>
              </w:rPr>
              <w:t>Richtlijn ESAP</w:t>
            </w:r>
          </w:p>
        </w:tc>
        <w:tc>
          <w:tcPr>
            <w:tcW w:w="1701" w:type="dxa"/>
            <w:shd w:val="clear" w:color="auto" w:fill="EEECE1"/>
          </w:tcPr>
          <w:p w:rsidRPr="007456D5" w:rsidR="00CB554D" w:rsidP="007D25C5" w:rsidRDefault="00CB554D" w14:paraId="38ED710C"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Bepaling in implementatieregeling of bestaande regeling</w:t>
            </w:r>
          </w:p>
          <w:p w:rsidRPr="007456D5" w:rsidR="00CB554D" w:rsidP="007D25C5" w:rsidRDefault="00CB554D" w14:paraId="0816B7D9" w14:textId="77777777">
            <w:pPr>
              <w:widowControl w:val="0"/>
              <w:tabs>
                <w:tab w:val="num" w:pos="720"/>
              </w:tabs>
              <w:spacing w:line="240" w:lineRule="exact"/>
              <w:contextualSpacing/>
              <w:rPr>
                <w:rFonts w:ascii="Verdana" w:hAnsi="Verdana" w:cs="Arial"/>
                <w:b/>
                <w:sz w:val="18"/>
                <w:szCs w:val="18"/>
              </w:rPr>
            </w:pPr>
          </w:p>
          <w:p w:rsidRPr="007456D5" w:rsidR="00CB554D" w:rsidP="007D25C5" w:rsidRDefault="00CB554D" w14:paraId="6A97B52E" w14:textId="30E54124">
            <w:pPr>
              <w:widowControl w:val="0"/>
              <w:tabs>
                <w:tab w:val="num" w:pos="720"/>
              </w:tabs>
              <w:spacing w:line="240" w:lineRule="exact"/>
              <w:contextualSpacing/>
              <w:rPr>
                <w:rFonts w:ascii="Verdana" w:hAnsi="Verdana" w:cs="Arial"/>
                <w:i/>
                <w:sz w:val="18"/>
                <w:szCs w:val="18"/>
              </w:rPr>
            </w:pPr>
          </w:p>
        </w:tc>
        <w:tc>
          <w:tcPr>
            <w:tcW w:w="1985" w:type="dxa"/>
            <w:shd w:val="clear" w:color="auto" w:fill="EEECE1"/>
          </w:tcPr>
          <w:p w:rsidRPr="007456D5" w:rsidR="00CB554D" w:rsidP="007D25C5" w:rsidRDefault="00CB554D" w14:paraId="590E8C23"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Omschrijving beleidsruimte</w:t>
            </w:r>
          </w:p>
        </w:tc>
        <w:tc>
          <w:tcPr>
            <w:tcW w:w="1843" w:type="dxa"/>
            <w:shd w:val="clear" w:color="auto" w:fill="EEECE1"/>
          </w:tcPr>
          <w:p w:rsidRPr="007456D5" w:rsidR="00CB554D" w:rsidP="007D25C5" w:rsidRDefault="00CB554D" w14:paraId="1E23002C"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Toelichting op de keuze(n) bij de invulling van de beleidsruimte</w:t>
            </w:r>
          </w:p>
        </w:tc>
      </w:tr>
      <w:tr w:rsidRPr="007456D5" w:rsidR="00CB554D" w:rsidTr="00E62FBD" w14:paraId="742981CD" w14:textId="77777777">
        <w:tc>
          <w:tcPr>
            <w:tcW w:w="7225" w:type="dxa"/>
            <w:gridSpan w:val="4"/>
          </w:tcPr>
          <w:p w:rsidRPr="007456D5" w:rsidR="00CB554D" w:rsidP="007D25C5" w:rsidRDefault="00CB554D" w14:paraId="4E67836B" w14:textId="79AB98ED">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 xml:space="preserve">Wijzigingen van </w:t>
            </w:r>
            <w:r w:rsidRPr="007456D5" w:rsidR="003F2AC3">
              <w:rPr>
                <w:rFonts w:ascii="Verdana" w:hAnsi="Verdana" w:cs="Arial"/>
                <w:b/>
                <w:bCs/>
                <w:sz w:val="18"/>
                <w:szCs w:val="18"/>
              </w:rPr>
              <w:t xml:space="preserve">de </w:t>
            </w:r>
            <w:r w:rsidRPr="007456D5" w:rsidR="00A628C4">
              <w:rPr>
                <w:rFonts w:ascii="Verdana" w:hAnsi="Verdana" w:cs="Arial"/>
                <w:b/>
                <w:bCs/>
                <w:sz w:val="18"/>
                <w:szCs w:val="18"/>
              </w:rPr>
              <w:t>richtlijn financiële conglomeraten</w:t>
            </w:r>
          </w:p>
        </w:tc>
      </w:tr>
      <w:tr w:rsidRPr="007456D5" w:rsidR="005C6504" w:rsidTr="00E62FBD" w14:paraId="4CDA8EB0" w14:textId="77777777">
        <w:tc>
          <w:tcPr>
            <w:tcW w:w="1696" w:type="dxa"/>
          </w:tcPr>
          <w:p w:rsidRPr="007456D5" w:rsidR="00CB554D" w:rsidP="007D25C5" w:rsidRDefault="00CB554D" w14:paraId="77657ED2" w14:textId="56958BF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(art. 30 ter, eerste</w:t>
            </w:r>
            <w:r w:rsidRPr="007456D5" w:rsidR="00214DE1">
              <w:rPr>
                <w:rFonts w:ascii="Verdana" w:hAnsi="Verdana" w:cs="Arial"/>
                <w:sz w:val="18"/>
                <w:szCs w:val="18"/>
              </w:rPr>
              <w:t xml:space="preserve"> en tweede lid</w:t>
            </w:r>
            <w:r w:rsidRPr="007456D5">
              <w:rPr>
                <w:rFonts w:ascii="Verdana" w:hAnsi="Verdana" w:cs="Arial"/>
                <w:sz w:val="18"/>
                <w:szCs w:val="18"/>
              </w:rPr>
              <w:t xml:space="preserve">, </w:t>
            </w:r>
            <w:r w:rsidRPr="007456D5" w:rsidR="0033482C">
              <w:rPr>
                <w:rFonts w:ascii="Verdana" w:hAnsi="Verdana" w:cs="Arial"/>
                <w:sz w:val="18"/>
                <w:szCs w:val="18"/>
              </w:rPr>
              <w:t>richtlijn financiële conglomeraten</w:t>
            </w:r>
            <w:r w:rsidRPr="007456D5">
              <w:rPr>
                <w:rFonts w:ascii="Verdana" w:hAnsi="Verdana" w:cs="Arial"/>
                <w:sz w:val="18"/>
                <w:szCs w:val="18"/>
              </w:rPr>
              <w:t>)</w:t>
            </w:r>
          </w:p>
        </w:tc>
        <w:tc>
          <w:tcPr>
            <w:tcW w:w="1701" w:type="dxa"/>
          </w:tcPr>
          <w:p w:rsidRPr="007456D5" w:rsidR="00CB554D" w:rsidP="007D25C5" w:rsidRDefault="00CB554D" w14:paraId="0BBF271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3:299, derde lid, Wft</w:t>
            </w:r>
          </w:p>
        </w:tc>
        <w:tc>
          <w:tcPr>
            <w:tcW w:w="1985" w:type="dxa"/>
          </w:tcPr>
          <w:p w:rsidRPr="007456D5" w:rsidR="00CB554D" w:rsidP="007D25C5" w:rsidRDefault="00CB554D" w14:paraId="3F4C61DF" w14:textId="4E101855">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705375C9"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29DC0BA4" w14:textId="77777777">
        <w:tc>
          <w:tcPr>
            <w:tcW w:w="1696" w:type="dxa"/>
          </w:tcPr>
          <w:p w:rsidRPr="007456D5" w:rsidR="00CB554D" w:rsidP="007D25C5" w:rsidRDefault="00CB554D" w14:paraId="5852D847" w14:textId="06AF610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 (art. 30 ter, derde lid, </w:t>
            </w:r>
            <w:r w:rsidRPr="007456D5" w:rsidR="0033482C">
              <w:rPr>
                <w:rFonts w:ascii="Verdana" w:hAnsi="Verdana" w:cs="Arial"/>
                <w:sz w:val="18"/>
                <w:szCs w:val="18"/>
              </w:rPr>
              <w:t>richtlijn financiële conglomeraten</w:t>
            </w:r>
            <w:r w:rsidRPr="007456D5">
              <w:rPr>
                <w:rFonts w:ascii="Verdana" w:hAnsi="Verdana" w:cs="Arial"/>
                <w:sz w:val="18"/>
                <w:szCs w:val="18"/>
              </w:rPr>
              <w:t>)</w:t>
            </w:r>
          </w:p>
        </w:tc>
        <w:tc>
          <w:tcPr>
            <w:tcW w:w="1701" w:type="dxa"/>
          </w:tcPr>
          <w:p w:rsidRPr="007456D5" w:rsidR="00CB554D" w:rsidP="007D25C5" w:rsidRDefault="00CB554D" w14:paraId="7D3FF63A" w14:textId="31A35B6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214DE1">
              <w:rPr>
                <w:rFonts w:ascii="Verdana" w:hAnsi="Verdana" w:cs="Arial"/>
                <w:sz w:val="18"/>
                <w:szCs w:val="18"/>
              </w:rPr>
              <w:t>110</w:t>
            </w:r>
            <w:r w:rsidRPr="007456D5">
              <w:rPr>
                <w:rFonts w:ascii="Verdana" w:hAnsi="Verdana" w:cs="Arial"/>
                <w:sz w:val="18"/>
                <w:szCs w:val="18"/>
              </w:rPr>
              <w:t xml:space="preserve">, </w:t>
            </w:r>
            <w:r w:rsidRPr="007456D5" w:rsidR="00B06B17">
              <w:rPr>
                <w:rFonts w:ascii="Verdana" w:hAnsi="Verdana" w:cs="Arial"/>
                <w:sz w:val="18"/>
                <w:szCs w:val="18"/>
              </w:rPr>
              <w:t xml:space="preserve">eerste lid, </w:t>
            </w:r>
            <w:r w:rsidRPr="007456D5">
              <w:rPr>
                <w:rFonts w:ascii="Verdana" w:hAnsi="Verdana" w:cs="Arial"/>
                <w:sz w:val="18"/>
                <w:szCs w:val="18"/>
              </w:rPr>
              <w:t>Wft</w:t>
            </w:r>
          </w:p>
          <w:p w:rsidRPr="007456D5" w:rsidR="00CB554D" w:rsidP="007D25C5" w:rsidRDefault="00CB554D" w14:paraId="19D6187E" w14:textId="77777777">
            <w:pPr>
              <w:widowControl w:val="0"/>
              <w:tabs>
                <w:tab w:val="num" w:pos="720"/>
              </w:tabs>
              <w:spacing w:line="240" w:lineRule="exact"/>
              <w:contextualSpacing/>
              <w:rPr>
                <w:rFonts w:ascii="Verdana" w:hAnsi="Verdana" w:cs="Arial"/>
                <w:sz w:val="18"/>
                <w:szCs w:val="18"/>
              </w:rPr>
            </w:pPr>
          </w:p>
          <w:p w:rsidRPr="007456D5" w:rsidR="00CB554D" w:rsidP="007D25C5" w:rsidRDefault="00CB554D" w14:paraId="45765258" w14:textId="77777777">
            <w:pPr>
              <w:widowControl w:val="0"/>
              <w:tabs>
                <w:tab w:val="num" w:pos="720"/>
              </w:tabs>
              <w:spacing w:line="240" w:lineRule="exact"/>
              <w:contextualSpacing/>
              <w:rPr>
                <w:rFonts w:ascii="Verdana" w:hAnsi="Verdana" w:cs="Arial"/>
                <w:sz w:val="18"/>
                <w:szCs w:val="18"/>
              </w:rPr>
            </w:pPr>
          </w:p>
        </w:tc>
        <w:tc>
          <w:tcPr>
            <w:tcW w:w="1985" w:type="dxa"/>
          </w:tcPr>
          <w:p w:rsidRPr="007456D5" w:rsidR="00CB554D" w:rsidP="007D25C5" w:rsidRDefault="00CB554D" w14:paraId="6741D920"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643394B0" w14:textId="56A48D9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DNB is de bevoegde autoriteit en verzamelende instantie zoals gedefinieerd in artikel 2, </w:t>
            </w:r>
            <w:r w:rsidRPr="007456D5" w:rsidR="000C5AC2">
              <w:rPr>
                <w:rFonts w:ascii="Verdana" w:hAnsi="Verdana" w:cs="Arial"/>
                <w:sz w:val="18"/>
                <w:szCs w:val="18"/>
              </w:rPr>
              <w:t>onderdeel 2</w:t>
            </w:r>
            <w:r w:rsidRPr="007456D5">
              <w:rPr>
                <w:rFonts w:ascii="Verdana" w:hAnsi="Verdana" w:cs="Arial"/>
                <w:sz w:val="18"/>
                <w:szCs w:val="18"/>
              </w:rPr>
              <w:t xml:space="preserve">, van </w:t>
            </w:r>
            <w:r w:rsidRPr="007456D5" w:rsidR="0053675A">
              <w:rPr>
                <w:rFonts w:ascii="Verdana" w:hAnsi="Verdana" w:cs="Arial"/>
                <w:sz w:val="18"/>
                <w:szCs w:val="18"/>
              </w:rPr>
              <w:t>verordening oprichting ESAP.</w:t>
            </w:r>
          </w:p>
        </w:tc>
      </w:tr>
      <w:tr w:rsidRPr="007456D5" w:rsidR="005C6504" w:rsidTr="00E62FBD" w14:paraId="5F1937B5" w14:textId="77777777">
        <w:tc>
          <w:tcPr>
            <w:tcW w:w="1696" w:type="dxa"/>
          </w:tcPr>
          <w:p w:rsidRPr="007456D5" w:rsidR="00CB554D" w:rsidP="007D25C5" w:rsidRDefault="00CB554D" w14:paraId="79B75509" w14:textId="1CA149F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 (art. 30 ter, vierde lid, </w:t>
            </w:r>
            <w:r w:rsidRPr="007456D5" w:rsidR="0033482C">
              <w:rPr>
                <w:rFonts w:ascii="Verdana" w:hAnsi="Verdana" w:cs="Arial"/>
                <w:sz w:val="18"/>
                <w:szCs w:val="18"/>
              </w:rPr>
              <w:t>richtlijn financiële conglomeraten</w:t>
            </w:r>
            <w:r w:rsidRPr="007456D5">
              <w:rPr>
                <w:rFonts w:ascii="Verdana" w:hAnsi="Verdana" w:cs="Arial"/>
                <w:sz w:val="18"/>
                <w:szCs w:val="18"/>
              </w:rPr>
              <w:t>)</w:t>
            </w:r>
          </w:p>
        </w:tc>
        <w:tc>
          <w:tcPr>
            <w:tcW w:w="1701" w:type="dxa"/>
          </w:tcPr>
          <w:p w:rsidRPr="007456D5" w:rsidR="00CB554D" w:rsidP="007D25C5" w:rsidRDefault="00CB554D" w14:paraId="09463EE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 en de Europese Commissie.</w:t>
            </w:r>
          </w:p>
        </w:tc>
        <w:tc>
          <w:tcPr>
            <w:tcW w:w="1985" w:type="dxa"/>
          </w:tcPr>
          <w:p w:rsidRPr="007456D5" w:rsidR="00CB554D" w:rsidP="007D25C5" w:rsidRDefault="00CB554D" w14:paraId="66E79E2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5EAAF22B"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3324F271" w14:textId="77777777">
        <w:tc>
          <w:tcPr>
            <w:tcW w:w="1696" w:type="dxa"/>
          </w:tcPr>
          <w:p w:rsidRPr="007456D5" w:rsidR="00CB554D" w:rsidP="007D25C5" w:rsidRDefault="00CB554D" w14:paraId="657AFDA8" w14:textId="7622A51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 (art. 30 ter, vijfde lid, </w:t>
            </w:r>
            <w:r w:rsidRPr="007456D5" w:rsidR="0033482C">
              <w:rPr>
                <w:rFonts w:ascii="Verdana" w:hAnsi="Verdana" w:cs="Arial"/>
                <w:sz w:val="18"/>
                <w:szCs w:val="18"/>
              </w:rPr>
              <w:t>richtlijn financiële conglomeraten</w:t>
            </w:r>
            <w:r w:rsidRPr="007456D5">
              <w:rPr>
                <w:rFonts w:ascii="Verdana" w:hAnsi="Verdana" w:cs="Arial"/>
                <w:sz w:val="18"/>
                <w:szCs w:val="18"/>
              </w:rPr>
              <w:t>)</w:t>
            </w:r>
          </w:p>
        </w:tc>
        <w:tc>
          <w:tcPr>
            <w:tcW w:w="1701" w:type="dxa"/>
          </w:tcPr>
          <w:p w:rsidRPr="007456D5" w:rsidR="00CB554D" w:rsidP="007D25C5" w:rsidRDefault="00CB554D" w14:paraId="3A620D3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w:t>
            </w:r>
          </w:p>
        </w:tc>
        <w:tc>
          <w:tcPr>
            <w:tcW w:w="1985" w:type="dxa"/>
          </w:tcPr>
          <w:p w:rsidRPr="007456D5" w:rsidR="00CB554D" w:rsidP="007D25C5" w:rsidRDefault="00CB554D" w14:paraId="5EA2DCFC"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2904AB1B" w14:textId="77777777">
            <w:pPr>
              <w:widowControl w:val="0"/>
              <w:tabs>
                <w:tab w:val="num" w:pos="720"/>
              </w:tabs>
              <w:spacing w:line="240" w:lineRule="exact"/>
              <w:contextualSpacing/>
              <w:rPr>
                <w:rFonts w:ascii="Verdana" w:hAnsi="Verdana" w:cs="Arial"/>
                <w:sz w:val="18"/>
                <w:szCs w:val="18"/>
              </w:rPr>
            </w:pPr>
          </w:p>
        </w:tc>
      </w:tr>
      <w:tr w:rsidRPr="007456D5" w:rsidR="00CB554D" w:rsidTr="00E62FBD" w14:paraId="5B573DC7" w14:textId="77777777">
        <w:tc>
          <w:tcPr>
            <w:tcW w:w="7225" w:type="dxa"/>
            <w:gridSpan w:val="4"/>
          </w:tcPr>
          <w:p w:rsidRPr="007456D5" w:rsidR="00CB554D" w:rsidP="007D25C5" w:rsidRDefault="00CB554D" w14:paraId="2B75A567" w14:textId="4A3BCE7E">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 xml:space="preserve">Wijzigingen van </w:t>
            </w:r>
            <w:r w:rsidRPr="007456D5" w:rsidR="003F2AC3">
              <w:rPr>
                <w:rFonts w:ascii="Verdana" w:hAnsi="Verdana" w:cs="Arial"/>
                <w:b/>
                <w:bCs/>
                <w:sz w:val="18"/>
                <w:szCs w:val="18"/>
              </w:rPr>
              <w:t xml:space="preserve">de </w:t>
            </w:r>
            <w:r w:rsidRPr="007456D5" w:rsidR="00A628C4">
              <w:rPr>
                <w:rFonts w:ascii="Verdana" w:hAnsi="Verdana" w:cs="Arial"/>
                <w:b/>
                <w:bCs/>
                <w:sz w:val="18"/>
                <w:szCs w:val="18"/>
              </w:rPr>
              <w:t>richtlijn openbaar overnamebod</w:t>
            </w:r>
          </w:p>
        </w:tc>
      </w:tr>
      <w:tr w:rsidRPr="007456D5" w:rsidR="005C6504" w:rsidTr="00E62FBD" w14:paraId="2F85CC4D" w14:textId="77777777">
        <w:tc>
          <w:tcPr>
            <w:tcW w:w="1696" w:type="dxa"/>
          </w:tcPr>
          <w:p w:rsidRPr="007456D5" w:rsidR="00CB554D" w:rsidP="007D25C5" w:rsidRDefault="00CB554D" w14:paraId="3CE9E192" w14:textId="3C42E96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2, (art. 16 bis, eerste </w:t>
            </w:r>
            <w:r w:rsidRPr="007456D5" w:rsidR="009C4D5B">
              <w:rPr>
                <w:rFonts w:ascii="Verdana" w:hAnsi="Verdana" w:cs="Arial"/>
                <w:sz w:val="18"/>
                <w:szCs w:val="18"/>
              </w:rPr>
              <w:t>en tweede lid</w:t>
            </w:r>
            <w:r w:rsidRPr="007456D5" w:rsidR="0030590B">
              <w:rPr>
                <w:rFonts w:ascii="Verdana" w:hAnsi="Verdana" w:cs="Arial"/>
                <w:sz w:val="18"/>
                <w:szCs w:val="18"/>
              </w:rPr>
              <w:t>,</w:t>
            </w:r>
            <w:r w:rsidRPr="007456D5">
              <w:rPr>
                <w:rFonts w:ascii="Verdana" w:hAnsi="Verdana" w:cs="Arial"/>
                <w:sz w:val="18"/>
                <w:szCs w:val="18"/>
              </w:rPr>
              <w:t xml:space="preserve"> </w:t>
            </w:r>
            <w:r w:rsidRPr="007456D5" w:rsidR="0030590B">
              <w:rPr>
                <w:rFonts w:ascii="Verdana" w:hAnsi="Verdana" w:cs="Arial"/>
                <w:sz w:val="18"/>
                <w:szCs w:val="18"/>
              </w:rPr>
              <w:t>richtlijn openbaar overnamebod</w:t>
            </w:r>
            <w:r w:rsidRPr="007456D5">
              <w:rPr>
                <w:rFonts w:ascii="Verdana" w:hAnsi="Verdana" w:cs="Arial"/>
                <w:sz w:val="18"/>
                <w:szCs w:val="18"/>
              </w:rPr>
              <w:t>)</w:t>
            </w:r>
          </w:p>
        </w:tc>
        <w:tc>
          <w:tcPr>
            <w:tcW w:w="1701" w:type="dxa"/>
          </w:tcPr>
          <w:p w:rsidRPr="007456D5" w:rsidR="00CB554D" w:rsidP="007D25C5" w:rsidRDefault="00CB554D" w14:paraId="737F758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5:74, vijfde lid, Wft</w:t>
            </w:r>
          </w:p>
          <w:p w:rsidRPr="007456D5" w:rsidR="00CB554D" w:rsidP="007D25C5" w:rsidRDefault="00CB554D" w14:paraId="7BCDA86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5:78, tweede lid Wft</w:t>
            </w:r>
          </w:p>
          <w:p w:rsidRPr="007456D5" w:rsidR="00CB554D" w:rsidP="007D25C5" w:rsidRDefault="00CB554D" w14:paraId="1BC2F700" w14:textId="40EE2F0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openbare biedingen</w:t>
            </w:r>
            <w:r w:rsidRPr="007456D5" w:rsidR="005353EB">
              <w:rPr>
                <w:rFonts w:ascii="Verdana" w:hAnsi="Verdana" w:cs="Arial"/>
                <w:sz w:val="18"/>
                <w:szCs w:val="18"/>
              </w:rPr>
              <w:t xml:space="preserve"> Wft</w:t>
            </w:r>
          </w:p>
        </w:tc>
        <w:tc>
          <w:tcPr>
            <w:tcW w:w="1985" w:type="dxa"/>
          </w:tcPr>
          <w:p w:rsidRPr="007456D5" w:rsidR="00CB554D" w:rsidP="007D25C5" w:rsidRDefault="00CB554D" w14:paraId="218A84A8"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5A0FE9B6"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29ACE7C5" w14:textId="77777777">
        <w:tc>
          <w:tcPr>
            <w:tcW w:w="1696" w:type="dxa"/>
          </w:tcPr>
          <w:p w:rsidRPr="007456D5" w:rsidR="00CB554D" w:rsidP="007D25C5" w:rsidRDefault="00CB554D" w14:paraId="5FC9E47B" w14:textId="5A93B52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2, (16 bis, derde lid, </w:t>
            </w:r>
            <w:r w:rsidRPr="007456D5" w:rsidR="0030590B">
              <w:rPr>
                <w:rFonts w:ascii="Verdana" w:hAnsi="Verdana" w:cs="Arial"/>
                <w:sz w:val="18"/>
                <w:szCs w:val="18"/>
              </w:rPr>
              <w:t>richtlijn openbaar overnamebod</w:t>
            </w:r>
            <w:r w:rsidRPr="007456D5">
              <w:rPr>
                <w:rFonts w:ascii="Verdana" w:hAnsi="Verdana" w:cs="Arial"/>
                <w:sz w:val="18"/>
                <w:szCs w:val="18"/>
              </w:rPr>
              <w:t>)</w:t>
            </w:r>
          </w:p>
        </w:tc>
        <w:tc>
          <w:tcPr>
            <w:tcW w:w="1701" w:type="dxa"/>
          </w:tcPr>
          <w:p w:rsidRPr="007456D5" w:rsidR="00CB554D" w:rsidP="007D25C5" w:rsidRDefault="00CB554D" w14:paraId="5F4F2763" w14:textId="38DA18A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9C4D5B">
              <w:rPr>
                <w:rFonts w:ascii="Verdana" w:hAnsi="Verdana" w:cs="Arial"/>
                <w:sz w:val="18"/>
                <w:szCs w:val="18"/>
              </w:rPr>
              <w:t>110</w:t>
            </w:r>
            <w:r w:rsidRPr="007456D5">
              <w:rPr>
                <w:rFonts w:ascii="Verdana" w:hAnsi="Verdana" w:cs="Arial"/>
                <w:sz w:val="18"/>
                <w:szCs w:val="18"/>
              </w:rPr>
              <w:t xml:space="preserve">, </w:t>
            </w:r>
            <w:r w:rsidRPr="007456D5" w:rsidR="00B06B17">
              <w:rPr>
                <w:rFonts w:ascii="Verdana" w:hAnsi="Verdana" w:cs="Arial"/>
                <w:sz w:val="18"/>
                <w:szCs w:val="18"/>
              </w:rPr>
              <w:t xml:space="preserve">eerste lid, </w:t>
            </w:r>
            <w:r w:rsidRPr="007456D5">
              <w:rPr>
                <w:rFonts w:ascii="Verdana" w:hAnsi="Verdana" w:cs="Arial"/>
                <w:sz w:val="18"/>
                <w:szCs w:val="18"/>
              </w:rPr>
              <w:t>Wft</w:t>
            </w:r>
          </w:p>
        </w:tc>
        <w:tc>
          <w:tcPr>
            <w:tcW w:w="1985" w:type="dxa"/>
          </w:tcPr>
          <w:p w:rsidRPr="007456D5" w:rsidR="00CB554D" w:rsidP="007D25C5" w:rsidRDefault="00CB554D" w14:paraId="7AA6DF9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6EDCDA3A" w14:textId="2B77EE7F">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5C6504" w:rsidTr="00E62FBD" w14:paraId="27812A70" w14:textId="77777777">
        <w:tc>
          <w:tcPr>
            <w:tcW w:w="1696" w:type="dxa"/>
          </w:tcPr>
          <w:p w:rsidRPr="007456D5" w:rsidR="00CB554D" w:rsidP="007D25C5" w:rsidRDefault="00CB554D" w14:paraId="69443E6A" w14:textId="45DBE6A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 xml:space="preserve">2, (16 bis, vierde lid, eerste paragraaf en onderdeel b, </w:t>
            </w:r>
            <w:r w:rsidRPr="007456D5" w:rsidR="0030590B">
              <w:rPr>
                <w:rFonts w:ascii="Verdana" w:hAnsi="Verdana" w:cs="Arial"/>
                <w:sz w:val="18"/>
                <w:szCs w:val="18"/>
              </w:rPr>
              <w:t>richtlijn openbaar overnamebod</w:t>
            </w:r>
            <w:r w:rsidRPr="007456D5">
              <w:rPr>
                <w:rFonts w:ascii="Verdana" w:hAnsi="Verdana" w:cs="Arial"/>
                <w:sz w:val="18"/>
                <w:szCs w:val="18"/>
              </w:rPr>
              <w:t>)</w:t>
            </w:r>
          </w:p>
        </w:tc>
        <w:tc>
          <w:tcPr>
            <w:tcW w:w="1701" w:type="dxa"/>
          </w:tcPr>
          <w:p w:rsidRPr="007456D5" w:rsidR="00CB554D" w:rsidP="007D25C5" w:rsidRDefault="005761A0" w14:paraId="7A1B5E24" w14:textId="5007F008">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het b</w:t>
            </w:r>
            <w:r w:rsidRPr="007456D5" w:rsidR="00CB554D">
              <w:rPr>
                <w:rFonts w:ascii="Verdana" w:hAnsi="Verdana" w:cs="Arial"/>
                <w:sz w:val="18"/>
                <w:szCs w:val="18"/>
              </w:rPr>
              <w:t>esluit openbare biedingen</w:t>
            </w:r>
            <w:r w:rsidRPr="007456D5" w:rsidR="005353EB">
              <w:rPr>
                <w:rFonts w:ascii="Verdana" w:hAnsi="Verdana" w:cs="Arial"/>
                <w:sz w:val="18"/>
                <w:szCs w:val="18"/>
              </w:rPr>
              <w:t xml:space="preserve"> Wft</w:t>
            </w:r>
          </w:p>
        </w:tc>
        <w:tc>
          <w:tcPr>
            <w:tcW w:w="1985" w:type="dxa"/>
          </w:tcPr>
          <w:p w:rsidRPr="007456D5" w:rsidR="00CB554D" w:rsidP="007D25C5" w:rsidRDefault="00CB554D" w14:paraId="06F79207"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62A9CF43"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5AD15D8B" w14:textId="77777777">
        <w:tc>
          <w:tcPr>
            <w:tcW w:w="1696" w:type="dxa"/>
          </w:tcPr>
          <w:p w:rsidRPr="007456D5" w:rsidR="00CB554D" w:rsidP="007D25C5" w:rsidRDefault="00CB554D" w14:paraId="2145D026" w14:textId="0713AA3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2, (16 bis, vierde lid, onderdeel a, </w:t>
            </w:r>
            <w:r w:rsidRPr="007456D5" w:rsidR="0030590B">
              <w:rPr>
                <w:rFonts w:ascii="Verdana" w:hAnsi="Verdana" w:cs="Arial"/>
                <w:sz w:val="18"/>
                <w:szCs w:val="18"/>
              </w:rPr>
              <w:t>richtlijn openbaar overnamebod</w:t>
            </w:r>
            <w:r w:rsidRPr="007456D5">
              <w:rPr>
                <w:rFonts w:ascii="Verdana" w:hAnsi="Verdana" w:cs="Arial"/>
                <w:sz w:val="18"/>
                <w:szCs w:val="18"/>
              </w:rPr>
              <w:t>)</w:t>
            </w:r>
          </w:p>
        </w:tc>
        <w:tc>
          <w:tcPr>
            <w:tcW w:w="1701" w:type="dxa"/>
          </w:tcPr>
          <w:p w:rsidRPr="007456D5" w:rsidR="00CB554D" w:rsidP="007D25C5" w:rsidRDefault="005761A0" w14:paraId="0E4F03E5" w14:textId="1EC4D90C">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het b</w:t>
            </w:r>
            <w:r w:rsidRPr="007456D5">
              <w:rPr>
                <w:rFonts w:ascii="Verdana" w:hAnsi="Verdana" w:cs="Arial"/>
                <w:sz w:val="18"/>
                <w:szCs w:val="18"/>
              </w:rPr>
              <w:t>esluit openbare biedingen Wft</w:t>
            </w:r>
          </w:p>
        </w:tc>
        <w:tc>
          <w:tcPr>
            <w:tcW w:w="1985" w:type="dxa"/>
          </w:tcPr>
          <w:p w:rsidRPr="007456D5" w:rsidR="00CB554D" w:rsidP="007D25C5" w:rsidRDefault="00CB554D" w14:paraId="0855239D"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4543F316"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1972D149" w14:textId="77777777">
        <w:tc>
          <w:tcPr>
            <w:tcW w:w="1696" w:type="dxa"/>
          </w:tcPr>
          <w:p w:rsidRPr="007456D5" w:rsidR="00CB554D" w:rsidP="007D25C5" w:rsidRDefault="00CB554D" w14:paraId="2CFE936F" w14:textId="1084F4E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 (16 bis, vijfde lid</w:t>
            </w:r>
            <w:r w:rsidRPr="007456D5" w:rsidR="0030590B">
              <w:rPr>
                <w:rFonts w:ascii="Verdana" w:hAnsi="Verdana" w:cs="Arial"/>
                <w:sz w:val="18"/>
                <w:szCs w:val="18"/>
              </w:rPr>
              <w:t>,</w:t>
            </w:r>
            <w:r w:rsidRPr="007456D5">
              <w:rPr>
                <w:rFonts w:ascii="Verdana" w:hAnsi="Verdana" w:cs="Arial"/>
                <w:sz w:val="18"/>
                <w:szCs w:val="18"/>
              </w:rPr>
              <w:t xml:space="preserve"> </w:t>
            </w:r>
            <w:r w:rsidRPr="007456D5" w:rsidR="0030590B">
              <w:rPr>
                <w:rFonts w:ascii="Verdana" w:hAnsi="Verdana" w:cs="Arial"/>
                <w:sz w:val="18"/>
                <w:szCs w:val="18"/>
              </w:rPr>
              <w:t>richtlijn openbaar overnamebod</w:t>
            </w:r>
            <w:r w:rsidRPr="007456D5">
              <w:rPr>
                <w:rFonts w:ascii="Verdana" w:hAnsi="Verdana" w:cs="Arial"/>
                <w:sz w:val="18"/>
                <w:szCs w:val="18"/>
              </w:rPr>
              <w:t>)</w:t>
            </w:r>
          </w:p>
        </w:tc>
        <w:tc>
          <w:tcPr>
            <w:tcW w:w="1701" w:type="dxa"/>
          </w:tcPr>
          <w:p w:rsidRPr="007456D5" w:rsidR="00CB554D" w:rsidP="007D25C5" w:rsidRDefault="00CB554D" w14:paraId="3D6ADF6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 en de Europese Commissie.</w:t>
            </w:r>
          </w:p>
        </w:tc>
        <w:tc>
          <w:tcPr>
            <w:tcW w:w="1985" w:type="dxa"/>
          </w:tcPr>
          <w:p w:rsidRPr="007456D5" w:rsidR="00CB554D" w:rsidP="007D25C5" w:rsidRDefault="00CB554D" w14:paraId="4809DA6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3D0C3C51"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0B64301A" w14:textId="77777777">
        <w:tc>
          <w:tcPr>
            <w:tcW w:w="1696" w:type="dxa"/>
          </w:tcPr>
          <w:p w:rsidRPr="007456D5" w:rsidR="00CB554D" w:rsidP="007D25C5" w:rsidRDefault="00CB554D" w14:paraId="64D39989" w14:textId="5E7A24F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2, (16 bis, zesde lid, </w:t>
            </w:r>
            <w:r w:rsidRPr="007456D5" w:rsidR="00A628C4">
              <w:rPr>
                <w:rFonts w:ascii="Verdana" w:hAnsi="Verdana" w:cs="Arial"/>
                <w:sz w:val="18"/>
                <w:szCs w:val="18"/>
              </w:rPr>
              <w:t>r</w:t>
            </w:r>
            <w:r w:rsidRPr="007456D5" w:rsidR="0030590B">
              <w:rPr>
                <w:rFonts w:ascii="Verdana" w:hAnsi="Verdana" w:cs="Arial"/>
                <w:sz w:val="18"/>
                <w:szCs w:val="18"/>
              </w:rPr>
              <w:t>ichtlijn openbaar overnamebod</w:t>
            </w:r>
            <w:r w:rsidRPr="007456D5">
              <w:rPr>
                <w:rFonts w:ascii="Verdana" w:hAnsi="Verdana" w:cs="Arial"/>
                <w:sz w:val="18"/>
                <w:szCs w:val="18"/>
              </w:rPr>
              <w:t>)</w:t>
            </w:r>
          </w:p>
        </w:tc>
        <w:tc>
          <w:tcPr>
            <w:tcW w:w="1701" w:type="dxa"/>
          </w:tcPr>
          <w:p w:rsidRPr="007456D5" w:rsidR="00CB554D" w:rsidP="007D25C5" w:rsidRDefault="00CB554D" w14:paraId="24B6099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w:t>
            </w:r>
          </w:p>
        </w:tc>
        <w:tc>
          <w:tcPr>
            <w:tcW w:w="1985" w:type="dxa"/>
          </w:tcPr>
          <w:p w:rsidRPr="007456D5" w:rsidR="00CB554D" w:rsidP="007D25C5" w:rsidRDefault="00CB554D" w14:paraId="7699CF9F"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05BEFFB3" w14:textId="77777777">
            <w:pPr>
              <w:widowControl w:val="0"/>
              <w:tabs>
                <w:tab w:val="num" w:pos="720"/>
              </w:tabs>
              <w:spacing w:line="240" w:lineRule="exact"/>
              <w:contextualSpacing/>
              <w:rPr>
                <w:rFonts w:ascii="Verdana" w:hAnsi="Verdana" w:cs="Arial"/>
                <w:sz w:val="18"/>
                <w:szCs w:val="18"/>
              </w:rPr>
            </w:pPr>
          </w:p>
        </w:tc>
      </w:tr>
      <w:tr w:rsidRPr="007456D5" w:rsidR="00CB554D" w:rsidTr="00E62FBD" w14:paraId="1E90C68A" w14:textId="77777777">
        <w:tc>
          <w:tcPr>
            <w:tcW w:w="7225" w:type="dxa"/>
            <w:gridSpan w:val="4"/>
          </w:tcPr>
          <w:p w:rsidRPr="007456D5" w:rsidR="00CB554D" w:rsidP="007D25C5" w:rsidRDefault="00CB554D" w14:paraId="1D960028" w14:textId="33480B2E">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w:t>
            </w:r>
            <w:r w:rsidRPr="007456D5" w:rsidR="003F2AC3">
              <w:rPr>
                <w:rFonts w:ascii="Verdana" w:hAnsi="Verdana" w:cs="Arial"/>
                <w:b/>
                <w:bCs/>
                <w:sz w:val="18"/>
                <w:szCs w:val="18"/>
              </w:rPr>
              <w:t xml:space="preserve"> de </w:t>
            </w:r>
            <w:r w:rsidRPr="007456D5" w:rsidR="00BD2E05">
              <w:rPr>
                <w:rFonts w:ascii="Verdana" w:hAnsi="Verdana" w:cs="Arial"/>
                <w:b/>
                <w:bCs/>
                <w:sz w:val="18"/>
                <w:szCs w:val="18"/>
              </w:rPr>
              <w:t>r</w:t>
            </w:r>
            <w:r w:rsidRPr="007456D5">
              <w:rPr>
                <w:rFonts w:ascii="Verdana" w:hAnsi="Verdana" w:cs="Arial"/>
                <w:b/>
                <w:bCs/>
                <w:sz w:val="18"/>
                <w:szCs w:val="18"/>
              </w:rPr>
              <w:t>ichtlijn transparantie</w:t>
            </w:r>
          </w:p>
        </w:tc>
      </w:tr>
      <w:tr w:rsidRPr="007456D5" w:rsidR="005C6504" w:rsidTr="00E62FBD" w14:paraId="68D9D538" w14:textId="77777777">
        <w:tc>
          <w:tcPr>
            <w:tcW w:w="1696" w:type="dxa"/>
          </w:tcPr>
          <w:p w:rsidRPr="007456D5" w:rsidR="00CB554D" w:rsidP="007D25C5" w:rsidRDefault="00CB554D" w14:paraId="331D64F7" w14:textId="0D22CE7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(21 bis, </w:t>
            </w:r>
            <w:r w:rsidRPr="007456D5" w:rsidR="00A628C4">
              <w:rPr>
                <w:rFonts w:ascii="Verdana" w:hAnsi="Verdana" w:cs="Arial"/>
                <w:sz w:val="18"/>
                <w:szCs w:val="18"/>
              </w:rPr>
              <w:t>r</w:t>
            </w:r>
            <w:r w:rsidRPr="007456D5" w:rsidR="0030590B">
              <w:rPr>
                <w:rFonts w:ascii="Verdana" w:hAnsi="Verdana" w:cs="Arial"/>
                <w:sz w:val="18"/>
                <w:szCs w:val="18"/>
              </w:rPr>
              <w:t>ichtlijn transparantie</w:t>
            </w:r>
            <w:r w:rsidRPr="007456D5">
              <w:rPr>
                <w:rFonts w:ascii="Verdana" w:hAnsi="Verdana" w:cs="Arial"/>
                <w:sz w:val="18"/>
                <w:szCs w:val="18"/>
              </w:rPr>
              <w:t>)</w:t>
            </w:r>
          </w:p>
        </w:tc>
        <w:tc>
          <w:tcPr>
            <w:tcW w:w="1701" w:type="dxa"/>
          </w:tcPr>
          <w:p w:rsidRPr="007456D5" w:rsidR="00CB554D" w:rsidP="007D25C5" w:rsidRDefault="00CB554D" w14:paraId="09B7207D" w14:textId="7BA0E51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Artikel wordt geschrapt</w:t>
            </w:r>
            <w:r w:rsidR="00305AEF">
              <w:rPr>
                <w:rFonts w:ascii="Verdana" w:hAnsi="Verdana" w:cs="Arial"/>
                <w:sz w:val="18"/>
                <w:szCs w:val="18"/>
              </w:rPr>
              <w:t xml:space="preserve"> en was gericht tot ESMA</w:t>
            </w:r>
            <w:r w:rsidRPr="007456D5">
              <w:rPr>
                <w:rFonts w:ascii="Verdana" w:hAnsi="Verdana" w:cs="Arial"/>
                <w:sz w:val="18"/>
                <w:szCs w:val="18"/>
              </w:rPr>
              <w:t>.</w:t>
            </w:r>
          </w:p>
        </w:tc>
        <w:tc>
          <w:tcPr>
            <w:tcW w:w="1985" w:type="dxa"/>
          </w:tcPr>
          <w:p w:rsidRPr="007456D5" w:rsidR="00CB554D" w:rsidP="007D25C5" w:rsidRDefault="00CB554D" w14:paraId="51661D32"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557AF36F" w14:textId="0BB386ED">
            <w:pPr>
              <w:widowControl w:val="0"/>
              <w:tabs>
                <w:tab w:val="num" w:pos="720"/>
              </w:tabs>
              <w:spacing w:line="240" w:lineRule="exact"/>
              <w:contextualSpacing/>
              <w:rPr>
                <w:rFonts w:ascii="Verdana" w:hAnsi="Verdana" w:cs="Arial"/>
                <w:sz w:val="18"/>
                <w:szCs w:val="18"/>
              </w:rPr>
            </w:pPr>
          </w:p>
        </w:tc>
      </w:tr>
      <w:tr w:rsidRPr="007456D5" w:rsidR="005C6504" w:rsidTr="00E62FBD" w14:paraId="53197757" w14:textId="77777777">
        <w:tc>
          <w:tcPr>
            <w:tcW w:w="1696" w:type="dxa"/>
          </w:tcPr>
          <w:p w:rsidRPr="007456D5" w:rsidR="00CB554D" w:rsidP="007D25C5" w:rsidRDefault="00CB554D" w14:paraId="07D5B4C4" w14:textId="6C6CB19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 (23 bis, eerste</w:t>
            </w:r>
            <w:r w:rsidRPr="007456D5" w:rsidR="009C4D5B">
              <w:rPr>
                <w:rFonts w:ascii="Verdana" w:hAnsi="Verdana" w:cs="Arial"/>
                <w:sz w:val="18"/>
                <w:szCs w:val="18"/>
              </w:rPr>
              <w:t xml:space="preserve"> en tweede</w:t>
            </w:r>
            <w:r w:rsidRPr="007456D5">
              <w:rPr>
                <w:rFonts w:ascii="Verdana" w:hAnsi="Verdana" w:cs="Arial"/>
                <w:sz w:val="18"/>
                <w:szCs w:val="18"/>
              </w:rPr>
              <w:t xml:space="preserve"> lid, </w:t>
            </w:r>
            <w:r w:rsidRPr="007456D5" w:rsidR="00BD2E05">
              <w:rPr>
                <w:rFonts w:ascii="Verdana" w:hAnsi="Verdana" w:cs="Arial"/>
                <w:sz w:val="18"/>
                <w:szCs w:val="18"/>
              </w:rPr>
              <w:t>richtlijn transparantie</w:t>
            </w:r>
            <w:r w:rsidRPr="007456D5">
              <w:rPr>
                <w:rFonts w:ascii="Verdana" w:hAnsi="Verdana" w:cs="Arial"/>
                <w:sz w:val="18"/>
                <w:szCs w:val="18"/>
              </w:rPr>
              <w:t>)</w:t>
            </w:r>
          </w:p>
        </w:tc>
        <w:tc>
          <w:tcPr>
            <w:tcW w:w="1701" w:type="dxa"/>
          </w:tcPr>
          <w:p w:rsidRPr="007456D5" w:rsidR="00CB554D" w:rsidP="007D25C5" w:rsidRDefault="00CB554D" w14:paraId="2C847A8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5:25m, zevende lid, Wft</w:t>
            </w:r>
          </w:p>
        </w:tc>
        <w:tc>
          <w:tcPr>
            <w:tcW w:w="1985" w:type="dxa"/>
          </w:tcPr>
          <w:p w:rsidRPr="007456D5" w:rsidR="00CB554D" w:rsidP="007D25C5" w:rsidRDefault="00CB554D" w14:paraId="715C5C4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7F4D49E9"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54E0A294" w14:textId="77777777">
        <w:tc>
          <w:tcPr>
            <w:tcW w:w="1696" w:type="dxa"/>
          </w:tcPr>
          <w:p w:rsidRPr="007456D5" w:rsidR="00CB554D" w:rsidP="007D25C5" w:rsidRDefault="00CB554D" w14:paraId="7719A598" w14:textId="11753CC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(23 bis, derde lid, </w:t>
            </w:r>
            <w:r w:rsidRPr="007456D5" w:rsidR="00BD2E05">
              <w:rPr>
                <w:rFonts w:ascii="Verdana" w:hAnsi="Verdana" w:cs="Arial"/>
                <w:sz w:val="18"/>
                <w:szCs w:val="18"/>
              </w:rPr>
              <w:t>richtlijn transparantie</w:t>
            </w:r>
            <w:r w:rsidRPr="007456D5">
              <w:rPr>
                <w:rFonts w:ascii="Verdana" w:hAnsi="Verdana" w:cs="Arial"/>
                <w:sz w:val="18"/>
                <w:szCs w:val="18"/>
              </w:rPr>
              <w:t>)</w:t>
            </w:r>
          </w:p>
        </w:tc>
        <w:tc>
          <w:tcPr>
            <w:tcW w:w="1701" w:type="dxa"/>
          </w:tcPr>
          <w:p w:rsidRPr="007456D5" w:rsidR="00CB554D" w:rsidP="007D25C5" w:rsidRDefault="000C5AC2" w14:paraId="2DF2AFF5" w14:textId="217F029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4276C8">
              <w:rPr>
                <w:rFonts w:ascii="Verdana" w:hAnsi="Verdana" w:cs="Arial"/>
                <w:sz w:val="18"/>
                <w:szCs w:val="18"/>
              </w:rPr>
              <w:t>110</w:t>
            </w:r>
            <w:r w:rsidRPr="007456D5">
              <w:rPr>
                <w:rFonts w:ascii="Verdana" w:hAnsi="Verdana" w:cs="Arial"/>
                <w:sz w:val="18"/>
                <w:szCs w:val="18"/>
              </w:rPr>
              <w:t>, eerste lid, Wft</w:t>
            </w:r>
          </w:p>
        </w:tc>
        <w:tc>
          <w:tcPr>
            <w:tcW w:w="1985" w:type="dxa"/>
          </w:tcPr>
          <w:p w:rsidRPr="007456D5" w:rsidR="00CB554D" w:rsidP="007D25C5" w:rsidRDefault="00CB554D" w14:paraId="525507A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231417C5" w14:textId="6A348B4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w:t>
            </w:r>
            <w:r w:rsidRPr="007456D5" w:rsidR="000C5AC2">
              <w:rPr>
                <w:rFonts w:ascii="Verdana" w:hAnsi="Verdana" w:cs="Arial"/>
                <w:sz w:val="18"/>
                <w:szCs w:val="18"/>
              </w:rPr>
              <w:t xml:space="preserve"> </w:t>
            </w:r>
            <w:r w:rsidRPr="007456D5" w:rsidR="0053675A">
              <w:rPr>
                <w:rFonts w:ascii="Verdana" w:hAnsi="Verdana" w:cs="Arial"/>
                <w:sz w:val="18"/>
                <w:szCs w:val="18"/>
              </w:rPr>
              <w:t>onderdeel 2, van verordening oprichting ESAP.</w:t>
            </w:r>
          </w:p>
        </w:tc>
      </w:tr>
      <w:tr w:rsidRPr="007456D5" w:rsidR="005C6504" w:rsidTr="00E62FBD" w14:paraId="25F5CB1D" w14:textId="77777777">
        <w:tc>
          <w:tcPr>
            <w:tcW w:w="1696" w:type="dxa"/>
          </w:tcPr>
          <w:p w:rsidRPr="007456D5" w:rsidR="00CB554D" w:rsidP="007D25C5" w:rsidRDefault="00CB554D" w14:paraId="48C9E294" w14:textId="3CC73E2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(23 bis, vierde lid, eerste paragraaf en onderdeel b, </w:t>
            </w:r>
            <w:r w:rsidRPr="007456D5" w:rsidR="00BD2E05">
              <w:rPr>
                <w:rFonts w:ascii="Verdana" w:hAnsi="Verdana" w:cs="Arial"/>
                <w:sz w:val="18"/>
                <w:szCs w:val="18"/>
              </w:rPr>
              <w:t>richtlijn transparantie</w:t>
            </w:r>
            <w:r w:rsidRPr="007456D5">
              <w:rPr>
                <w:rFonts w:ascii="Verdana" w:hAnsi="Verdana" w:cs="Arial"/>
                <w:sz w:val="18"/>
                <w:szCs w:val="18"/>
              </w:rPr>
              <w:t>)</w:t>
            </w:r>
          </w:p>
        </w:tc>
        <w:tc>
          <w:tcPr>
            <w:tcW w:w="1701" w:type="dxa"/>
          </w:tcPr>
          <w:p w:rsidRPr="007456D5" w:rsidR="00CB554D" w:rsidP="007D25C5" w:rsidRDefault="00CB554D" w14:paraId="0406274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tc>
        <w:tc>
          <w:tcPr>
            <w:tcW w:w="1985" w:type="dxa"/>
          </w:tcPr>
          <w:p w:rsidRPr="007456D5" w:rsidR="00CB554D" w:rsidP="007D25C5" w:rsidRDefault="00CB554D" w14:paraId="7B1E7F26"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5C00CE43"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1A1E2A73" w14:textId="77777777">
        <w:tc>
          <w:tcPr>
            <w:tcW w:w="1696" w:type="dxa"/>
          </w:tcPr>
          <w:p w:rsidRPr="007456D5" w:rsidR="00CB554D" w:rsidP="007D25C5" w:rsidRDefault="00CB554D" w14:paraId="617DEB27" w14:textId="4A70D6C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(23 bis, vierde lid, onderdeel a, </w:t>
            </w:r>
            <w:r w:rsidRPr="007456D5" w:rsidR="00BD2E05">
              <w:rPr>
                <w:rFonts w:ascii="Verdana" w:hAnsi="Verdana" w:cs="Arial"/>
                <w:sz w:val="18"/>
                <w:szCs w:val="18"/>
              </w:rPr>
              <w:t>richt</w:t>
            </w:r>
            <w:r w:rsidRPr="007456D5" w:rsidR="00BD2E05">
              <w:rPr>
                <w:rFonts w:ascii="Verdana" w:hAnsi="Verdana" w:cs="Arial"/>
                <w:sz w:val="18"/>
                <w:szCs w:val="18"/>
              </w:rPr>
              <w:lastRenderedPageBreak/>
              <w:t>lijn transparantie</w:t>
            </w:r>
            <w:r w:rsidRPr="007456D5">
              <w:rPr>
                <w:rFonts w:ascii="Verdana" w:hAnsi="Verdana" w:cs="Arial"/>
                <w:sz w:val="18"/>
                <w:szCs w:val="18"/>
              </w:rPr>
              <w:t>)</w:t>
            </w:r>
          </w:p>
        </w:tc>
        <w:tc>
          <w:tcPr>
            <w:tcW w:w="1701" w:type="dxa"/>
          </w:tcPr>
          <w:p w:rsidRPr="007456D5" w:rsidR="00CB554D" w:rsidP="007D25C5" w:rsidRDefault="00CB554D" w14:paraId="36B32C4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1:97, zevende lid, Wft</w:t>
            </w:r>
          </w:p>
        </w:tc>
        <w:tc>
          <w:tcPr>
            <w:tcW w:w="1985" w:type="dxa"/>
          </w:tcPr>
          <w:p w:rsidRPr="007456D5" w:rsidR="00CB554D" w:rsidP="007D25C5" w:rsidRDefault="00CB554D" w14:paraId="12B69C54"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0297F1A6"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2B4F136B" w14:textId="77777777">
        <w:tc>
          <w:tcPr>
            <w:tcW w:w="1696" w:type="dxa"/>
          </w:tcPr>
          <w:p w:rsidRPr="007456D5" w:rsidR="00CB554D" w:rsidP="007D25C5" w:rsidRDefault="00CB554D" w14:paraId="124F39A7" w14:textId="46F8F30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(23 bis, vijfde lid, </w:t>
            </w:r>
            <w:r w:rsidRPr="007456D5" w:rsidR="00BD2E05">
              <w:rPr>
                <w:rFonts w:ascii="Verdana" w:hAnsi="Verdana" w:cs="Arial"/>
                <w:sz w:val="18"/>
                <w:szCs w:val="18"/>
              </w:rPr>
              <w:t>richtlijn transparantie</w:t>
            </w:r>
            <w:r w:rsidRPr="007456D5">
              <w:rPr>
                <w:rFonts w:ascii="Verdana" w:hAnsi="Verdana" w:cs="Arial"/>
                <w:sz w:val="18"/>
                <w:szCs w:val="18"/>
              </w:rPr>
              <w:t>)</w:t>
            </w:r>
          </w:p>
        </w:tc>
        <w:tc>
          <w:tcPr>
            <w:tcW w:w="1701" w:type="dxa"/>
          </w:tcPr>
          <w:p w:rsidRPr="007456D5" w:rsidR="00CB554D" w:rsidP="007D25C5" w:rsidRDefault="00CB554D" w14:paraId="046364C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 en de Europese Commissie.</w:t>
            </w:r>
          </w:p>
        </w:tc>
        <w:tc>
          <w:tcPr>
            <w:tcW w:w="1985" w:type="dxa"/>
          </w:tcPr>
          <w:p w:rsidRPr="007456D5" w:rsidR="00CB554D" w:rsidP="007D25C5" w:rsidRDefault="00CB554D" w14:paraId="741F01F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649B0D03" w14:textId="77777777">
            <w:pPr>
              <w:widowControl w:val="0"/>
              <w:tabs>
                <w:tab w:val="num" w:pos="720"/>
              </w:tabs>
              <w:spacing w:line="240" w:lineRule="exact"/>
              <w:contextualSpacing/>
              <w:rPr>
                <w:rFonts w:ascii="Verdana" w:hAnsi="Verdana" w:cs="Arial"/>
                <w:sz w:val="18"/>
                <w:szCs w:val="18"/>
              </w:rPr>
            </w:pPr>
          </w:p>
        </w:tc>
      </w:tr>
      <w:tr w:rsidRPr="007456D5" w:rsidR="005C6504" w:rsidTr="00E62FBD" w14:paraId="5B8A4580" w14:textId="77777777">
        <w:tc>
          <w:tcPr>
            <w:tcW w:w="1696" w:type="dxa"/>
          </w:tcPr>
          <w:p w:rsidRPr="007456D5" w:rsidR="00CB554D" w:rsidP="007D25C5" w:rsidRDefault="00CB554D" w14:paraId="13A8B5DB" w14:textId="2CD65CC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(23 bis, zesde lid, </w:t>
            </w:r>
            <w:r w:rsidRPr="007456D5" w:rsidR="00BD2E05">
              <w:rPr>
                <w:rFonts w:ascii="Verdana" w:hAnsi="Verdana" w:cs="Arial"/>
                <w:sz w:val="18"/>
                <w:szCs w:val="18"/>
              </w:rPr>
              <w:t>richtlijn transparantie</w:t>
            </w:r>
            <w:r w:rsidRPr="007456D5">
              <w:rPr>
                <w:rFonts w:ascii="Verdana" w:hAnsi="Verdana" w:cs="Arial"/>
                <w:sz w:val="18"/>
                <w:szCs w:val="18"/>
              </w:rPr>
              <w:t>)</w:t>
            </w:r>
          </w:p>
        </w:tc>
        <w:tc>
          <w:tcPr>
            <w:tcW w:w="1701" w:type="dxa"/>
          </w:tcPr>
          <w:p w:rsidRPr="007456D5" w:rsidR="00CB554D" w:rsidP="007D25C5" w:rsidRDefault="00CB554D" w14:paraId="4A555F0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w:t>
            </w:r>
          </w:p>
        </w:tc>
        <w:tc>
          <w:tcPr>
            <w:tcW w:w="1985" w:type="dxa"/>
          </w:tcPr>
          <w:p w:rsidRPr="007456D5" w:rsidR="00CB554D" w:rsidP="007D25C5" w:rsidRDefault="00CB554D" w14:paraId="482CADBF"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CB554D" w:rsidP="007D25C5" w:rsidRDefault="00CB554D" w14:paraId="7512566B" w14:textId="77777777">
            <w:pPr>
              <w:widowControl w:val="0"/>
              <w:tabs>
                <w:tab w:val="num" w:pos="720"/>
              </w:tabs>
              <w:spacing w:line="240" w:lineRule="exact"/>
              <w:contextualSpacing/>
              <w:rPr>
                <w:rFonts w:ascii="Verdana" w:hAnsi="Verdana" w:cs="Arial"/>
                <w:sz w:val="18"/>
                <w:szCs w:val="18"/>
              </w:rPr>
            </w:pPr>
          </w:p>
        </w:tc>
      </w:tr>
      <w:tr w:rsidRPr="007456D5" w:rsidR="00CB554D" w:rsidTr="00E62FBD" w14:paraId="264B71D5" w14:textId="77777777">
        <w:tc>
          <w:tcPr>
            <w:tcW w:w="7225" w:type="dxa"/>
            <w:gridSpan w:val="4"/>
          </w:tcPr>
          <w:p w:rsidRPr="007456D5" w:rsidR="00CB554D" w:rsidP="007D25C5" w:rsidRDefault="00CB554D" w14:paraId="62991870" w14:textId="6B6DD1E8">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 xml:space="preserve">Wijzigingen van </w:t>
            </w:r>
            <w:r w:rsidRPr="007456D5" w:rsidR="003F2AC3">
              <w:rPr>
                <w:rFonts w:ascii="Verdana" w:hAnsi="Verdana" w:cs="Arial"/>
                <w:b/>
                <w:bCs/>
                <w:sz w:val="18"/>
                <w:szCs w:val="18"/>
              </w:rPr>
              <w:t xml:space="preserve">de </w:t>
            </w:r>
            <w:r w:rsidRPr="007456D5" w:rsidR="00744028">
              <w:rPr>
                <w:rFonts w:ascii="Verdana" w:hAnsi="Verdana" w:cs="Arial"/>
                <w:b/>
                <w:bCs/>
                <w:sz w:val="18"/>
                <w:szCs w:val="18"/>
              </w:rPr>
              <w:t>a</w:t>
            </w:r>
            <w:r w:rsidRPr="007456D5">
              <w:rPr>
                <w:rFonts w:ascii="Verdana" w:hAnsi="Verdana" w:cs="Arial"/>
                <w:b/>
                <w:bCs/>
                <w:sz w:val="18"/>
                <w:szCs w:val="18"/>
              </w:rPr>
              <w:t>udit richtlijn</w:t>
            </w:r>
          </w:p>
        </w:tc>
      </w:tr>
      <w:tr w:rsidRPr="007456D5" w:rsidR="007B67B9" w:rsidTr="00E62FBD" w14:paraId="6A972FE3" w14:textId="77777777">
        <w:tc>
          <w:tcPr>
            <w:tcW w:w="1696" w:type="dxa"/>
          </w:tcPr>
          <w:p w:rsidRPr="007456D5" w:rsidR="007B67B9" w:rsidP="007D25C5" w:rsidRDefault="007B67B9" w14:paraId="375AB67F" w14:textId="7A442CC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 (20 bis, eerste lid, audit richtlijn)</w:t>
            </w:r>
          </w:p>
        </w:tc>
        <w:tc>
          <w:tcPr>
            <w:tcW w:w="1701" w:type="dxa"/>
          </w:tcPr>
          <w:p w:rsidRPr="007456D5" w:rsidR="007B67B9" w:rsidP="007D25C5" w:rsidRDefault="007B67B9" w14:paraId="2E17EFDE" w14:textId="36C34F35">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72, </w:t>
            </w:r>
            <w:proofErr w:type="spellStart"/>
            <w:r w:rsidRPr="007456D5">
              <w:rPr>
                <w:rFonts w:ascii="Verdana" w:hAnsi="Verdana" w:cs="Arial"/>
                <w:sz w:val="18"/>
                <w:szCs w:val="18"/>
              </w:rPr>
              <w:t>Wta</w:t>
            </w:r>
            <w:proofErr w:type="spellEnd"/>
          </w:p>
        </w:tc>
        <w:tc>
          <w:tcPr>
            <w:tcW w:w="1985" w:type="dxa"/>
          </w:tcPr>
          <w:p w:rsidRPr="007456D5" w:rsidR="007B67B9" w:rsidP="007D25C5" w:rsidRDefault="007B67B9" w14:paraId="6759E74C"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7F0B2BAB" w14:textId="780DCDF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7B67B9" w:rsidTr="00E62FBD" w14:paraId="43FF604F" w14:textId="77777777">
        <w:tc>
          <w:tcPr>
            <w:tcW w:w="1696" w:type="dxa"/>
          </w:tcPr>
          <w:p w:rsidRPr="007456D5" w:rsidR="007B67B9" w:rsidP="007D25C5" w:rsidRDefault="007B67B9" w14:paraId="3FE40A2E" w14:textId="18141A9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 (20 bis, tweede lid, audit richtlijn)</w:t>
            </w:r>
          </w:p>
        </w:tc>
        <w:tc>
          <w:tcPr>
            <w:tcW w:w="1701" w:type="dxa"/>
          </w:tcPr>
          <w:p w:rsidRPr="007456D5" w:rsidR="007B67B9" w:rsidP="007D25C5" w:rsidRDefault="007B67B9" w14:paraId="2A676A24" w14:textId="6872D2F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11a, </w:t>
            </w:r>
            <w:proofErr w:type="spellStart"/>
            <w:r w:rsidRPr="007456D5">
              <w:rPr>
                <w:rFonts w:ascii="Verdana" w:hAnsi="Verdana" w:cs="Arial"/>
                <w:sz w:val="18"/>
                <w:szCs w:val="18"/>
              </w:rPr>
              <w:t>Wta</w:t>
            </w:r>
            <w:proofErr w:type="spellEnd"/>
          </w:p>
        </w:tc>
        <w:tc>
          <w:tcPr>
            <w:tcW w:w="1985" w:type="dxa"/>
          </w:tcPr>
          <w:p w:rsidRPr="007456D5" w:rsidR="007B67B9" w:rsidP="007D25C5" w:rsidRDefault="007B67B9" w14:paraId="5C5FC257"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60AF6696" w14:textId="138D70F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7B67B9" w:rsidTr="00E62FBD" w14:paraId="1A143C75" w14:textId="77777777">
        <w:tc>
          <w:tcPr>
            <w:tcW w:w="7225" w:type="dxa"/>
            <w:gridSpan w:val="4"/>
          </w:tcPr>
          <w:p w:rsidRPr="007456D5" w:rsidR="007B67B9" w:rsidP="007D25C5" w:rsidRDefault="007B67B9" w14:paraId="26A16E61" w14:textId="3D314A88">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aandeelhoudersrechten</w:t>
            </w:r>
          </w:p>
        </w:tc>
      </w:tr>
      <w:tr w:rsidRPr="007456D5" w:rsidR="007B67B9" w:rsidTr="00E62FBD" w14:paraId="530FD4D9" w14:textId="77777777">
        <w:tc>
          <w:tcPr>
            <w:tcW w:w="1696" w:type="dxa"/>
          </w:tcPr>
          <w:p w:rsidRPr="007456D5" w:rsidR="007B67B9" w:rsidP="007D25C5" w:rsidRDefault="007B67B9" w14:paraId="15601758" w14:textId="49E5709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5, (14 </w:t>
            </w:r>
            <w:proofErr w:type="spellStart"/>
            <w:r w:rsidRPr="007456D5">
              <w:rPr>
                <w:rFonts w:ascii="Verdana" w:hAnsi="Verdana" w:cs="Arial"/>
                <w:sz w:val="18"/>
                <w:szCs w:val="18"/>
              </w:rPr>
              <w:t>quater</w:t>
            </w:r>
            <w:proofErr w:type="spellEnd"/>
            <w:r w:rsidRPr="007456D5">
              <w:rPr>
                <w:rFonts w:ascii="Verdana" w:hAnsi="Verdana" w:cs="Arial"/>
                <w:sz w:val="18"/>
                <w:szCs w:val="18"/>
              </w:rPr>
              <w:t xml:space="preserve">, eerste </w:t>
            </w:r>
            <w:r w:rsidRPr="007456D5" w:rsidR="00597DD7">
              <w:rPr>
                <w:rFonts w:ascii="Verdana" w:hAnsi="Verdana" w:cs="Arial"/>
                <w:sz w:val="18"/>
                <w:szCs w:val="18"/>
              </w:rPr>
              <w:t xml:space="preserve">en tweede </w:t>
            </w:r>
            <w:r w:rsidRPr="007456D5">
              <w:rPr>
                <w:rFonts w:ascii="Verdana" w:hAnsi="Verdana" w:cs="Arial"/>
                <w:sz w:val="18"/>
                <w:szCs w:val="18"/>
              </w:rPr>
              <w:t>lid, richtlijn aandeelhoudersrechten)</w:t>
            </w:r>
          </w:p>
        </w:tc>
        <w:tc>
          <w:tcPr>
            <w:tcW w:w="1701" w:type="dxa"/>
          </w:tcPr>
          <w:p w:rsidRPr="007456D5" w:rsidR="007B67B9" w:rsidP="007D25C5" w:rsidRDefault="007B67B9" w14:paraId="226C3F5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5:25ka, zesde lid, Wft</w:t>
            </w:r>
          </w:p>
          <w:p w:rsidRPr="007456D5" w:rsidR="007B67B9" w:rsidP="007D25C5" w:rsidRDefault="007B67B9" w14:paraId="2DC6EB8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5:87c, zevende lid, Wft</w:t>
            </w:r>
          </w:p>
          <w:p w:rsidRPr="007456D5" w:rsidR="007B67B9" w:rsidP="007D25C5" w:rsidRDefault="007B67B9" w14:paraId="4346B51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5:87d, zesde lid, Wft</w:t>
            </w:r>
          </w:p>
          <w:p w:rsidRPr="007456D5" w:rsidR="007B67B9" w:rsidP="007D25C5" w:rsidRDefault="007B67B9" w14:paraId="0A9D464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5:87f, zevende lid, Wft</w:t>
            </w:r>
          </w:p>
          <w:p w:rsidRPr="007456D5" w:rsidR="007B67B9" w:rsidP="007D25C5" w:rsidRDefault="007B67B9" w14:paraId="4E9D403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2:135a, achtste lid, BW</w:t>
            </w:r>
          </w:p>
          <w:p w:rsidRPr="007456D5" w:rsidR="007B67B9" w:rsidP="007D25C5" w:rsidRDefault="007B67B9" w14:paraId="01B49F6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2:135b, zevende lid, BW</w:t>
            </w:r>
          </w:p>
          <w:p w:rsidRPr="007456D5" w:rsidR="007B67B9" w:rsidP="007D25C5" w:rsidRDefault="007B67B9" w14:paraId="0954C33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2:169, vijfde lid, BW</w:t>
            </w:r>
          </w:p>
          <w:p w:rsidRPr="007456D5" w:rsidR="007B67B9" w:rsidP="007D25C5" w:rsidRDefault="007B67B9" w14:paraId="13D295D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2:170, BW</w:t>
            </w:r>
          </w:p>
        </w:tc>
        <w:tc>
          <w:tcPr>
            <w:tcW w:w="1985" w:type="dxa"/>
          </w:tcPr>
          <w:p w:rsidRPr="007456D5" w:rsidR="007B67B9" w:rsidP="007D25C5" w:rsidRDefault="007B67B9" w14:paraId="10CB16B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5A32345E" w14:textId="77777777">
            <w:pPr>
              <w:widowControl w:val="0"/>
              <w:tabs>
                <w:tab w:val="num" w:pos="720"/>
              </w:tabs>
              <w:spacing w:line="240" w:lineRule="exact"/>
              <w:contextualSpacing/>
              <w:rPr>
                <w:rFonts w:ascii="Verdana" w:hAnsi="Verdana" w:cs="Arial"/>
                <w:sz w:val="18"/>
                <w:szCs w:val="18"/>
              </w:rPr>
            </w:pPr>
          </w:p>
        </w:tc>
      </w:tr>
      <w:tr w:rsidRPr="007456D5" w:rsidR="007B67B9" w:rsidTr="00E62FBD" w14:paraId="29F1DD42" w14:textId="77777777">
        <w:tc>
          <w:tcPr>
            <w:tcW w:w="1696" w:type="dxa"/>
          </w:tcPr>
          <w:p w:rsidRPr="007456D5" w:rsidR="007B67B9" w:rsidP="007D25C5" w:rsidRDefault="007B67B9" w14:paraId="0D1858AE" w14:textId="0664264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5, (14 </w:t>
            </w:r>
            <w:proofErr w:type="spellStart"/>
            <w:r w:rsidRPr="007456D5">
              <w:rPr>
                <w:rFonts w:ascii="Verdana" w:hAnsi="Verdana" w:cs="Arial"/>
                <w:sz w:val="18"/>
                <w:szCs w:val="18"/>
              </w:rPr>
              <w:t>quater</w:t>
            </w:r>
            <w:proofErr w:type="spellEnd"/>
            <w:r w:rsidRPr="007456D5">
              <w:rPr>
                <w:rFonts w:ascii="Verdana" w:hAnsi="Verdana" w:cs="Arial"/>
                <w:sz w:val="18"/>
                <w:szCs w:val="18"/>
              </w:rPr>
              <w:t>, derde lid, richtlijn aandeelhoudersrechten)</w:t>
            </w:r>
          </w:p>
        </w:tc>
        <w:tc>
          <w:tcPr>
            <w:tcW w:w="1701" w:type="dxa"/>
          </w:tcPr>
          <w:p w:rsidRPr="007456D5" w:rsidR="007B67B9" w:rsidP="007D25C5" w:rsidRDefault="007B67B9" w14:paraId="7A0EB5FE" w14:textId="3A51E1E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9B1A63">
              <w:rPr>
                <w:rFonts w:ascii="Verdana" w:hAnsi="Verdana" w:cs="Arial"/>
                <w:sz w:val="18"/>
                <w:szCs w:val="18"/>
              </w:rPr>
              <w:t>110</w:t>
            </w:r>
            <w:r w:rsidRPr="007456D5">
              <w:rPr>
                <w:rFonts w:ascii="Verdana" w:hAnsi="Verdana" w:cs="Arial"/>
                <w:sz w:val="18"/>
                <w:szCs w:val="18"/>
              </w:rPr>
              <w:t>, eerste lid, Wft</w:t>
            </w:r>
          </w:p>
        </w:tc>
        <w:tc>
          <w:tcPr>
            <w:tcW w:w="1985" w:type="dxa"/>
          </w:tcPr>
          <w:p w:rsidRPr="007456D5" w:rsidR="007B67B9" w:rsidP="007D25C5" w:rsidRDefault="007B67B9" w14:paraId="2168C69D"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4B9839E5" w14:textId="6DF013F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7B67B9" w:rsidTr="00E62FBD" w14:paraId="297690E0" w14:textId="77777777">
        <w:tc>
          <w:tcPr>
            <w:tcW w:w="1696" w:type="dxa"/>
          </w:tcPr>
          <w:p w:rsidRPr="007456D5" w:rsidR="007B67B9" w:rsidP="007D25C5" w:rsidRDefault="007B67B9" w14:paraId="3EC2095D" w14:textId="61CE3A3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5, (14 </w:t>
            </w:r>
            <w:proofErr w:type="spellStart"/>
            <w:r w:rsidRPr="007456D5">
              <w:rPr>
                <w:rFonts w:ascii="Verdana" w:hAnsi="Verdana" w:cs="Arial"/>
                <w:sz w:val="18"/>
                <w:szCs w:val="18"/>
              </w:rPr>
              <w:t>quater</w:t>
            </w:r>
            <w:proofErr w:type="spellEnd"/>
            <w:r w:rsidRPr="007456D5">
              <w:rPr>
                <w:rFonts w:ascii="Verdana" w:hAnsi="Verdana" w:cs="Arial"/>
                <w:sz w:val="18"/>
                <w:szCs w:val="18"/>
              </w:rPr>
              <w:t xml:space="preserve">, </w:t>
            </w:r>
            <w:r w:rsidRPr="007456D5">
              <w:rPr>
                <w:rFonts w:ascii="Verdana" w:hAnsi="Verdana" w:cs="Arial"/>
                <w:sz w:val="18"/>
                <w:szCs w:val="18"/>
              </w:rPr>
              <w:lastRenderedPageBreak/>
              <w:t>vierde lid, richtlijn aandeelhoudersrechten)</w:t>
            </w:r>
          </w:p>
        </w:tc>
        <w:tc>
          <w:tcPr>
            <w:tcW w:w="1701" w:type="dxa"/>
          </w:tcPr>
          <w:p w:rsidRPr="007456D5" w:rsidR="007B67B9" w:rsidP="007D25C5" w:rsidRDefault="007B67B9" w14:paraId="34EE0D3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 xml:space="preserve">Behoeft naar </w:t>
            </w:r>
            <w:r w:rsidRPr="007456D5">
              <w:rPr>
                <w:rFonts w:ascii="Verdana" w:hAnsi="Verdana" w:cs="Arial"/>
                <w:sz w:val="18"/>
                <w:szCs w:val="18"/>
              </w:rPr>
              <w:lastRenderedPageBreak/>
              <w:t>zijn aard geen implementatie. Bepaling gericht tot ESMA en de Europese Commissie.</w:t>
            </w:r>
          </w:p>
        </w:tc>
        <w:tc>
          <w:tcPr>
            <w:tcW w:w="1985" w:type="dxa"/>
          </w:tcPr>
          <w:p w:rsidRPr="007456D5" w:rsidR="007B67B9" w:rsidP="007D25C5" w:rsidRDefault="007B67B9" w14:paraId="2B7D444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7FB04C93" w14:textId="77777777">
            <w:pPr>
              <w:widowControl w:val="0"/>
              <w:tabs>
                <w:tab w:val="num" w:pos="720"/>
              </w:tabs>
              <w:spacing w:line="240" w:lineRule="exact"/>
              <w:contextualSpacing/>
              <w:rPr>
                <w:rFonts w:ascii="Verdana" w:hAnsi="Verdana" w:cs="Arial"/>
                <w:sz w:val="18"/>
                <w:szCs w:val="18"/>
              </w:rPr>
            </w:pPr>
          </w:p>
        </w:tc>
      </w:tr>
      <w:tr w:rsidRPr="007456D5" w:rsidR="007B67B9" w:rsidTr="00E62FBD" w14:paraId="4174C043" w14:textId="77777777">
        <w:tc>
          <w:tcPr>
            <w:tcW w:w="1696" w:type="dxa"/>
          </w:tcPr>
          <w:p w:rsidRPr="007456D5" w:rsidR="007B67B9" w:rsidP="007D25C5" w:rsidRDefault="007B67B9" w14:paraId="44A0A363" w14:textId="4C158DC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5, (14 </w:t>
            </w:r>
            <w:proofErr w:type="spellStart"/>
            <w:r w:rsidRPr="007456D5">
              <w:rPr>
                <w:rFonts w:ascii="Verdana" w:hAnsi="Verdana" w:cs="Arial"/>
                <w:sz w:val="18"/>
                <w:szCs w:val="18"/>
              </w:rPr>
              <w:t>quater</w:t>
            </w:r>
            <w:proofErr w:type="spellEnd"/>
            <w:r w:rsidRPr="007456D5">
              <w:rPr>
                <w:rFonts w:ascii="Verdana" w:hAnsi="Verdana" w:cs="Arial"/>
                <w:sz w:val="18"/>
                <w:szCs w:val="18"/>
              </w:rPr>
              <w:t>, vijfde lid, richtlijn aandeelhoudersrechten)</w:t>
            </w:r>
          </w:p>
        </w:tc>
        <w:tc>
          <w:tcPr>
            <w:tcW w:w="1701" w:type="dxa"/>
          </w:tcPr>
          <w:p w:rsidRPr="007456D5" w:rsidR="007B67B9" w:rsidP="007D25C5" w:rsidRDefault="007B67B9" w14:paraId="61A8E7C7" w14:textId="51CD3AF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w:t>
            </w:r>
          </w:p>
        </w:tc>
        <w:tc>
          <w:tcPr>
            <w:tcW w:w="1985" w:type="dxa"/>
          </w:tcPr>
          <w:p w:rsidRPr="007456D5" w:rsidR="007B67B9" w:rsidP="007D25C5" w:rsidRDefault="007B67B9" w14:paraId="27D09CD4"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091D3B33" w14:textId="77777777">
            <w:pPr>
              <w:widowControl w:val="0"/>
              <w:tabs>
                <w:tab w:val="num" w:pos="720"/>
              </w:tabs>
              <w:spacing w:line="240" w:lineRule="exact"/>
              <w:contextualSpacing/>
              <w:rPr>
                <w:rFonts w:ascii="Verdana" w:hAnsi="Verdana" w:cs="Arial"/>
                <w:sz w:val="18"/>
                <w:szCs w:val="18"/>
              </w:rPr>
            </w:pPr>
          </w:p>
        </w:tc>
      </w:tr>
      <w:tr w:rsidRPr="007456D5" w:rsidR="007B67B9" w:rsidTr="00E62FBD" w14:paraId="2B6E4F80" w14:textId="77777777">
        <w:tc>
          <w:tcPr>
            <w:tcW w:w="7225" w:type="dxa"/>
            <w:gridSpan w:val="4"/>
          </w:tcPr>
          <w:p w:rsidRPr="007456D5" w:rsidR="007B67B9" w:rsidP="007D25C5" w:rsidRDefault="007B67B9" w14:paraId="37008EAD" w14:textId="0B9CC036">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icbe-richtlijn</w:t>
            </w:r>
          </w:p>
        </w:tc>
      </w:tr>
      <w:tr w:rsidRPr="007456D5" w:rsidR="007B67B9" w:rsidTr="00E62FBD" w14:paraId="65D13560" w14:textId="77777777">
        <w:tc>
          <w:tcPr>
            <w:tcW w:w="1696" w:type="dxa"/>
          </w:tcPr>
          <w:p w:rsidRPr="007456D5" w:rsidR="007B67B9" w:rsidP="007D25C5" w:rsidRDefault="007B67B9" w14:paraId="41ECB45F" w14:textId="474BBFBF">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6, (82 bis, eerste</w:t>
            </w:r>
            <w:r w:rsidRPr="007456D5" w:rsidR="00782736">
              <w:rPr>
                <w:rFonts w:ascii="Verdana" w:hAnsi="Verdana" w:cs="Arial"/>
                <w:sz w:val="18"/>
                <w:szCs w:val="18"/>
              </w:rPr>
              <w:t xml:space="preserve"> en tweede</w:t>
            </w:r>
            <w:r w:rsidRPr="007456D5">
              <w:rPr>
                <w:rFonts w:ascii="Verdana" w:hAnsi="Verdana" w:cs="Arial"/>
                <w:sz w:val="18"/>
                <w:szCs w:val="18"/>
              </w:rPr>
              <w:t xml:space="preserve"> lid, icbe-richtlijn)</w:t>
            </w:r>
          </w:p>
        </w:tc>
        <w:tc>
          <w:tcPr>
            <w:tcW w:w="1701" w:type="dxa"/>
          </w:tcPr>
          <w:p w:rsidRPr="007456D5" w:rsidR="007B67B9" w:rsidP="007D25C5" w:rsidRDefault="007B67B9" w14:paraId="30D0764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4:49, zevende lid, Wft</w:t>
            </w:r>
          </w:p>
          <w:p w:rsidRPr="007456D5" w:rsidR="007B67B9" w:rsidP="007D25C5" w:rsidRDefault="007B67B9" w14:paraId="4857675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4:52, vijfde lid, Wft</w:t>
            </w:r>
          </w:p>
          <w:p w:rsidRPr="007456D5" w:rsidR="007B67B9" w:rsidP="007D25C5" w:rsidRDefault="005761A0" w14:paraId="5C24B971" w14:textId="312435A3">
            <w:pPr>
              <w:widowControl w:val="0"/>
              <w:tabs>
                <w:tab w:val="num" w:pos="720"/>
              </w:tabs>
              <w:spacing w:line="240" w:lineRule="exact"/>
              <w:contextualSpacing/>
              <w:rPr>
                <w:rFonts w:ascii="Verdana" w:hAnsi="Verdana" w:cs="Arial"/>
                <w:sz w:val="18"/>
                <w:szCs w:val="18"/>
              </w:rPr>
            </w:pPr>
            <w:r>
              <w:rPr>
                <w:rFonts w:ascii="Verdana" w:hAnsi="Verdana" w:cs="Arial"/>
                <w:sz w:val="18"/>
                <w:szCs w:val="18"/>
              </w:rPr>
              <w:t xml:space="preserve">Wordt geïmplementeerd in artikel </w:t>
            </w:r>
            <w:r w:rsidRPr="007456D5" w:rsidR="007B67B9">
              <w:rPr>
                <w:rFonts w:ascii="Verdana" w:hAnsi="Verdana" w:cs="Arial"/>
                <w:sz w:val="18"/>
                <w:szCs w:val="18"/>
              </w:rPr>
              <w:t>65a</w:t>
            </w:r>
            <w:r w:rsidRPr="007456D5" w:rsidR="00782736">
              <w:rPr>
                <w:rFonts w:ascii="Verdana" w:hAnsi="Verdana" w:cs="Arial"/>
                <w:sz w:val="18"/>
                <w:szCs w:val="18"/>
              </w:rPr>
              <w:t>,</w:t>
            </w:r>
            <w:r w:rsidRPr="007456D5" w:rsidR="007B67B9">
              <w:rPr>
                <w:rFonts w:ascii="Verdana" w:hAnsi="Verdana" w:cs="Arial"/>
                <w:sz w:val="18"/>
                <w:szCs w:val="18"/>
              </w:rPr>
              <w:t xml:space="preserve"> </w:t>
            </w:r>
            <w:r>
              <w:rPr>
                <w:rFonts w:ascii="Verdana" w:hAnsi="Verdana" w:cs="Arial"/>
                <w:sz w:val="18"/>
                <w:szCs w:val="18"/>
              </w:rPr>
              <w:t xml:space="preserve">van het </w:t>
            </w:r>
            <w:proofErr w:type="spellStart"/>
            <w:r w:rsidRPr="007456D5" w:rsidR="007B67B9">
              <w:rPr>
                <w:rFonts w:ascii="Verdana" w:hAnsi="Verdana" w:cs="Arial"/>
                <w:sz w:val="18"/>
                <w:szCs w:val="18"/>
              </w:rPr>
              <w:t>BGfo</w:t>
            </w:r>
            <w:proofErr w:type="spellEnd"/>
          </w:p>
        </w:tc>
        <w:tc>
          <w:tcPr>
            <w:tcW w:w="1985" w:type="dxa"/>
          </w:tcPr>
          <w:p w:rsidRPr="007456D5" w:rsidR="007B67B9" w:rsidP="007D25C5" w:rsidRDefault="007B67B9" w14:paraId="07EB046A"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5E14FA3F" w14:textId="77777777">
            <w:pPr>
              <w:widowControl w:val="0"/>
              <w:tabs>
                <w:tab w:val="num" w:pos="720"/>
              </w:tabs>
              <w:spacing w:line="240" w:lineRule="exact"/>
              <w:contextualSpacing/>
              <w:rPr>
                <w:rFonts w:ascii="Verdana" w:hAnsi="Verdana" w:cs="Arial"/>
                <w:sz w:val="18"/>
                <w:szCs w:val="18"/>
              </w:rPr>
            </w:pPr>
          </w:p>
        </w:tc>
      </w:tr>
      <w:tr w:rsidRPr="007456D5" w:rsidR="007B67B9" w:rsidTr="00E62FBD" w14:paraId="4E6FEC04" w14:textId="77777777">
        <w:tc>
          <w:tcPr>
            <w:tcW w:w="1696" w:type="dxa"/>
          </w:tcPr>
          <w:p w:rsidRPr="007456D5" w:rsidR="007B67B9" w:rsidP="007D25C5" w:rsidRDefault="007B67B9" w14:paraId="6265D14E" w14:textId="349DB87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(82 bis, derde lid, icbe-richtlijn)</w:t>
            </w:r>
          </w:p>
        </w:tc>
        <w:tc>
          <w:tcPr>
            <w:tcW w:w="1701" w:type="dxa"/>
          </w:tcPr>
          <w:p w:rsidRPr="007456D5" w:rsidR="007B67B9" w:rsidP="007D25C5" w:rsidRDefault="007B67B9" w14:paraId="771B8AA7" w14:textId="29FC091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F241F8">
              <w:rPr>
                <w:rFonts w:ascii="Verdana" w:hAnsi="Verdana" w:cs="Arial"/>
                <w:sz w:val="18"/>
                <w:szCs w:val="18"/>
              </w:rPr>
              <w:t>110</w:t>
            </w:r>
            <w:r w:rsidRPr="007456D5">
              <w:rPr>
                <w:rFonts w:ascii="Verdana" w:hAnsi="Verdana" w:cs="Arial"/>
                <w:sz w:val="18"/>
                <w:szCs w:val="18"/>
              </w:rPr>
              <w:t>, eerste lid, Wft</w:t>
            </w:r>
          </w:p>
        </w:tc>
        <w:tc>
          <w:tcPr>
            <w:tcW w:w="1985" w:type="dxa"/>
          </w:tcPr>
          <w:p w:rsidRPr="007456D5" w:rsidR="007B67B9" w:rsidP="007D25C5" w:rsidRDefault="007B67B9" w14:paraId="76A32964"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6C77E3ED" w14:textId="0C5AC43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7B67B9" w:rsidTr="00E62FBD" w14:paraId="680DADBE" w14:textId="77777777">
        <w:tc>
          <w:tcPr>
            <w:tcW w:w="1696" w:type="dxa"/>
          </w:tcPr>
          <w:p w:rsidRPr="007456D5" w:rsidR="007B67B9" w:rsidP="007D25C5" w:rsidRDefault="007B67B9" w14:paraId="36BE251A" w14:textId="0425C81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(82 bis, vierde lid, eerste paragraaf en onderdeel b, icbe-richtlijn)</w:t>
            </w:r>
          </w:p>
        </w:tc>
        <w:tc>
          <w:tcPr>
            <w:tcW w:w="1701" w:type="dxa"/>
          </w:tcPr>
          <w:p w:rsidRPr="007456D5" w:rsidR="007B67B9" w:rsidP="007D25C5" w:rsidRDefault="005761A0" w14:paraId="37A23382" w14:textId="41DF8117">
            <w:pPr>
              <w:widowControl w:val="0"/>
              <w:tabs>
                <w:tab w:val="num" w:pos="720"/>
              </w:tabs>
              <w:spacing w:line="240" w:lineRule="exact"/>
              <w:contextualSpacing/>
              <w:rPr>
                <w:rFonts w:ascii="Verdana" w:hAnsi="Verdana" w:cs="Arial"/>
                <w:sz w:val="18"/>
                <w:szCs w:val="18"/>
              </w:rPr>
            </w:pPr>
            <w:r>
              <w:rPr>
                <w:rFonts w:ascii="Verdana" w:hAnsi="Verdana" w:cs="Arial"/>
                <w:sz w:val="18"/>
                <w:szCs w:val="18"/>
              </w:rPr>
              <w:t xml:space="preserve">Wordt geïmplementeerd in de </w:t>
            </w:r>
            <w:r w:rsidR="003C0AD5">
              <w:rPr>
                <w:rFonts w:ascii="Verdana" w:hAnsi="Verdana" w:cs="Arial"/>
                <w:sz w:val="18"/>
                <w:szCs w:val="18"/>
              </w:rPr>
              <w:t>Rtt</w:t>
            </w:r>
          </w:p>
        </w:tc>
        <w:tc>
          <w:tcPr>
            <w:tcW w:w="1985" w:type="dxa"/>
          </w:tcPr>
          <w:p w:rsidRPr="007456D5" w:rsidR="007B67B9" w:rsidP="007D25C5" w:rsidRDefault="007B67B9" w14:paraId="649ECCA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7B67B9" w:rsidP="007D25C5" w:rsidRDefault="007B67B9" w14:paraId="3B1D247D"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6A0D9D66" w14:textId="77777777">
        <w:tc>
          <w:tcPr>
            <w:tcW w:w="1696" w:type="dxa"/>
          </w:tcPr>
          <w:p w:rsidRPr="007456D5" w:rsidR="005761A0" w:rsidP="005761A0" w:rsidRDefault="005761A0" w14:paraId="6FCF4629" w14:textId="0A62B3A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(82 bis, vierde lid, onderdeel a, icbe-richtlijn)</w:t>
            </w:r>
          </w:p>
        </w:tc>
        <w:tc>
          <w:tcPr>
            <w:tcW w:w="1701" w:type="dxa"/>
          </w:tcPr>
          <w:p w:rsidRPr="007456D5" w:rsidR="005761A0" w:rsidP="005761A0" w:rsidRDefault="005761A0" w14:paraId="7DC3818F" w14:textId="66F95FE2">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504E5617"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8499608"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612BF89" w14:textId="77777777">
        <w:tc>
          <w:tcPr>
            <w:tcW w:w="1696" w:type="dxa"/>
          </w:tcPr>
          <w:p w:rsidRPr="007456D5" w:rsidR="005761A0" w:rsidP="005761A0" w:rsidRDefault="005761A0" w14:paraId="275C52DC" w14:textId="280AABF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(82 bis, vijfde lid, eerste paragraaf en onderdeel b, icbe-richtlijn)</w:t>
            </w:r>
          </w:p>
        </w:tc>
        <w:tc>
          <w:tcPr>
            <w:tcW w:w="1701" w:type="dxa"/>
          </w:tcPr>
          <w:p w:rsidRPr="007456D5" w:rsidR="005761A0" w:rsidP="005761A0" w:rsidRDefault="005761A0" w14:paraId="1BE37E9E" w14:textId="4CA88631">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tc>
        <w:tc>
          <w:tcPr>
            <w:tcW w:w="1985" w:type="dxa"/>
          </w:tcPr>
          <w:p w:rsidRPr="007456D5" w:rsidR="005761A0" w:rsidP="005761A0" w:rsidRDefault="005761A0" w14:paraId="017D2BD3"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3A06E883"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85ECA2A" w14:textId="77777777">
        <w:tc>
          <w:tcPr>
            <w:tcW w:w="1696" w:type="dxa"/>
          </w:tcPr>
          <w:p w:rsidRPr="007456D5" w:rsidR="005761A0" w:rsidP="005761A0" w:rsidRDefault="005761A0" w14:paraId="084AB6D3" w14:textId="29DAC1B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(82 bis, vijfde lid, onderdeel a, icbe-richtlijn)</w:t>
            </w:r>
          </w:p>
        </w:tc>
        <w:tc>
          <w:tcPr>
            <w:tcW w:w="1701" w:type="dxa"/>
          </w:tcPr>
          <w:p w:rsidRPr="007456D5" w:rsidR="005761A0" w:rsidP="005761A0" w:rsidRDefault="005761A0" w14:paraId="35547E24" w14:textId="227CA5D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zevende lid, Wft</w:t>
            </w:r>
          </w:p>
        </w:tc>
        <w:tc>
          <w:tcPr>
            <w:tcW w:w="1985" w:type="dxa"/>
          </w:tcPr>
          <w:p w:rsidRPr="007456D5" w:rsidR="005761A0" w:rsidP="005761A0" w:rsidRDefault="005761A0" w14:paraId="0577FB7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6F74D56"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7D15FD72" w14:textId="77777777">
        <w:tc>
          <w:tcPr>
            <w:tcW w:w="1696" w:type="dxa"/>
          </w:tcPr>
          <w:p w:rsidRPr="007456D5" w:rsidR="005761A0" w:rsidP="005761A0" w:rsidRDefault="005761A0" w14:paraId="277E72A5" w14:textId="48D13DD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(82 bis, zesde lid, icbe-richtlijn)</w:t>
            </w:r>
          </w:p>
        </w:tc>
        <w:tc>
          <w:tcPr>
            <w:tcW w:w="1701" w:type="dxa"/>
          </w:tcPr>
          <w:p w:rsidRPr="007456D5" w:rsidR="005761A0" w:rsidP="005761A0" w:rsidRDefault="005761A0" w14:paraId="3900DF1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 en de Europese Commissie.</w:t>
            </w:r>
          </w:p>
        </w:tc>
        <w:tc>
          <w:tcPr>
            <w:tcW w:w="1985" w:type="dxa"/>
          </w:tcPr>
          <w:p w:rsidRPr="007456D5" w:rsidR="005761A0" w:rsidP="005761A0" w:rsidRDefault="005761A0" w14:paraId="717A285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766ADFBB"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DDE8093" w14:textId="77777777">
        <w:tc>
          <w:tcPr>
            <w:tcW w:w="1696" w:type="dxa"/>
          </w:tcPr>
          <w:p w:rsidRPr="007456D5" w:rsidR="005761A0" w:rsidP="005761A0" w:rsidRDefault="005761A0" w14:paraId="4FA8E9A3" w14:textId="6A4FC17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6, (82 bis, zevende lid, icbe-richtlijn)</w:t>
            </w:r>
          </w:p>
        </w:tc>
        <w:tc>
          <w:tcPr>
            <w:tcW w:w="1701" w:type="dxa"/>
          </w:tcPr>
          <w:p w:rsidRPr="007456D5" w:rsidR="005761A0" w:rsidP="005761A0" w:rsidRDefault="005761A0" w14:paraId="1E17E95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w:t>
            </w:r>
          </w:p>
        </w:tc>
        <w:tc>
          <w:tcPr>
            <w:tcW w:w="1985" w:type="dxa"/>
          </w:tcPr>
          <w:p w:rsidRPr="007456D5" w:rsidR="005761A0" w:rsidP="005761A0" w:rsidRDefault="005761A0" w14:paraId="16602B6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26E55CE"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1BFE7457" w14:textId="77777777">
        <w:tc>
          <w:tcPr>
            <w:tcW w:w="7225" w:type="dxa"/>
            <w:gridSpan w:val="4"/>
          </w:tcPr>
          <w:p w:rsidRPr="007456D5" w:rsidR="005761A0" w:rsidP="005761A0" w:rsidRDefault="005761A0" w14:paraId="3BF75ED9" w14:textId="0B296ED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richtlijn solvabiliteit II</w:t>
            </w:r>
          </w:p>
        </w:tc>
      </w:tr>
      <w:tr w:rsidRPr="007456D5" w:rsidR="005761A0" w:rsidTr="00E62FBD" w14:paraId="612A1B5E" w14:textId="77777777">
        <w:tc>
          <w:tcPr>
            <w:tcW w:w="1696" w:type="dxa"/>
          </w:tcPr>
          <w:p w:rsidRPr="007456D5" w:rsidR="005761A0" w:rsidP="005761A0" w:rsidRDefault="005761A0" w14:paraId="0BC1E85A" w14:textId="0143A42C">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7, (304 ter, eerste en tweede lid, richtlijn solvabiliteit II)</w:t>
            </w:r>
          </w:p>
        </w:tc>
        <w:tc>
          <w:tcPr>
            <w:tcW w:w="1701" w:type="dxa"/>
          </w:tcPr>
          <w:p w:rsidRPr="007456D5" w:rsidR="005761A0" w:rsidP="005761A0" w:rsidRDefault="005761A0" w14:paraId="28FB87C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3:73c, derde lid, Wft</w:t>
            </w:r>
          </w:p>
          <w:p w:rsidRPr="007456D5" w:rsidR="005761A0" w:rsidP="005761A0" w:rsidRDefault="005761A0" w14:paraId="5493E6C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3:288i, zevende lid, Wft</w:t>
            </w:r>
          </w:p>
        </w:tc>
        <w:tc>
          <w:tcPr>
            <w:tcW w:w="1985" w:type="dxa"/>
          </w:tcPr>
          <w:p w:rsidRPr="007456D5" w:rsidR="005761A0" w:rsidP="005761A0" w:rsidRDefault="005761A0" w14:paraId="49086CAE"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33E1EA2"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7667ADF" w14:textId="77777777">
        <w:tc>
          <w:tcPr>
            <w:tcW w:w="1696" w:type="dxa"/>
          </w:tcPr>
          <w:p w:rsidRPr="007456D5" w:rsidR="005761A0" w:rsidP="005761A0" w:rsidRDefault="005761A0" w14:paraId="72CF228C" w14:textId="4CD8B22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derde lid, richtlijn solvabiliteit II)</w:t>
            </w:r>
          </w:p>
        </w:tc>
        <w:tc>
          <w:tcPr>
            <w:tcW w:w="1701" w:type="dxa"/>
          </w:tcPr>
          <w:p w:rsidRPr="007456D5" w:rsidR="005761A0" w:rsidP="005761A0" w:rsidRDefault="005761A0" w14:paraId="0F6D3F90" w14:textId="25EA61A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1:110, eerste lid, Wft</w:t>
            </w:r>
          </w:p>
        </w:tc>
        <w:tc>
          <w:tcPr>
            <w:tcW w:w="1985" w:type="dxa"/>
          </w:tcPr>
          <w:p w:rsidRPr="007456D5" w:rsidR="005761A0" w:rsidP="005761A0" w:rsidRDefault="005761A0" w14:paraId="6D2C1D9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50786FD1" w14:textId="6329313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DNB is de verzamelende instantie zoals gedefinieerd in artikel 2, onderdeel 2, van verordening oprichting ESAP.</w:t>
            </w:r>
          </w:p>
        </w:tc>
      </w:tr>
      <w:tr w:rsidRPr="007456D5" w:rsidR="005761A0" w:rsidTr="00E62FBD" w14:paraId="13102A4B" w14:textId="77777777">
        <w:tc>
          <w:tcPr>
            <w:tcW w:w="1696" w:type="dxa"/>
          </w:tcPr>
          <w:p w:rsidRPr="007456D5" w:rsidR="005761A0" w:rsidP="005761A0" w:rsidRDefault="005761A0" w14:paraId="71847D99" w14:textId="3A914FC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vierde lid, eerste paragraaf en onderdeel b, richtlijn solvabiliteit II)</w:t>
            </w:r>
          </w:p>
        </w:tc>
        <w:tc>
          <w:tcPr>
            <w:tcW w:w="1701" w:type="dxa"/>
          </w:tcPr>
          <w:p w:rsidRPr="007456D5" w:rsidR="005761A0" w:rsidP="005761A0" w:rsidRDefault="005761A0" w14:paraId="02D34674" w14:textId="6BEAB2E4">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7E428AF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59D9C966"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1E51D6E8" w14:textId="77777777">
        <w:tc>
          <w:tcPr>
            <w:tcW w:w="1696" w:type="dxa"/>
          </w:tcPr>
          <w:p w:rsidRPr="007456D5" w:rsidR="005761A0" w:rsidP="005761A0" w:rsidRDefault="005761A0" w14:paraId="6E3349B9" w14:textId="0AC5597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vierde lid, onderdeel a, richtlijn solvabiliteit II)</w:t>
            </w:r>
          </w:p>
        </w:tc>
        <w:tc>
          <w:tcPr>
            <w:tcW w:w="1701" w:type="dxa"/>
          </w:tcPr>
          <w:p w:rsidRPr="007456D5" w:rsidR="005761A0" w:rsidP="005761A0" w:rsidRDefault="005761A0" w14:paraId="40A02D2D" w14:textId="58CEB9E4">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5BF1F1A3"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BCFCF55"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1F388B20" w14:textId="77777777">
        <w:tc>
          <w:tcPr>
            <w:tcW w:w="1696" w:type="dxa"/>
          </w:tcPr>
          <w:p w:rsidRPr="007456D5" w:rsidR="005761A0" w:rsidP="005761A0" w:rsidRDefault="005761A0" w14:paraId="44AE52D4" w14:textId="26800A41">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vijfde lid, eerste paragraaf en onderdeel b, richtlijn solvabiliteit II)</w:t>
            </w:r>
          </w:p>
        </w:tc>
        <w:tc>
          <w:tcPr>
            <w:tcW w:w="1701" w:type="dxa"/>
          </w:tcPr>
          <w:p w:rsidRPr="007456D5" w:rsidR="005761A0" w:rsidP="005761A0" w:rsidRDefault="005761A0" w14:paraId="6EAC72F8" w14:textId="3FCDD888">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68C379C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E236724"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4E26788E" w14:textId="77777777">
        <w:tc>
          <w:tcPr>
            <w:tcW w:w="1696" w:type="dxa"/>
          </w:tcPr>
          <w:p w:rsidRPr="007456D5" w:rsidR="005761A0" w:rsidP="005761A0" w:rsidRDefault="005761A0" w14:paraId="573E0332" w14:textId="00CFD50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vijfde lid, onderdeel a, richtlijn solvabiliteit II)</w:t>
            </w:r>
          </w:p>
        </w:tc>
        <w:tc>
          <w:tcPr>
            <w:tcW w:w="1701" w:type="dxa"/>
          </w:tcPr>
          <w:p w:rsidRPr="007456D5" w:rsidR="005761A0" w:rsidP="005761A0" w:rsidRDefault="005761A0" w14:paraId="010D7454" w14:textId="5F8AC4CB">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7C3461DA"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09ACFE7"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6B635650" w14:textId="77777777">
        <w:tc>
          <w:tcPr>
            <w:tcW w:w="1696" w:type="dxa"/>
          </w:tcPr>
          <w:p w:rsidRPr="007456D5" w:rsidR="005761A0" w:rsidP="005761A0" w:rsidRDefault="005761A0" w14:paraId="34EBBCCD" w14:textId="1327D58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zesde lid, richtlijn solvabiliteit II)</w:t>
            </w:r>
          </w:p>
        </w:tc>
        <w:tc>
          <w:tcPr>
            <w:tcW w:w="1701" w:type="dxa"/>
          </w:tcPr>
          <w:p w:rsidRPr="007456D5" w:rsidR="005761A0" w:rsidP="005761A0" w:rsidRDefault="005761A0" w14:paraId="52B6C1E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EIOPA en de Europese Commissie.</w:t>
            </w:r>
          </w:p>
        </w:tc>
        <w:tc>
          <w:tcPr>
            <w:tcW w:w="1985" w:type="dxa"/>
          </w:tcPr>
          <w:p w:rsidRPr="007456D5" w:rsidR="005761A0" w:rsidP="005761A0" w:rsidRDefault="005761A0" w14:paraId="483A05C0"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74FB651F"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0D506EF" w14:textId="77777777">
        <w:tc>
          <w:tcPr>
            <w:tcW w:w="1696" w:type="dxa"/>
          </w:tcPr>
          <w:p w:rsidRPr="007456D5" w:rsidR="005761A0" w:rsidP="005761A0" w:rsidRDefault="005761A0" w14:paraId="5CF3253C" w14:textId="3312BF9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(304 ter, zevende lid, richtlijn solvabiliteit II)</w:t>
            </w:r>
          </w:p>
        </w:tc>
        <w:tc>
          <w:tcPr>
            <w:tcW w:w="1701" w:type="dxa"/>
          </w:tcPr>
          <w:p w:rsidRPr="007456D5" w:rsidR="005761A0" w:rsidP="005761A0" w:rsidRDefault="005761A0" w14:paraId="76E8577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EIOPA.</w:t>
            </w:r>
          </w:p>
        </w:tc>
        <w:tc>
          <w:tcPr>
            <w:tcW w:w="1985" w:type="dxa"/>
          </w:tcPr>
          <w:p w:rsidRPr="007456D5" w:rsidR="005761A0" w:rsidP="005761A0" w:rsidRDefault="005761A0" w14:paraId="4A708D48"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5AE8D234"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48A0A762" w14:textId="77777777">
        <w:tc>
          <w:tcPr>
            <w:tcW w:w="7225" w:type="dxa"/>
            <w:gridSpan w:val="4"/>
          </w:tcPr>
          <w:p w:rsidRPr="007456D5" w:rsidR="005761A0" w:rsidP="005761A0" w:rsidRDefault="005761A0" w14:paraId="7777C3D5" w14:textId="010048D9">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lastRenderedPageBreak/>
              <w:t>Wijzigingen van de AIFM-richtlijn</w:t>
            </w:r>
          </w:p>
        </w:tc>
      </w:tr>
      <w:tr w:rsidRPr="007456D5" w:rsidR="005761A0" w:rsidTr="00E62FBD" w14:paraId="165AA5E9" w14:textId="77777777">
        <w:tc>
          <w:tcPr>
            <w:tcW w:w="1696" w:type="dxa"/>
          </w:tcPr>
          <w:p w:rsidRPr="007456D5" w:rsidR="005761A0" w:rsidP="005761A0" w:rsidRDefault="005761A0" w14:paraId="56422EBF" w14:textId="0C15269C">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8, (69 ter, eerste paragraaf en onderdeel b, AIFM-richtlijn)</w:t>
            </w:r>
          </w:p>
        </w:tc>
        <w:tc>
          <w:tcPr>
            <w:tcW w:w="1701" w:type="dxa"/>
          </w:tcPr>
          <w:p w:rsidRPr="007456D5" w:rsidR="005761A0" w:rsidP="005761A0" w:rsidRDefault="005761A0" w14:paraId="44082E8D" w14:textId="18C9D9D0">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08EEB6E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8EBBA66" w14:textId="37AFEA4F">
            <w:pPr>
              <w:widowControl w:val="0"/>
              <w:tabs>
                <w:tab w:val="num" w:pos="720"/>
              </w:tabs>
              <w:spacing w:line="240" w:lineRule="exact"/>
              <w:contextualSpacing/>
              <w:rPr>
                <w:rFonts w:ascii="Verdana" w:hAnsi="Verdana" w:cs="Arial"/>
                <w:sz w:val="18"/>
                <w:szCs w:val="18"/>
              </w:rPr>
            </w:pPr>
            <w:r w:rsidRPr="24C6430D">
              <w:rPr>
                <w:rFonts w:ascii="Verdana" w:hAnsi="Verdana" w:cs="Arial"/>
                <w:sz w:val="18"/>
                <w:szCs w:val="18"/>
              </w:rPr>
              <w:t>ESMA is de verzamelende instantie zoals gedefinieerd in artikel 2, onderdeel 2, van verordening oprichting ESAP.</w:t>
            </w:r>
          </w:p>
        </w:tc>
      </w:tr>
      <w:tr w:rsidRPr="007456D5" w:rsidR="005761A0" w:rsidTr="00E62FBD" w14:paraId="34EF53B9" w14:textId="77777777">
        <w:tc>
          <w:tcPr>
            <w:tcW w:w="1696" w:type="dxa"/>
          </w:tcPr>
          <w:p w:rsidRPr="007456D5" w:rsidR="005761A0" w:rsidP="005761A0" w:rsidRDefault="005761A0" w14:paraId="2E9BA0BB" w14:textId="3E0CD43F">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8, (69 ter, onderdeel a, AIFM-richtlijn)</w:t>
            </w:r>
          </w:p>
        </w:tc>
        <w:tc>
          <w:tcPr>
            <w:tcW w:w="1701" w:type="dxa"/>
          </w:tcPr>
          <w:p w:rsidRPr="007456D5" w:rsidR="005761A0" w:rsidP="005761A0" w:rsidRDefault="005761A0" w14:paraId="2371EB8B" w14:textId="0BBDAE30">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6466038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38A1DEDB"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28749692" w14:textId="77777777">
        <w:tc>
          <w:tcPr>
            <w:tcW w:w="7225" w:type="dxa"/>
            <w:gridSpan w:val="4"/>
          </w:tcPr>
          <w:p w:rsidRPr="007456D5" w:rsidR="005761A0" w:rsidP="005761A0" w:rsidRDefault="005761A0" w14:paraId="5C6BA3B7" w14:textId="7136828C">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jaarrekening</w:t>
            </w:r>
          </w:p>
        </w:tc>
      </w:tr>
      <w:tr w:rsidRPr="007456D5" w:rsidR="005761A0" w:rsidTr="00E62FBD" w14:paraId="6FC661ED" w14:textId="77777777">
        <w:tc>
          <w:tcPr>
            <w:tcW w:w="1696" w:type="dxa"/>
          </w:tcPr>
          <w:p w:rsidRPr="007456D5" w:rsidR="005761A0" w:rsidP="005761A0" w:rsidRDefault="005761A0" w14:paraId="1BC138E1" w14:textId="50D54FEF">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9, (33 bis, eerste lid, eerste paragraaf, richtlijn jaarrekening)</w:t>
            </w:r>
          </w:p>
        </w:tc>
        <w:tc>
          <w:tcPr>
            <w:tcW w:w="1701" w:type="dxa"/>
          </w:tcPr>
          <w:p w:rsidRPr="007456D5" w:rsidR="005761A0" w:rsidP="005761A0" w:rsidRDefault="005761A0" w14:paraId="5EAFE16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2:394a, eerste lid, BW</w:t>
            </w:r>
          </w:p>
          <w:p w:rsidRPr="007456D5" w:rsidR="005761A0" w:rsidP="005761A0" w:rsidRDefault="005761A0" w14:paraId="1C675289" w14:textId="77777777">
            <w:pPr>
              <w:widowControl w:val="0"/>
              <w:tabs>
                <w:tab w:val="num" w:pos="720"/>
              </w:tabs>
              <w:spacing w:line="240" w:lineRule="exact"/>
              <w:contextualSpacing/>
              <w:rPr>
                <w:rFonts w:ascii="Verdana" w:hAnsi="Verdana" w:cs="Arial"/>
                <w:sz w:val="18"/>
                <w:szCs w:val="18"/>
              </w:rPr>
            </w:pPr>
          </w:p>
          <w:p w:rsidRPr="007456D5" w:rsidR="005761A0" w:rsidP="005761A0" w:rsidRDefault="005761A0" w14:paraId="42D61FF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elektronische deponering handelsregister</w:t>
            </w:r>
          </w:p>
          <w:p w:rsidRPr="007456D5" w:rsidR="005761A0" w:rsidP="005761A0" w:rsidRDefault="005761A0" w14:paraId="2B96456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Implementatiebesluit richtlijn duurzaamheidsrapportering</w:t>
            </w:r>
          </w:p>
          <w:p w:rsidRPr="007456D5" w:rsidR="005761A0" w:rsidP="005761A0" w:rsidRDefault="005761A0" w14:paraId="3EF0D94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rapportage betalingen aan overheden</w:t>
            </w:r>
          </w:p>
        </w:tc>
        <w:tc>
          <w:tcPr>
            <w:tcW w:w="1985" w:type="dxa"/>
          </w:tcPr>
          <w:p w:rsidRPr="007456D5" w:rsidR="005761A0" w:rsidP="005761A0" w:rsidRDefault="005761A0" w14:paraId="38CD6638"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3AD746DD"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71F8F918" w14:textId="77777777">
        <w:tc>
          <w:tcPr>
            <w:tcW w:w="1696" w:type="dxa"/>
          </w:tcPr>
          <w:p w:rsidRPr="007456D5" w:rsidR="005761A0" w:rsidP="005761A0" w:rsidRDefault="005761A0" w14:paraId="28A7B28A" w14:textId="21778EE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(33 bis, eerste lid, onderdelen a en b, richtlijn jaarrekening)</w:t>
            </w:r>
          </w:p>
        </w:tc>
        <w:tc>
          <w:tcPr>
            <w:tcW w:w="1701" w:type="dxa"/>
          </w:tcPr>
          <w:p w:rsidRPr="007456D5" w:rsidR="005761A0" w:rsidP="005761A0" w:rsidRDefault="005761A0" w14:paraId="4479324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2:394a, tweede lid, BW</w:t>
            </w:r>
          </w:p>
          <w:p w:rsidRPr="007456D5" w:rsidR="005761A0" w:rsidP="005761A0" w:rsidRDefault="005761A0" w14:paraId="788A6E9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52a, tweede lid, Handelsregisterwet</w:t>
            </w:r>
          </w:p>
          <w:p w:rsidRPr="007456D5" w:rsidR="005761A0" w:rsidP="005761A0" w:rsidRDefault="005761A0" w14:paraId="71C245F0" w14:textId="77777777">
            <w:pPr>
              <w:widowControl w:val="0"/>
              <w:tabs>
                <w:tab w:val="num" w:pos="720"/>
              </w:tabs>
              <w:spacing w:line="240" w:lineRule="exact"/>
              <w:contextualSpacing/>
              <w:rPr>
                <w:rFonts w:ascii="Verdana" w:hAnsi="Verdana" w:cs="Arial"/>
                <w:sz w:val="18"/>
                <w:szCs w:val="18"/>
              </w:rPr>
            </w:pPr>
          </w:p>
          <w:p w:rsidRPr="007456D5" w:rsidR="005761A0" w:rsidP="005761A0" w:rsidRDefault="005761A0" w14:paraId="4501FE5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elektronische deponering handelsregister</w:t>
            </w:r>
          </w:p>
          <w:p w:rsidRPr="007456D5" w:rsidR="005761A0" w:rsidP="005761A0" w:rsidRDefault="005761A0" w14:paraId="7887876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rapportage betalingen aan overheden</w:t>
            </w:r>
          </w:p>
        </w:tc>
        <w:tc>
          <w:tcPr>
            <w:tcW w:w="1985" w:type="dxa"/>
          </w:tcPr>
          <w:p w:rsidRPr="007456D5" w:rsidR="005761A0" w:rsidP="005761A0" w:rsidRDefault="005761A0" w14:paraId="026269EA"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485F447"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1956A93" w14:textId="77777777">
        <w:tc>
          <w:tcPr>
            <w:tcW w:w="1696" w:type="dxa"/>
          </w:tcPr>
          <w:p w:rsidRPr="007456D5" w:rsidR="005761A0" w:rsidP="005761A0" w:rsidRDefault="005761A0" w14:paraId="7779127D" w14:textId="4BC62D9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(33 bis, tweede lid, richtlijn jaarrekening)</w:t>
            </w:r>
          </w:p>
        </w:tc>
        <w:tc>
          <w:tcPr>
            <w:tcW w:w="1701" w:type="dxa"/>
          </w:tcPr>
          <w:p w:rsidRPr="007456D5" w:rsidR="005761A0" w:rsidP="005761A0" w:rsidRDefault="005761A0" w14:paraId="7AC74084" w14:textId="4E62914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2:394a, tweede lid, BW</w:t>
            </w:r>
          </w:p>
          <w:p w:rsidRPr="007456D5" w:rsidR="005761A0" w:rsidP="005761A0" w:rsidRDefault="005761A0" w14:paraId="4902F293" w14:textId="77777777">
            <w:pPr>
              <w:widowControl w:val="0"/>
              <w:tabs>
                <w:tab w:val="num" w:pos="720"/>
              </w:tabs>
              <w:spacing w:line="240" w:lineRule="exact"/>
              <w:contextualSpacing/>
              <w:rPr>
                <w:rFonts w:ascii="Verdana" w:hAnsi="Verdana" w:cs="Arial"/>
                <w:sz w:val="18"/>
                <w:szCs w:val="18"/>
              </w:rPr>
            </w:pPr>
          </w:p>
          <w:p w:rsidRPr="007456D5" w:rsidR="005761A0" w:rsidP="005761A0" w:rsidRDefault="005761A0" w14:paraId="1120DD8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elektronische deponering handelsregister</w:t>
            </w:r>
          </w:p>
          <w:p w:rsidRPr="007456D5" w:rsidR="005761A0" w:rsidP="005761A0" w:rsidRDefault="005761A0" w14:paraId="34DF3BA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Implementatiebesluit richtlijn duurzaamheidsrapportering</w:t>
            </w:r>
          </w:p>
          <w:p w:rsidRPr="007456D5" w:rsidR="005761A0" w:rsidP="005761A0" w:rsidRDefault="005761A0" w14:paraId="72FFD3D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Besluit rapportage betalingen aan overheden</w:t>
            </w:r>
          </w:p>
        </w:tc>
        <w:tc>
          <w:tcPr>
            <w:tcW w:w="1985" w:type="dxa"/>
          </w:tcPr>
          <w:p w:rsidRPr="007456D5" w:rsidR="005761A0" w:rsidP="005761A0" w:rsidRDefault="005761A0" w14:paraId="5B70154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75ED7459"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62F75E6D" w14:textId="77777777">
        <w:tc>
          <w:tcPr>
            <w:tcW w:w="1696" w:type="dxa"/>
          </w:tcPr>
          <w:p w:rsidRPr="007456D5" w:rsidR="005761A0" w:rsidP="005761A0" w:rsidRDefault="005761A0" w14:paraId="4C266723" w14:textId="44F50D4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9, (33 bis, derde lid, richtlijn jaarrekening)</w:t>
            </w:r>
          </w:p>
        </w:tc>
        <w:tc>
          <w:tcPr>
            <w:tcW w:w="1701" w:type="dxa"/>
          </w:tcPr>
          <w:p w:rsidRPr="007456D5" w:rsidR="005761A0" w:rsidP="005761A0" w:rsidRDefault="005761A0" w14:paraId="784F8C7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2:394a, tweede lid, BW</w:t>
            </w:r>
          </w:p>
          <w:p w:rsidRPr="007456D5" w:rsidR="005761A0" w:rsidP="005761A0" w:rsidRDefault="005761A0" w14:paraId="1ECCC0DF" w14:textId="77777777">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300FE66E"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D07E55F"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67119296" w14:textId="77777777">
        <w:tc>
          <w:tcPr>
            <w:tcW w:w="1696" w:type="dxa"/>
          </w:tcPr>
          <w:p w:rsidRPr="007456D5" w:rsidR="005761A0" w:rsidP="005761A0" w:rsidRDefault="005761A0" w14:paraId="46EE719C" w14:textId="4D64F22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(33 bis, vierde lid, richtlijn jaarrekening)</w:t>
            </w:r>
          </w:p>
        </w:tc>
        <w:tc>
          <w:tcPr>
            <w:tcW w:w="1701" w:type="dxa"/>
          </w:tcPr>
          <w:p w:rsidRPr="007456D5" w:rsidR="005761A0" w:rsidP="005761A0" w:rsidRDefault="005761A0" w14:paraId="44894ABC" w14:textId="55E9C57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52a, eerste lid, </w:t>
            </w:r>
            <w:proofErr w:type="spellStart"/>
            <w:r w:rsidRPr="007456D5">
              <w:rPr>
                <w:rFonts w:ascii="Verdana" w:hAnsi="Verdana" w:cs="Arial"/>
                <w:sz w:val="18"/>
                <w:szCs w:val="18"/>
              </w:rPr>
              <w:t>Hrw</w:t>
            </w:r>
            <w:proofErr w:type="spellEnd"/>
          </w:p>
          <w:p w:rsidRPr="007456D5" w:rsidR="005761A0" w:rsidP="005761A0" w:rsidRDefault="005761A0" w14:paraId="6204D8B3" w14:textId="77777777">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6EFA3306"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F8471E2" w14:textId="5A1C8FB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De KvK is de verzamelende instantie zoals gedefinieerd in artikel 2, onderdeel 2, van verordening oprichting ESAP.</w:t>
            </w:r>
          </w:p>
        </w:tc>
      </w:tr>
      <w:tr w:rsidRPr="007456D5" w:rsidR="005761A0" w:rsidTr="00E62FBD" w14:paraId="55CEA2FD" w14:textId="77777777">
        <w:tc>
          <w:tcPr>
            <w:tcW w:w="1696" w:type="dxa"/>
          </w:tcPr>
          <w:p w:rsidRPr="007456D5" w:rsidR="005761A0" w:rsidP="005761A0" w:rsidRDefault="005761A0" w14:paraId="28317A22" w14:textId="303B994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(33 bis, vijfde lid, richtlijn jaarrekening)</w:t>
            </w:r>
          </w:p>
        </w:tc>
        <w:tc>
          <w:tcPr>
            <w:tcW w:w="1701" w:type="dxa"/>
          </w:tcPr>
          <w:p w:rsidRPr="007456D5" w:rsidR="005761A0" w:rsidP="005761A0" w:rsidRDefault="005761A0" w14:paraId="0D27249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de Europese Commissie.</w:t>
            </w:r>
          </w:p>
        </w:tc>
        <w:tc>
          <w:tcPr>
            <w:tcW w:w="1985" w:type="dxa"/>
          </w:tcPr>
          <w:p w:rsidRPr="007456D5" w:rsidR="005761A0" w:rsidP="005761A0" w:rsidRDefault="005761A0" w14:paraId="31B2D40D"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347DB67D"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02C30B5" w14:textId="77777777">
        <w:tc>
          <w:tcPr>
            <w:tcW w:w="1696" w:type="dxa"/>
          </w:tcPr>
          <w:p w:rsidRPr="007456D5" w:rsidR="005761A0" w:rsidP="005761A0" w:rsidRDefault="005761A0" w14:paraId="734FABFC" w14:textId="19CFFA5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(33 bis, zesde lid, richtlijn jaarrekening)</w:t>
            </w:r>
          </w:p>
        </w:tc>
        <w:tc>
          <w:tcPr>
            <w:tcW w:w="1701" w:type="dxa"/>
          </w:tcPr>
          <w:p w:rsidRPr="007456D5" w:rsidR="005761A0" w:rsidP="005761A0" w:rsidRDefault="005761A0" w14:paraId="5285C7D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de Europese Commissie.</w:t>
            </w:r>
          </w:p>
        </w:tc>
        <w:tc>
          <w:tcPr>
            <w:tcW w:w="1985" w:type="dxa"/>
          </w:tcPr>
          <w:p w:rsidRPr="007456D5" w:rsidR="005761A0" w:rsidP="005761A0" w:rsidRDefault="005761A0" w14:paraId="7150BFD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1DCD6E0"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4978E120" w14:textId="77777777">
        <w:tc>
          <w:tcPr>
            <w:tcW w:w="7225" w:type="dxa"/>
            <w:gridSpan w:val="4"/>
          </w:tcPr>
          <w:p w:rsidRPr="007456D5" w:rsidR="005761A0" w:rsidP="005761A0" w:rsidRDefault="005761A0" w14:paraId="4A5567B8" w14:textId="184CC376">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kapitaalvereisten</w:t>
            </w:r>
          </w:p>
        </w:tc>
      </w:tr>
      <w:tr w:rsidRPr="007456D5" w:rsidR="005761A0" w:rsidTr="00E62FBD" w14:paraId="7B9FFC12" w14:textId="77777777">
        <w:tc>
          <w:tcPr>
            <w:tcW w:w="1696" w:type="dxa"/>
          </w:tcPr>
          <w:p w:rsidRPr="007456D5" w:rsidR="005761A0" w:rsidP="005761A0" w:rsidRDefault="005761A0" w14:paraId="3D6155F4" w14:textId="7373B831">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10, (116 bis, eerste paragraaf en onderdeel b, richtlijn kapitaalvereisten)</w:t>
            </w:r>
          </w:p>
        </w:tc>
        <w:tc>
          <w:tcPr>
            <w:tcW w:w="1701" w:type="dxa"/>
          </w:tcPr>
          <w:p w:rsidRPr="007456D5" w:rsidR="005761A0" w:rsidP="005761A0" w:rsidRDefault="005761A0" w14:paraId="5A2B368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p w:rsidRPr="007456D5" w:rsidR="005761A0" w:rsidP="005761A0" w:rsidRDefault="005761A0" w14:paraId="46D6A391" w14:textId="77777777">
            <w:pPr>
              <w:widowControl w:val="0"/>
              <w:tabs>
                <w:tab w:val="num" w:pos="720"/>
              </w:tabs>
              <w:spacing w:line="240" w:lineRule="exact"/>
              <w:contextualSpacing/>
              <w:rPr>
                <w:rFonts w:ascii="Verdana" w:hAnsi="Verdana" w:cs="Arial"/>
                <w:sz w:val="18"/>
                <w:szCs w:val="18"/>
              </w:rPr>
            </w:pPr>
          </w:p>
          <w:p w:rsidRPr="007456D5" w:rsidR="005761A0" w:rsidP="005761A0" w:rsidRDefault="005761A0" w14:paraId="334DCE1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105c, zevende lid, Besluit prudentiële regels Wft</w:t>
            </w:r>
          </w:p>
        </w:tc>
        <w:tc>
          <w:tcPr>
            <w:tcW w:w="1985" w:type="dxa"/>
          </w:tcPr>
          <w:p w:rsidRPr="007456D5" w:rsidR="005761A0" w:rsidP="005761A0" w:rsidRDefault="005761A0" w14:paraId="4AE7143A"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DFFDBCD" w14:textId="74ABAF2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DNB is de verzamelende instantie zoals gedefinieerd in artikel 2, onderdeel 2, van verordening oprichting ESAP.</w:t>
            </w:r>
          </w:p>
        </w:tc>
      </w:tr>
      <w:tr w:rsidRPr="007456D5" w:rsidR="005761A0" w:rsidTr="00E62FBD" w14:paraId="6F522517" w14:textId="77777777">
        <w:tc>
          <w:tcPr>
            <w:tcW w:w="1696" w:type="dxa"/>
          </w:tcPr>
          <w:p w:rsidRPr="007456D5" w:rsidR="005761A0" w:rsidP="005761A0" w:rsidRDefault="005761A0" w14:paraId="43962C02" w14:textId="4807487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10, (116 bis, onderdeel a, richtlijn kapitaalvereisten)</w:t>
            </w:r>
          </w:p>
        </w:tc>
        <w:tc>
          <w:tcPr>
            <w:tcW w:w="1701" w:type="dxa"/>
          </w:tcPr>
          <w:p w:rsidRPr="007456D5" w:rsidR="005761A0" w:rsidP="005761A0" w:rsidRDefault="005761A0" w14:paraId="7323311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zevende lid, Wft</w:t>
            </w:r>
          </w:p>
          <w:p w:rsidRPr="007456D5" w:rsidR="005761A0" w:rsidP="005761A0" w:rsidRDefault="005761A0" w14:paraId="281F8D43" w14:textId="77777777">
            <w:pPr>
              <w:widowControl w:val="0"/>
              <w:tabs>
                <w:tab w:val="num" w:pos="720"/>
              </w:tabs>
              <w:spacing w:line="240" w:lineRule="exact"/>
              <w:contextualSpacing/>
              <w:rPr>
                <w:rFonts w:ascii="Verdana" w:hAnsi="Verdana" w:cs="Arial"/>
                <w:sz w:val="18"/>
                <w:szCs w:val="18"/>
              </w:rPr>
            </w:pPr>
          </w:p>
          <w:p w:rsidRPr="007456D5" w:rsidR="005761A0" w:rsidP="005761A0" w:rsidRDefault="005761A0" w14:paraId="5D7AFC8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105c, achtste lid, Besluit prudentiële regels Wft</w:t>
            </w:r>
          </w:p>
        </w:tc>
        <w:tc>
          <w:tcPr>
            <w:tcW w:w="1985" w:type="dxa"/>
          </w:tcPr>
          <w:p w:rsidRPr="007456D5" w:rsidR="005761A0" w:rsidP="005761A0" w:rsidRDefault="005761A0" w14:paraId="5235F7C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7B6F13A9"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06DDCD76" w14:textId="77777777">
        <w:tc>
          <w:tcPr>
            <w:tcW w:w="7225" w:type="dxa"/>
            <w:gridSpan w:val="4"/>
          </w:tcPr>
          <w:p w:rsidRPr="007456D5" w:rsidR="005761A0" w:rsidP="005761A0" w:rsidRDefault="005761A0" w14:paraId="3D65D65F" w14:textId="3411242C">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herstel en afwikkeling van banken en beleggingsondernemingen</w:t>
            </w:r>
          </w:p>
        </w:tc>
      </w:tr>
      <w:tr w:rsidRPr="007456D5" w:rsidR="005761A0" w:rsidTr="00E62FBD" w14:paraId="6352D6D3" w14:textId="77777777">
        <w:tc>
          <w:tcPr>
            <w:tcW w:w="1696" w:type="dxa"/>
          </w:tcPr>
          <w:p w:rsidRPr="007456D5" w:rsidR="005761A0" w:rsidP="005761A0" w:rsidRDefault="005761A0" w14:paraId="061FDE45" w14:textId="3CCAAE58">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11, (128 bis, eerste en tweede lid, richtlijn herstel en afwikkeling van banken en beleggingsondernemingen)</w:t>
            </w:r>
          </w:p>
        </w:tc>
        <w:tc>
          <w:tcPr>
            <w:tcW w:w="1701" w:type="dxa"/>
          </w:tcPr>
          <w:p w:rsidRPr="007456D5" w:rsidR="005761A0" w:rsidP="005761A0" w:rsidRDefault="005761A0" w14:paraId="0F9EAB9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3:303, derde lid, Wft</w:t>
            </w:r>
          </w:p>
          <w:p w:rsidRPr="007456D5" w:rsidR="005761A0" w:rsidP="005761A0" w:rsidRDefault="005761A0" w14:paraId="5529DEB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3A:63a, derde lid, Wft</w:t>
            </w:r>
          </w:p>
        </w:tc>
        <w:tc>
          <w:tcPr>
            <w:tcW w:w="1985" w:type="dxa"/>
          </w:tcPr>
          <w:p w:rsidRPr="007456D5" w:rsidR="005761A0" w:rsidP="005761A0" w:rsidRDefault="005761A0" w14:paraId="42517C3A"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B1798EF"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02113691" w14:textId="77777777">
        <w:tc>
          <w:tcPr>
            <w:tcW w:w="1696" w:type="dxa"/>
          </w:tcPr>
          <w:p w:rsidRPr="007456D5" w:rsidR="005761A0" w:rsidP="005761A0" w:rsidRDefault="005761A0" w14:paraId="77DE1B05" w14:textId="3D25656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11, (128 bis, derde lid, richtlijn herstel en afwikkeling van </w:t>
            </w:r>
            <w:r w:rsidRPr="007456D5">
              <w:rPr>
                <w:rFonts w:ascii="Verdana" w:hAnsi="Verdana" w:cs="Arial"/>
                <w:sz w:val="18"/>
                <w:szCs w:val="18"/>
              </w:rPr>
              <w:lastRenderedPageBreak/>
              <w:t>banken en beleggingsondernemingen)</w:t>
            </w:r>
          </w:p>
        </w:tc>
        <w:tc>
          <w:tcPr>
            <w:tcW w:w="1701" w:type="dxa"/>
          </w:tcPr>
          <w:p w:rsidRPr="007456D5" w:rsidR="005761A0" w:rsidP="005761A0" w:rsidRDefault="005761A0" w14:paraId="1EBF8E46" w14:textId="50B23DB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1:110, eerste lid, Wft</w:t>
            </w:r>
          </w:p>
        </w:tc>
        <w:tc>
          <w:tcPr>
            <w:tcW w:w="1985" w:type="dxa"/>
          </w:tcPr>
          <w:p w:rsidRPr="007456D5" w:rsidR="005761A0" w:rsidP="005761A0" w:rsidRDefault="005761A0" w14:paraId="35C1C5D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5D045C3" w14:textId="51C277D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DNB is de verzamelende instantie zoals gedefinieerd in artikel 2, </w:t>
            </w:r>
            <w:r w:rsidRPr="007456D5">
              <w:rPr>
                <w:rFonts w:ascii="Verdana" w:hAnsi="Verdana" w:cs="Arial"/>
                <w:sz w:val="18"/>
                <w:szCs w:val="18"/>
              </w:rPr>
              <w:lastRenderedPageBreak/>
              <w:t>onderdeel 2, van verordening oprichting ESAP.</w:t>
            </w:r>
          </w:p>
        </w:tc>
      </w:tr>
      <w:tr w:rsidRPr="007456D5" w:rsidR="005761A0" w:rsidTr="00E62FBD" w14:paraId="1AD4396A" w14:textId="77777777">
        <w:tc>
          <w:tcPr>
            <w:tcW w:w="1696" w:type="dxa"/>
          </w:tcPr>
          <w:p w:rsidRPr="007456D5" w:rsidR="005761A0" w:rsidP="005761A0" w:rsidRDefault="005761A0" w14:paraId="6966FB4A" w14:textId="03DD6D2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11, (128 bis, vierde lid, eerste paragraaf en onderdeel b, richtlijn herstel en afwikkeling van banken en beleggingsondernemingen)</w:t>
            </w:r>
          </w:p>
        </w:tc>
        <w:tc>
          <w:tcPr>
            <w:tcW w:w="1701" w:type="dxa"/>
          </w:tcPr>
          <w:p w:rsidRPr="007456D5" w:rsidR="005761A0" w:rsidP="005761A0" w:rsidRDefault="005761A0" w14:paraId="2EC342F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1:76a, vijfde lid, Wft</w:t>
            </w:r>
          </w:p>
          <w:p w:rsidRPr="007456D5" w:rsidR="005761A0" w:rsidP="005761A0" w:rsidRDefault="005761A0" w14:paraId="13EBE81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tc>
        <w:tc>
          <w:tcPr>
            <w:tcW w:w="1985" w:type="dxa"/>
          </w:tcPr>
          <w:p w:rsidRPr="007456D5" w:rsidR="005761A0" w:rsidP="005761A0" w:rsidRDefault="005761A0" w14:paraId="5C33EB0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ECC9DF2"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DC1F172" w14:textId="77777777">
        <w:tc>
          <w:tcPr>
            <w:tcW w:w="1696" w:type="dxa"/>
          </w:tcPr>
          <w:p w:rsidRPr="007456D5" w:rsidR="005761A0" w:rsidP="005761A0" w:rsidRDefault="005761A0" w14:paraId="5AAB4B95" w14:textId="1A36208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(128 bis, vierde lid, onderdeel a, richtlijn herstel en afwikkeling van banken en beleggingsondernemingen)</w:t>
            </w:r>
          </w:p>
        </w:tc>
        <w:tc>
          <w:tcPr>
            <w:tcW w:w="1701" w:type="dxa"/>
          </w:tcPr>
          <w:p w:rsidRPr="007456D5" w:rsidR="005761A0" w:rsidP="005761A0" w:rsidRDefault="005761A0" w14:paraId="787F762E" w14:textId="6793D8F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1:76a, vijfde lid, Wft</w:t>
            </w:r>
          </w:p>
          <w:p w:rsidRPr="007456D5" w:rsidR="005761A0" w:rsidP="005761A0" w:rsidRDefault="005761A0" w14:paraId="4CE5C7D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zevende lid, Wft</w:t>
            </w:r>
          </w:p>
        </w:tc>
        <w:tc>
          <w:tcPr>
            <w:tcW w:w="1985" w:type="dxa"/>
          </w:tcPr>
          <w:p w:rsidRPr="007456D5" w:rsidR="005761A0" w:rsidP="005761A0" w:rsidRDefault="005761A0" w14:paraId="26311439"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3E18541"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EED19B2" w14:textId="77777777">
        <w:tc>
          <w:tcPr>
            <w:tcW w:w="1696" w:type="dxa"/>
          </w:tcPr>
          <w:p w:rsidRPr="007456D5" w:rsidR="005761A0" w:rsidP="005761A0" w:rsidRDefault="005761A0" w14:paraId="54586C4B" w14:textId="0C74ECC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(128 bis, vijfde lid, eerste paragraaf, richtlijn kapitaalvereisten)</w:t>
            </w:r>
          </w:p>
        </w:tc>
        <w:tc>
          <w:tcPr>
            <w:tcW w:w="1701" w:type="dxa"/>
          </w:tcPr>
          <w:p w:rsidRPr="007456D5" w:rsidR="005761A0" w:rsidP="005761A0" w:rsidRDefault="005761A0" w14:paraId="540EB5AE" w14:textId="63982113">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535CB52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69F0E1C" w14:textId="55455C2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DNB is de verzamelende instantie zoals gedefinieerd in artikel 2, onderdeel 2, van verordening oprichting ESAP.</w:t>
            </w:r>
          </w:p>
        </w:tc>
      </w:tr>
      <w:tr w:rsidRPr="007456D5" w:rsidR="005761A0" w:rsidTr="00E62FBD" w14:paraId="4094830A" w14:textId="77777777">
        <w:tc>
          <w:tcPr>
            <w:tcW w:w="1696" w:type="dxa"/>
          </w:tcPr>
          <w:p w:rsidRPr="007456D5" w:rsidR="005761A0" w:rsidP="005761A0" w:rsidRDefault="005761A0" w14:paraId="28FF8D1E" w14:textId="477B489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(128 bis, vijfde lid, onderdelen a en b, richtlijn herstel en afwikkeling van banken en beleggingsondernemingen)</w:t>
            </w:r>
          </w:p>
        </w:tc>
        <w:tc>
          <w:tcPr>
            <w:tcW w:w="1701" w:type="dxa"/>
          </w:tcPr>
          <w:p w:rsidRPr="007456D5" w:rsidR="005761A0" w:rsidP="005761A0" w:rsidRDefault="005761A0" w14:paraId="6ED58E5D" w14:textId="0D69F129">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geïmplementeerd in de Rtt</w:t>
            </w:r>
          </w:p>
        </w:tc>
        <w:tc>
          <w:tcPr>
            <w:tcW w:w="1985" w:type="dxa"/>
          </w:tcPr>
          <w:p w:rsidRPr="007456D5" w:rsidR="005761A0" w:rsidP="005761A0" w:rsidRDefault="005761A0" w14:paraId="11C37728"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2BEE644"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15C83F8B" w14:textId="77777777">
        <w:tc>
          <w:tcPr>
            <w:tcW w:w="1696" w:type="dxa"/>
          </w:tcPr>
          <w:p w:rsidRPr="007456D5" w:rsidR="005761A0" w:rsidP="005761A0" w:rsidRDefault="005761A0" w14:paraId="1C73E349" w14:textId="1E7AE35F">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(128 bis, zesde lid, richtlijn herstel en afwikkeling van banken en beleggingsondernemingen)</w:t>
            </w:r>
          </w:p>
        </w:tc>
        <w:tc>
          <w:tcPr>
            <w:tcW w:w="1701" w:type="dxa"/>
          </w:tcPr>
          <w:p w:rsidRPr="007456D5" w:rsidR="005761A0" w:rsidP="005761A0" w:rsidRDefault="005761A0" w14:paraId="24E33A6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EBA en de Europese Commissie.</w:t>
            </w:r>
          </w:p>
        </w:tc>
        <w:tc>
          <w:tcPr>
            <w:tcW w:w="1985" w:type="dxa"/>
          </w:tcPr>
          <w:p w:rsidRPr="007456D5" w:rsidR="005761A0" w:rsidP="005761A0" w:rsidRDefault="005761A0" w14:paraId="3C43E41F"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3935248"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63590429" w14:textId="77777777">
        <w:tc>
          <w:tcPr>
            <w:tcW w:w="1696" w:type="dxa"/>
          </w:tcPr>
          <w:p w:rsidRPr="007456D5" w:rsidR="005761A0" w:rsidP="005761A0" w:rsidRDefault="005761A0" w14:paraId="3E3A717E" w14:textId="7AE74E4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(128 bis, zevende lid, richtlijn herstel en afwikkeling van banken en beleggingsondernemingen)</w:t>
            </w:r>
          </w:p>
        </w:tc>
        <w:tc>
          <w:tcPr>
            <w:tcW w:w="1701" w:type="dxa"/>
          </w:tcPr>
          <w:p w:rsidRPr="007456D5" w:rsidR="005761A0" w:rsidP="005761A0" w:rsidRDefault="005761A0" w14:paraId="6320B8E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EBA.</w:t>
            </w:r>
          </w:p>
        </w:tc>
        <w:tc>
          <w:tcPr>
            <w:tcW w:w="1985" w:type="dxa"/>
          </w:tcPr>
          <w:p w:rsidRPr="007456D5" w:rsidR="005761A0" w:rsidP="005761A0" w:rsidRDefault="005761A0" w14:paraId="79615BDD"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70E1C1B"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782281E3" w14:textId="77777777">
        <w:tc>
          <w:tcPr>
            <w:tcW w:w="7225" w:type="dxa"/>
            <w:gridSpan w:val="4"/>
          </w:tcPr>
          <w:p w:rsidRPr="007456D5" w:rsidR="005761A0" w:rsidP="005761A0" w:rsidRDefault="005761A0" w14:paraId="69017641" w14:textId="0CDEBC4D">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markten voor financiële instrumenten 2014</w:t>
            </w:r>
          </w:p>
        </w:tc>
      </w:tr>
      <w:tr w:rsidRPr="007456D5" w:rsidR="005761A0" w:rsidTr="00E62FBD" w14:paraId="3B96143F" w14:textId="77777777">
        <w:tc>
          <w:tcPr>
            <w:tcW w:w="1696" w:type="dxa"/>
          </w:tcPr>
          <w:p w:rsidRPr="007456D5" w:rsidR="005761A0" w:rsidP="005761A0" w:rsidRDefault="005761A0" w14:paraId="5EDDDF58" w14:textId="7AE8878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lastRenderedPageBreak/>
              <w:t>12, (87 bis, eerste en tweede lid, richtlijn markten voor financiële instrumenten 2014)</w:t>
            </w:r>
          </w:p>
        </w:tc>
        <w:tc>
          <w:tcPr>
            <w:tcW w:w="1701" w:type="dxa"/>
          </w:tcPr>
          <w:p w:rsidRPr="007456D5" w:rsidR="005761A0" w:rsidP="005761A0" w:rsidRDefault="005761A0" w14:paraId="00CE12CE" w14:textId="74CA7C0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4:90b, dertiende lid, Wft</w:t>
            </w:r>
          </w:p>
          <w:p w:rsidRPr="007456D5" w:rsidR="005761A0" w:rsidP="005761A0" w:rsidRDefault="005761A0" w14:paraId="7CB4288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4:90e, derde lid, Wft</w:t>
            </w:r>
          </w:p>
          <w:p w:rsidRPr="007456D5" w:rsidR="005761A0" w:rsidP="005761A0" w:rsidRDefault="005761A0" w14:paraId="268385A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4:91ea, zevende lid, Wft</w:t>
            </w:r>
          </w:p>
          <w:p w:rsidRPr="007456D5" w:rsidR="005761A0" w:rsidP="005761A0" w:rsidRDefault="005761A0" w14:paraId="1EAB4F7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5:32l, vijfde lid, Wft</w:t>
            </w:r>
          </w:p>
        </w:tc>
        <w:tc>
          <w:tcPr>
            <w:tcW w:w="1985" w:type="dxa"/>
          </w:tcPr>
          <w:p w:rsidRPr="007456D5" w:rsidR="005761A0" w:rsidP="005761A0" w:rsidRDefault="005761A0" w14:paraId="2D14E62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5CEDA36"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0BA4AE2C" w14:textId="77777777">
        <w:tc>
          <w:tcPr>
            <w:tcW w:w="1696" w:type="dxa"/>
          </w:tcPr>
          <w:p w:rsidRPr="007456D5" w:rsidR="005761A0" w:rsidP="005761A0" w:rsidRDefault="005761A0" w14:paraId="7FA2EE6A" w14:textId="21FD18A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(87 bis, derde lid, eerste paragraaf, richtlijn markten voor financiële instrumenten 2014)</w:t>
            </w:r>
          </w:p>
        </w:tc>
        <w:tc>
          <w:tcPr>
            <w:tcW w:w="1701" w:type="dxa"/>
          </w:tcPr>
          <w:p w:rsidRPr="007456D5" w:rsidR="005761A0" w:rsidP="005761A0" w:rsidRDefault="005761A0" w14:paraId="28A14BD3" w14:textId="242D7C4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1:110, eerste lid, Wft</w:t>
            </w:r>
          </w:p>
        </w:tc>
        <w:tc>
          <w:tcPr>
            <w:tcW w:w="1985" w:type="dxa"/>
          </w:tcPr>
          <w:p w:rsidRPr="007456D5" w:rsidR="005761A0" w:rsidP="005761A0" w:rsidRDefault="005761A0" w14:paraId="4EE6A61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17F4C74" w14:textId="1728E3A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5761A0" w:rsidTr="00E62FBD" w14:paraId="5DADB2BA" w14:textId="77777777">
        <w:tc>
          <w:tcPr>
            <w:tcW w:w="1696" w:type="dxa"/>
          </w:tcPr>
          <w:p w:rsidRPr="007456D5" w:rsidR="005761A0" w:rsidP="005761A0" w:rsidRDefault="005761A0" w14:paraId="47BA9205" w14:textId="29F1B00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(87 bis, derde lid, tweede paragraaf, richtlijn markten voor financiële instrumenten 2014)</w:t>
            </w:r>
          </w:p>
        </w:tc>
        <w:tc>
          <w:tcPr>
            <w:tcW w:w="1701" w:type="dxa"/>
          </w:tcPr>
          <w:p w:rsidRPr="007456D5" w:rsidR="005761A0" w:rsidP="005761A0" w:rsidRDefault="005761A0" w14:paraId="5B80AC75" w14:textId="441D8D0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1:110, eerste lid, Wft</w:t>
            </w:r>
          </w:p>
        </w:tc>
        <w:tc>
          <w:tcPr>
            <w:tcW w:w="1985" w:type="dxa"/>
          </w:tcPr>
          <w:p w:rsidRPr="007456D5" w:rsidR="005761A0" w:rsidP="005761A0" w:rsidRDefault="005761A0" w14:paraId="7264F68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6531DDF" w14:textId="31FEE20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5761A0" w:rsidTr="00E62FBD" w14:paraId="652EA77E" w14:textId="77777777">
        <w:tc>
          <w:tcPr>
            <w:tcW w:w="1696" w:type="dxa"/>
          </w:tcPr>
          <w:p w:rsidRPr="007456D5" w:rsidR="005761A0" w:rsidP="005761A0" w:rsidRDefault="005761A0" w14:paraId="6BAE64AE" w14:textId="3CB85B6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(87 bis, vierde lid, richtlijn markten voor financiële instrumenten 2014)</w:t>
            </w:r>
          </w:p>
        </w:tc>
        <w:tc>
          <w:tcPr>
            <w:tcW w:w="1701" w:type="dxa"/>
          </w:tcPr>
          <w:p w:rsidRPr="007456D5" w:rsidR="005761A0" w:rsidP="005761A0" w:rsidRDefault="005761A0" w14:paraId="7E64E350" w14:textId="693CE425">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p w:rsidRPr="007456D5" w:rsidR="005761A0" w:rsidP="005761A0" w:rsidRDefault="005761A0" w14:paraId="1C59629F" w14:textId="700EAF3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4:91c, vijfde lid, Wft</w:t>
            </w:r>
          </w:p>
          <w:p w:rsidRPr="007456D5" w:rsidR="005761A0" w:rsidP="005761A0" w:rsidRDefault="005761A0" w14:paraId="2C29278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5:32g, vijfde lid, Wft</w:t>
            </w:r>
          </w:p>
          <w:p w:rsidRPr="007456D5" w:rsidR="005761A0" w:rsidP="005761A0" w:rsidRDefault="005761A0" w14:paraId="41DE67F8" w14:textId="15D63874">
            <w:pPr>
              <w:widowControl w:val="0"/>
              <w:tabs>
                <w:tab w:val="num" w:pos="720"/>
              </w:tabs>
              <w:spacing w:line="240" w:lineRule="exact"/>
              <w:contextualSpacing/>
              <w:rPr>
                <w:rFonts w:ascii="Verdana" w:hAnsi="Verdana" w:cs="Arial"/>
                <w:sz w:val="18"/>
                <w:szCs w:val="18"/>
              </w:rPr>
            </w:pPr>
            <w:r>
              <w:rPr>
                <w:rFonts w:ascii="Verdana" w:hAnsi="Verdana" w:cs="Arial"/>
                <w:sz w:val="18"/>
                <w:szCs w:val="18"/>
              </w:rPr>
              <w:t>Wordt ook geïmplementeerd in de Rtt</w:t>
            </w:r>
          </w:p>
        </w:tc>
        <w:tc>
          <w:tcPr>
            <w:tcW w:w="1985" w:type="dxa"/>
          </w:tcPr>
          <w:p w:rsidRPr="007456D5" w:rsidR="005761A0" w:rsidP="005761A0" w:rsidRDefault="005761A0" w14:paraId="0C476D96"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B43DAD3"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462B754D" w14:textId="77777777">
        <w:tc>
          <w:tcPr>
            <w:tcW w:w="1696" w:type="dxa"/>
          </w:tcPr>
          <w:p w:rsidRPr="007456D5" w:rsidR="005761A0" w:rsidP="005761A0" w:rsidRDefault="005761A0" w14:paraId="298865C1" w14:textId="7A0E351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(87 bis, vijfde lid, richtlijn markten voor financiële instrumenten 2014)</w:t>
            </w:r>
          </w:p>
        </w:tc>
        <w:tc>
          <w:tcPr>
            <w:tcW w:w="1701" w:type="dxa"/>
          </w:tcPr>
          <w:p w:rsidRPr="007456D5" w:rsidR="005761A0" w:rsidP="005761A0" w:rsidRDefault="005761A0" w14:paraId="70B4712E" w14:textId="65C60DD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1:107, vijfde lid, Wft</w:t>
            </w:r>
          </w:p>
          <w:p w:rsidRPr="007456D5" w:rsidR="005761A0" w:rsidP="005761A0" w:rsidRDefault="005761A0" w14:paraId="68363CF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5:89f, zesde lid, Wft</w:t>
            </w:r>
          </w:p>
        </w:tc>
        <w:tc>
          <w:tcPr>
            <w:tcW w:w="1985" w:type="dxa"/>
          </w:tcPr>
          <w:p w:rsidRPr="007456D5" w:rsidR="005761A0" w:rsidP="005761A0" w:rsidRDefault="005761A0" w14:paraId="03CCEEA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7EB3A60" w14:textId="154722E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ESMA is de verzamelende instantie zoals gedefinieerd in artikel 2, onderdeel 2, van verordening oprichting ESAP.</w:t>
            </w:r>
          </w:p>
        </w:tc>
      </w:tr>
      <w:tr w:rsidRPr="007456D5" w:rsidR="005761A0" w:rsidTr="00E62FBD" w14:paraId="1B309C6A" w14:textId="77777777">
        <w:tc>
          <w:tcPr>
            <w:tcW w:w="1696" w:type="dxa"/>
          </w:tcPr>
          <w:p w:rsidRPr="007456D5" w:rsidR="005761A0" w:rsidP="005761A0" w:rsidRDefault="005761A0" w14:paraId="2332F766" w14:textId="1533CD9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(87 bis, zesde lid, richtlijn markten voor financiële instrumenten 2014)</w:t>
            </w:r>
          </w:p>
        </w:tc>
        <w:tc>
          <w:tcPr>
            <w:tcW w:w="1701" w:type="dxa"/>
          </w:tcPr>
          <w:p w:rsidRPr="007456D5" w:rsidR="005761A0" w:rsidP="005761A0" w:rsidRDefault="005761A0" w14:paraId="7549C4DD" w14:textId="1BDCEC3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1:107, vijfde lid, Wft</w:t>
            </w:r>
          </w:p>
          <w:p w:rsidRPr="007456D5" w:rsidR="005761A0" w:rsidP="005761A0" w:rsidRDefault="005761A0" w14:paraId="2A12570F" w14:textId="3DB5365B">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1CA2AF32"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827D55A"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CB33874" w14:textId="77777777">
        <w:tc>
          <w:tcPr>
            <w:tcW w:w="1696" w:type="dxa"/>
          </w:tcPr>
          <w:p w:rsidRPr="007456D5" w:rsidR="005761A0" w:rsidP="005761A0" w:rsidRDefault="005761A0" w14:paraId="1D2E6660" w14:textId="4AC875A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(87 bis, zevende lid, richtlijn markten voor financiële instrumenten 2014)</w:t>
            </w:r>
          </w:p>
        </w:tc>
        <w:tc>
          <w:tcPr>
            <w:tcW w:w="1701" w:type="dxa"/>
          </w:tcPr>
          <w:p w:rsidRPr="007456D5" w:rsidR="005761A0" w:rsidP="005761A0" w:rsidRDefault="005761A0" w14:paraId="181A26F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ESMA en de Europese Commissie.</w:t>
            </w:r>
          </w:p>
        </w:tc>
        <w:tc>
          <w:tcPr>
            <w:tcW w:w="1985" w:type="dxa"/>
          </w:tcPr>
          <w:p w:rsidRPr="007456D5" w:rsidR="005761A0" w:rsidP="005761A0" w:rsidRDefault="005761A0" w14:paraId="3E55FDD7"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3F803B7"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0324FBF4" w14:textId="77777777">
        <w:tc>
          <w:tcPr>
            <w:tcW w:w="1696" w:type="dxa"/>
          </w:tcPr>
          <w:p w:rsidRPr="007456D5" w:rsidR="005761A0" w:rsidP="005761A0" w:rsidRDefault="005761A0" w14:paraId="6289A416" w14:textId="1CE6B05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12, (87 bis, </w:t>
            </w:r>
            <w:r w:rsidRPr="007456D5">
              <w:rPr>
                <w:rFonts w:ascii="Verdana" w:hAnsi="Verdana" w:cs="Arial"/>
                <w:sz w:val="18"/>
                <w:szCs w:val="18"/>
              </w:rPr>
              <w:lastRenderedPageBreak/>
              <w:t>achtste lid, richtlijn markten voor financiële instrumenten 2014)</w:t>
            </w:r>
          </w:p>
        </w:tc>
        <w:tc>
          <w:tcPr>
            <w:tcW w:w="1701" w:type="dxa"/>
          </w:tcPr>
          <w:p w:rsidRPr="007456D5" w:rsidR="005761A0" w:rsidP="005761A0" w:rsidRDefault="005761A0" w14:paraId="5568DA0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 xml:space="preserve">Behoeft naar </w:t>
            </w:r>
            <w:r w:rsidRPr="007456D5">
              <w:rPr>
                <w:rFonts w:ascii="Verdana" w:hAnsi="Verdana" w:cs="Arial"/>
                <w:sz w:val="18"/>
                <w:szCs w:val="18"/>
              </w:rPr>
              <w:lastRenderedPageBreak/>
              <w:t xml:space="preserve">zijn aard geen implementatie. Bepaling gericht tot ESMA. </w:t>
            </w:r>
          </w:p>
        </w:tc>
        <w:tc>
          <w:tcPr>
            <w:tcW w:w="1985" w:type="dxa"/>
          </w:tcPr>
          <w:p w:rsidRPr="007456D5" w:rsidR="005761A0" w:rsidP="005761A0" w:rsidRDefault="005761A0" w14:paraId="3281FA7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3F719319"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752CCF8" w14:textId="77777777">
        <w:tc>
          <w:tcPr>
            <w:tcW w:w="7225" w:type="dxa"/>
            <w:gridSpan w:val="4"/>
          </w:tcPr>
          <w:p w:rsidRPr="007456D5" w:rsidR="005761A0" w:rsidP="005761A0" w:rsidRDefault="005761A0" w14:paraId="3CE27943" w14:textId="29551786">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verzekeringsdistributie</w:t>
            </w:r>
          </w:p>
        </w:tc>
      </w:tr>
      <w:tr w:rsidRPr="007456D5" w:rsidR="005761A0" w:rsidTr="00E62FBD" w14:paraId="5A741294" w14:textId="77777777">
        <w:tc>
          <w:tcPr>
            <w:tcW w:w="1696" w:type="dxa"/>
          </w:tcPr>
          <w:p w:rsidRPr="007456D5" w:rsidR="005761A0" w:rsidP="005761A0" w:rsidRDefault="005761A0" w14:paraId="1E8E1778" w14:textId="6A38F5A5">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13, (40 bis, richtlijn verzekeringsdistributie)</w:t>
            </w:r>
          </w:p>
        </w:tc>
        <w:tc>
          <w:tcPr>
            <w:tcW w:w="1701" w:type="dxa"/>
          </w:tcPr>
          <w:p w:rsidRPr="007456D5" w:rsidR="005761A0" w:rsidP="005761A0" w:rsidRDefault="005761A0" w14:paraId="4C27141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p w:rsidRPr="007456D5" w:rsidR="005761A0" w:rsidP="005761A0" w:rsidRDefault="005761A0" w14:paraId="123B54E2" w14:textId="6F7AC72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205d, tweede lid, PW</w:t>
            </w:r>
          </w:p>
          <w:p w:rsidRPr="007456D5" w:rsidR="005761A0" w:rsidP="005761A0" w:rsidRDefault="005761A0" w14:paraId="09342C5C" w14:textId="10AE895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tweede lid, </w:t>
            </w:r>
            <w:proofErr w:type="spellStart"/>
            <w:r w:rsidRPr="007456D5">
              <w:rPr>
                <w:rFonts w:ascii="Verdana" w:hAnsi="Verdana" w:cs="Arial"/>
                <w:sz w:val="18"/>
                <w:szCs w:val="18"/>
              </w:rPr>
              <w:t>Wvb</w:t>
            </w:r>
            <w:proofErr w:type="spellEnd"/>
          </w:p>
          <w:p w:rsidRPr="007456D5" w:rsidR="005761A0" w:rsidP="005761A0" w:rsidRDefault="005761A0" w14:paraId="0C9CC43C" w14:textId="77777777">
            <w:pPr>
              <w:widowControl w:val="0"/>
              <w:tabs>
                <w:tab w:val="num" w:pos="720"/>
              </w:tabs>
              <w:spacing w:line="240" w:lineRule="exact"/>
              <w:contextualSpacing/>
              <w:rPr>
                <w:rFonts w:ascii="Verdana" w:hAnsi="Verdana" w:cs="Arial"/>
                <w:sz w:val="18"/>
                <w:szCs w:val="18"/>
              </w:rPr>
            </w:pPr>
          </w:p>
          <w:p w:rsidR="005761A0" w:rsidP="005761A0" w:rsidRDefault="005761A0" w14:paraId="31967920" w14:textId="1ED92CE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Regeling Pensioenwet en Wet verplichte beroepspensioenregeling</w:t>
            </w:r>
          </w:p>
          <w:p w:rsidRPr="007456D5" w:rsidR="0042113C" w:rsidP="005761A0" w:rsidRDefault="0042113C" w14:paraId="25DA5C33" w14:textId="77777777">
            <w:pPr>
              <w:widowControl w:val="0"/>
              <w:tabs>
                <w:tab w:val="num" w:pos="720"/>
              </w:tabs>
              <w:spacing w:line="240" w:lineRule="exact"/>
              <w:contextualSpacing/>
              <w:rPr>
                <w:rFonts w:ascii="Verdana" w:hAnsi="Verdana" w:cs="Arial"/>
                <w:sz w:val="18"/>
                <w:szCs w:val="18"/>
              </w:rPr>
            </w:pPr>
          </w:p>
          <w:p w:rsidRPr="007456D5" w:rsidR="005761A0" w:rsidP="005761A0" w:rsidRDefault="0042113C" w14:paraId="74B180D6" w14:textId="1A4E6AE7">
            <w:pPr>
              <w:widowControl w:val="0"/>
              <w:tabs>
                <w:tab w:val="num" w:pos="720"/>
              </w:tabs>
              <w:spacing w:line="240" w:lineRule="exact"/>
              <w:contextualSpacing/>
              <w:rPr>
                <w:rFonts w:ascii="Verdana" w:hAnsi="Verdana" w:cs="Arial"/>
                <w:sz w:val="18"/>
                <w:szCs w:val="18"/>
              </w:rPr>
            </w:pPr>
            <w:r>
              <w:rPr>
                <w:rFonts w:ascii="Verdana" w:hAnsi="Verdana" w:cs="Arial"/>
                <w:sz w:val="18"/>
                <w:szCs w:val="18"/>
              </w:rPr>
              <w:t>Rtt</w:t>
            </w:r>
          </w:p>
        </w:tc>
        <w:tc>
          <w:tcPr>
            <w:tcW w:w="1985" w:type="dxa"/>
          </w:tcPr>
          <w:p w:rsidRPr="007456D5" w:rsidR="005761A0" w:rsidP="005761A0" w:rsidRDefault="005761A0" w14:paraId="58A8852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540838B3" w14:textId="07DE705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AFM is de verzamelende instantie zoals gedefinieerd in artikel 2, onderdeel 2, van verordening oprichting ESAP.</w:t>
            </w:r>
          </w:p>
        </w:tc>
      </w:tr>
      <w:tr w:rsidRPr="007456D5" w:rsidR="005761A0" w:rsidTr="00E62FBD" w14:paraId="270D0280" w14:textId="77777777">
        <w:tc>
          <w:tcPr>
            <w:tcW w:w="7225" w:type="dxa"/>
            <w:gridSpan w:val="4"/>
          </w:tcPr>
          <w:p w:rsidRPr="007456D5" w:rsidR="005761A0" w:rsidP="005761A0" w:rsidRDefault="005761A0" w14:paraId="325CA404" w14:textId="1E9346E3">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instellingen voor bedrijfspensioenvoorziening (</w:t>
            </w:r>
            <w:proofErr w:type="spellStart"/>
            <w:r w:rsidRPr="007456D5">
              <w:rPr>
                <w:rFonts w:ascii="Verdana" w:hAnsi="Verdana" w:cs="Arial"/>
                <w:b/>
                <w:bCs/>
                <w:sz w:val="18"/>
                <w:szCs w:val="18"/>
              </w:rPr>
              <w:t>IBPV’s</w:t>
            </w:r>
            <w:proofErr w:type="spellEnd"/>
            <w:r w:rsidRPr="007456D5">
              <w:rPr>
                <w:rFonts w:ascii="Verdana" w:hAnsi="Verdana" w:cs="Arial"/>
                <w:b/>
                <w:bCs/>
                <w:sz w:val="18"/>
                <w:szCs w:val="18"/>
              </w:rPr>
              <w:t>)</w:t>
            </w:r>
          </w:p>
        </w:tc>
      </w:tr>
      <w:tr w:rsidRPr="007456D5" w:rsidR="005761A0" w:rsidTr="00E62FBD" w14:paraId="058F3F7B" w14:textId="77777777">
        <w:tc>
          <w:tcPr>
            <w:tcW w:w="1696" w:type="dxa"/>
          </w:tcPr>
          <w:p w:rsidRPr="007456D5" w:rsidR="005761A0" w:rsidP="005761A0" w:rsidRDefault="005761A0" w14:paraId="3925A232" w14:textId="2D0055AE">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14, (63 bis, eerste lid, richtlijn instellingen voor bedrijfspensioenvoorziening)</w:t>
            </w:r>
          </w:p>
        </w:tc>
        <w:tc>
          <w:tcPr>
            <w:tcW w:w="1701" w:type="dxa"/>
          </w:tcPr>
          <w:p w:rsidRPr="007456D5" w:rsidR="005761A0" w:rsidP="005761A0" w:rsidRDefault="005761A0" w14:paraId="73CC2CC1" w14:textId="65FC231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205d, tweede lid, PW</w:t>
            </w:r>
          </w:p>
          <w:p w:rsidRPr="007456D5" w:rsidR="005761A0" w:rsidP="005761A0" w:rsidRDefault="005761A0" w14:paraId="36AC4841" w14:textId="33CA3CE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tweede lid, </w:t>
            </w:r>
            <w:proofErr w:type="spellStart"/>
            <w:r w:rsidRPr="007456D5">
              <w:rPr>
                <w:rFonts w:ascii="Verdana" w:hAnsi="Verdana" w:cs="Arial"/>
                <w:sz w:val="18"/>
                <w:szCs w:val="18"/>
              </w:rPr>
              <w:t>Wvb</w:t>
            </w:r>
            <w:proofErr w:type="spellEnd"/>
          </w:p>
          <w:p w:rsidRPr="007456D5" w:rsidR="005761A0" w:rsidP="005761A0" w:rsidRDefault="005761A0" w14:paraId="7C300F7F" w14:textId="738992B5">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5ACF848E"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61D1A85"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00606D3" w14:textId="77777777">
        <w:tc>
          <w:tcPr>
            <w:tcW w:w="1696" w:type="dxa"/>
          </w:tcPr>
          <w:p w:rsidRPr="007456D5" w:rsidR="005761A0" w:rsidP="005761A0" w:rsidRDefault="005761A0" w14:paraId="1793CCAE" w14:textId="04BA192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(63 bis, tweede lid, richtlijn instellingen voor bedrijfspensioenvoorziening)</w:t>
            </w:r>
          </w:p>
        </w:tc>
        <w:tc>
          <w:tcPr>
            <w:tcW w:w="1701" w:type="dxa"/>
          </w:tcPr>
          <w:p w:rsidRPr="007456D5" w:rsidR="005761A0" w:rsidP="005761A0" w:rsidRDefault="005761A0" w14:paraId="1C2000A9" w14:textId="1417CF42">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205d, tweede lid, PW</w:t>
            </w:r>
          </w:p>
          <w:p w:rsidRPr="007456D5" w:rsidR="005761A0" w:rsidP="005761A0" w:rsidRDefault="005761A0" w14:paraId="12C617E2" w14:textId="59B68CD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tweede lid, </w:t>
            </w:r>
            <w:proofErr w:type="spellStart"/>
            <w:r w:rsidRPr="007456D5">
              <w:rPr>
                <w:rFonts w:ascii="Verdana" w:hAnsi="Verdana" w:cs="Arial"/>
                <w:sz w:val="18"/>
                <w:szCs w:val="18"/>
              </w:rPr>
              <w:t>Wvb</w:t>
            </w:r>
            <w:proofErr w:type="spellEnd"/>
          </w:p>
          <w:p w:rsidRPr="007456D5" w:rsidR="005761A0" w:rsidP="005761A0" w:rsidRDefault="005761A0" w14:paraId="73E1B3FB" w14:textId="516C1869">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34C29C8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8FB695E"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63D74EB1" w14:textId="77777777">
        <w:tc>
          <w:tcPr>
            <w:tcW w:w="1696" w:type="dxa"/>
          </w:tcPr>
          <w:p w:rsidRPr="007456D5" w:rsidR="005761A0" w:rsidP="005761A0" w:rsidRDefault="005761A0" w14:paraId="1240B807" w14:textId="5A9F256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(63 bis, derde lid, richtlijn instellingen voor bedrijfspensioenvoorziening)</w:t>
            </w:r>
          </w:p>
        </w:tc>
        <w:tc>
          <w:tcPr>
            <w:tcW w:w="1701" w:type="dxa"/>
          </w:tcPr>
          <w:p w:rsidRPr="007456D5" w:rsidR="005761A0" w:rsidP="005761A0" w:rsidRDefault="005761A0" w14:paraId="57E0A32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205d, eerste lid, PW</w:t>
            </w:r>
          </w:p>
          <w:p w:rsidRPr="007456D5" w:rsidR="005761A0" w:rsidP="005761A0" w:rsidRDefault="005761A0" w14:paraId="5FE1163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eerste lid, </w:t>
            </w:r>
            <w:proofErr w:type="spellStart"/>
            <w:r w:rsidRPr="007456D5">
              <w:rPr>
                <w:rFonts w:ascii="Verdana" w:hAnsi="Verdana" w:cs="Arial"/>
                <w:sz w:val="18"/>
                <w:szCs w:val="18"/>
              </w:rPr>
              <w:t>Wvb</w:t>
            </w:r>
            <w:proofErr w:type="spellEnd"/>
          </w:p>
          <w:p w:rsidRPr="007456D5" w:rsidR="005761A0" w:rsidP="005761A0" w:rsidRDefault="005761A0" w14:paraId="591E3B82" w14:textId="77777777">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77DDC9E8"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297C7C3" w14:textId="566DE385">
            <w:pPr>
              <w:widowControl w:val="0"/>
              <w:tabs>
                <w:tab w:val="num" w:pos="720"/>
              </w:tabs>
              <w:spacing w:line="240" w:lineRule="exact"/>
              <w:contextualSpacing/>
              <w:rPr>
                <w:rFonts w:ascii="Verdana" w:hAnsi="Verdana" w:cs="Arial"/>
                <w:sz w:val="18"/>
                <w:szCs w:val="18"/>
              </w:rPr>
            </w:pPr>
            <w:r>
              <w:rPr>
                <w:rFonts w:ascii="Verdana" w:hAnsi="Verdana" w:cs="Arial"/>
                <w:sz w:val="18"/>
                <w:szCs w:val="18"/>
              </w:rPr>
              <w:t>DNB</w:t>
            </w:r>
            <w:r w:rsidRPr="007456D5">
              <w:rPr>
                <w:rFonts w:ascii="Verdana" w:hAnsi="Verdana" w:cs="Arial"/>
                <w:sz w:val="18"/>
                <w:szCs w:val="18"/>
              </w:rPr>
              <w:t xml:space="preserve"> is de verzamelende instantie zoals gedefinieerd in artikel 2, onderdeel 2, van verordening oprichting ESAP.</w:t>
            </w:r>
          </w:p>
        </w:tc>
      </w:tr>
      <w:tr w:rsidRPr="007456D5" w:rsidR="005761A0" w:rsidTr="00E62FBD" w14:paraId="114A35CE" w14:textId="77777777">
        <w:tc>
          <w:tcPr>
            <w:tcW w:w="1696" w:type="dxa"/>
          </w:tcPr>
          <w:p w:rsidRPr="007456D5" w:rsidR="005761A0" w:rsidP="005761A0" w:rsidRDefault="005761A0" w14:paraId="55F2C7BF" w14:textId="6697D02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(63 bis, vierde lid, richtlijn instellingen voor bedrijfspensioenvoorziening)</w:t>
            </w:r>
          </w:p>
        </w:tc>
        <w:tc>
          <w:tcPr>
            <w:tcW w:w="1701" w:type="dxa"/>
          </w:tcPr>
          <w:p w:rsidRPr="007456D5" w:rsidR="005761A0" w:rsidP="005761A0" w:rsidRDefault="005761A0" w14:paraId="5DE5D65B" w14:textId="5E0B7AD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205d, vierde lid, PW</w:t>
            </w:r>
          </w:p>
          <w:p w:rsidRPr="007456D5" w:rsidR="005761A0" w:rsidP="005761A0" w:rsidRDefault="005761A0" w14:paraId="555D5772" w14:textId="4E5E789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vierde lid, </w:t>
            </w:r>
            <w:proofErr w:type="spellStart"/>
            <w:r w:rsidRPr="007456D5">
              <w:rPr>
                <w:rFonts w:ascii="Verdana" w:hAnsi="Verdana" w:cs="Arial"/>
                <w:sz w:val="18"/>
                <w:szCs w:val="18"/>
              </w:rPr>
              <w:t>Wvb</w:t>
            </w:r>
            <w:proofErr w:type="spellEnd"/>
          </w:p>
          <w:p w:rsidRPr="007456D5" w:rsidR="005761A0" w:rsidP="005761A0" w:rsidRDefault="005761A0" w14:paraId="78F089F3" w14:textId="77777777">
            <w:pPr>
              <w:widowControl w:val="0"/>
              <w:tabs>
                <w:tab w:val="num" w:pos="720"/>
              </w:tabs>
              <w:spacing w:line="240" w:lineRule="exact"/>
              <w:contextualSpacing/>
              <w:rPr>
                <w:rFonts w:ascii="Verdana" w:hAnsi="Verdana" w:cs="Arial"/>
                <w:sz w:val="18"/>
                <w:szCs w:val="18"/>
              </w:rPr>
            </w:pPr>
          </w:p>
        </w:tc>
        <w:tc>
          <w:tcPr>
            <w:tcW w:w="1985" w:type="dxa"/>
          </w:tcPr>
          <w:p w:rsidRPr="007456D5" w:rsidR="005761A0" w:rsidP="005761A0" w:rsidRDefault="005761A0" w14:paraId="3EE931CE"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3286F80" w14:textId="2FAE29B0">
            <w:pPr>
              <w:widowControl w:val="0"/>
              <w:tabs>
                <w:tab w:val="num" w:pos="720"/>
              </w:tabs>
              <w:spacing w:line="240" w:lineRule="exact"/>
              <w:contextualSpacing/>
              <w:rPr>
                <w:rFonts w:ascii="Verdana" w:hAnsi="Verdana" w:cs="Arial"/>
                <w:sz w:val="18"/>
                <w:szCs w:val="18"/>
              </w:rPr>
            </w:pPr>
            <w:r>
              <w:rPr>
                <w:rFonts w:ascii="Verdana" w:hAnsi="Verdana" w:cs="Arial"/>
                <w:sz w:val="18"/>
                <w:szCs w:val="18"/>
              </w:rPr>
              <w:t>DNB</w:t>
            </w:r>
            <w:r w:rsidRPr="007456D5">
              <w:rPr>
                <w:rFonts w:ascii="Verdana" w:hAnsi="Verdana" w:cs="Arial"/>
                <w:sz w:val="18"/>
                <w:szCs w:val="18"/>
              </w:rPr>
              <w:t xml:space="preserve"> is de verzamelende instantie zoals gedefinieerd in artikel 2, onderdeel 2, van verordening oprichting ESAP.</w:t>
            </w:r>
          </w:p>
        </w:tc>
      </w:tr>
      <w:tr w:rsidRPr="007456D5" w:rsidR="005761A0" w:rsidTr="00E62FBD" w14:paraId="08AFE014" w14:textId="77777777">
        <w:tc>
          <w:tcPr>
            <w:tcW w:w="1696" w:type="dxa"/>
          </w:tcPr>
          <w:p w:rsidRPr="007456D5" w:rsidR="005761A0" w:rsidP="005761A0" w:rsidRDefault="005761A0" w14:paraId="159A2F31" w14:textId="0A71F32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(63 bis, vijfde lid, richtlijn instellingen voor bedrijfs</w:t>
            </w:r>
            <w:r w:rsidRPr="007456D5">
              <w:rPr>
                <w:rFonts w:ascii="Verdana" w:hAnsi="Verdana" w:cs="Arial"/>
                <w:sz w:val="18"/>
                <w:szCs w:val="18"/>
              </w:rPr>
              <w:lastRenderedPageBreak/>
              <w:t>pensioenvoorziening)</w:t>
            </w:r>
          </w:p>
        </w:tc>
        <w:tc>
          <w:tcPr>
            <w:tcW w:w="1701" w:type="dxa"/>
          </w:tcPr>
          <w:p w:rsidRPr="007456D5" w:rsidR="005761A0" w:rsidP="005761A0" w:rsidRDefault="005761A0" w14:paraId="5711261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 xml:space="preserve">Behoeft naar zijn aard geen implementatie. Bepaling gericht tot </w:t>
            </w:r>
            <w:proofErr w:type="spellStart"/>
            <w:r w:rsidRPr="007456D5">
              <w:rPr>
                <w:rFonts w:ascii="Verdana" w:hAnsi="Verdana" w:cs="Arial"/>
                <w:sz w:val="18"/>
                <w:szCs w:val="18"/>
              </w:rPr>
              <w:t>Eiopa</w:t>
            </w:r>
            <w:proofErr w:type="spellEnd"/>
            <w:r w:rsidRPr="007456D5">
              <w:rPr>
                <w:rFonts w:ascii="Verdana" w:hAnsi="Verdana" w:cs="Arial"/>
                <w:sz w:val="18"/>
                <w:szCs w:val="18"/>
              </w:rPr>
              <w:t xml:space="preserve"> en de </w:t>
            </w:r>
            <w:r w:rsidRPr="007456D5">
              <w:rPr>
                <w:rFonts w:ascii="Verdana" w:hAnsi="Verdana" w:cs="Arial"/>
                <w:sz w:val="18"/>
                <w:szCs w:val="18"/>
              </w:rPr>
              <w:lastRenderedPageBreak/>
              <w:t>Europese Commissie.</w:t>
            </w:r>
          </w:p>
        </w:tc>
        <w:tc>
          <w:tcPr>
            <w:tcW w:w="1985" w:type="dxa"/>
          </w:tcPr>
          <w:p w:rsidRPr="007456D5" w:rsidR="005761A0" w:rsidP="005761A0" w:rsidRDefault="005761A0" w14:paraId="47EE4E04"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C33C240"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26C7120D" w14:textId="77777777">
        <w:tc>
          <w:tcPr>
            <w:tcW w:w="1696" w:type="dxa"/>
          </w:tcPr>
          <w:p w:rsidRPr="007456D5" w:rsidR="005761A0" w:rsidP="005761A0" w:rsidRDefault="005761A0" w14:paraId="5E341609" w14:textId="6D1C21D1">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14, (63 bis, zesde lid, richtlijn instellingen voor bedrijfspensioenvoorziening)</w:t>
            </w:r>
          </w:p>
        </w:tc>
        <w:tc>
          <w:tcPr>
            <w:tcW w:w="1701" w:type="dxa"/>
          </w:tcPr>
          <w:p w:rsidRPr="007456D5" w:rsidR="005761A0" w:rsidP="005761A0" w:rsidRDefault="005761A0" w14:paraId="0F3E4F0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Behoeft naar zijn aard geen implementatie. Bepaling gericht tot </w:t>
            </w:r>
            <w:proofErr w:type="spellStart"/>
            <w:r w:rsidRPr="007456D5">
              <w:rPr>
                <w:rFonts w:ascii="Verdana" w:hAnsi="Verdana" w:cs="Arial"/>
                <w:sz w:val="18"/>
                <w:szCs w:val="18"/>
              </w:rPr>
              <w:t>Eiopa</w:t>
            </w:r>
            <w:proofErr w:type="spellEnd"/>
            <w:r w:rsidRPr="007456D5">
              <w:rPr>
                <w:rFonts w:ascii="Verdana" w:hAnsi="Verdana" w:cs="Arial"/>
                <w:sz w:val="18"/>
                <w:szCs w:val="18"/>
              </w:rPr>
              <w:t>.</w:t>
            </w:r>
          </w:p>
        </w:tc>
        <w:tc>
          <w:tcPr>
            <w:tcW w:w="1985" w:type="dxa"/>
          </w:tcPr>
          <w:p w:rsidRPr="007456D5" w:rsidR="005761A0" w:rsidP="005761A0" w:rsidRDefault="005761A0" w14:paraId="6469BD3E"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78DD23C"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7A6A4398" w14:textId="77777777">
        <w:tc>
          <w:tcPr>
            <w:tcW w:w="7225" w:type="dxa"/>
            <w:gridSpan w:val="4"/>
          </w:tcPr>
          <w:p w:rsidRPr="007456D5" w:rsidR="005761A0" w:rsidP="005761A0" w:rsidRDefault="005761A0" w14:paraId="3E0C56C9" w14:textId="18902D3B">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prudentieel toezicht beleggingsondernemingen</w:t>
            </w:r>
          </w:p>
        </w:tc>
      </w:tr>
      <w:tr w:rsidRPr="007456D5" w:rsidR="005761A0" w:rsidTr="00E62FBD" w14:paraId="6B6ABCD8" w14:textId="77777777">
        <w:tc>
          <w:tcPr>
            <w:tcW w:w="1696" w:type="dxa"/>
          </w:tcPr>
          <w:p w:rsidRPr="007456D5" w:rsidR="005761A0" w:rsidP="005761A0" w:rsidRDefault="005761A0" w14:paraId="59B0119B" w14:textId="7FBB5F18">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15, (44 bis, eerste en tweede lid, richtlijn prudentieel toezicht beleggingsondernemingen)</w:t>
            </w:r>
          </w:p>
        </w:tc>
        <w:tc>
          <w:tcPr>
            <w:tcW w:w="1701" w:type="dxa"/>
          </w:tcPr>
          <w:p w:rsidRPr="007456D5" w:rsidR="005761A0" w:rsidP="005761A0" w:rsidRDefault="005761A0" w14:paraId="52A05D0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3:74a, vierde en vijfde lid, Wft</w:t>
            </w:r>
          </w:p>
        </w:tc>
        <w:tc>
          <w:tcPr>
            <w:tcW w:w="1985" w:type="dxa"/>
          </w:tcPr>
          <w:p w:rsidRPr="007456D5" w:rsidR="005761A0" w:rsidP="005761A0" w:rsidRDefault="005761A0" w14:paraId="6D1D705D"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1D6CA10A"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4750589C" w14:textId="77777777">
        <w:tc>
          <w:tcPr>
            <w:tcW w:w="1696" w:type="dxa"/>
          </w:tcPr>
          <w:p w:rsidRPr="007456D5" w:rsidR="005761A0" w:rsidP="005761A0" w:rsidRDefault="005761A0" w14:paraId="2859302E" w14:textId="603D810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(44 bis, derde lid, richtlijn prudentieel toezicht beleggingsondernemingen)</w:t>
            </w:r>
          </w:p>
        </w:tc>
        <w:tc>
          <w:tcPr>
            <w:tcW w:w="1701" w:type="dxa"/>
          </w:tcPr>
          <w:p w:rsidRPr="007456D5" w:rsidR="005761A0" w:rsidP="005761A0" w:rsidRDefault="005761A0" w14:paraId="009A1D19" w14:textId="4B7E441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1:110, eerste lid, Wft</w:t>
            </w:r>
          </w:p>
        </w:tc>
        <w:tc>
          <w:tcPr>
            <w:tcW w:w="1985" w:type="dxa"/>
          </w:tcPr>
          <w:p w:rsidRPr="007456D5" w:rsidR="005761A0" w:rsidP="005761A0" w:rsidRDefault="005761A0" w14:paraId="335AE707"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15DD20F" w14:textId="69B2D73D">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DNB is de verzamelende instantie zoals gedefinieerd in artikel 2, onderdeel 2, van verordening oprichting ESAP.</w:t>
            </w:r>
          </w:p>
        </w:tc>
      </w:tr>
      <w:tr w:rsidRPr="007456D5" w:rsidR="005761A0" w:rsidTr="00E62FBD" w14:paraId="56A8CFEB" w14:textId="77777777">
        <w:tc>
          <w:tcPr>
            <w:tcW w:w="1696" w:type="dxa"/>
          </w:tcPr>
          <w:p w:rsidRPr="007456D5" w:rsidR="005761A0" w:rsidP="005761A0" w:rsidRDefault="005761A0" w14:paraId="70644205" w14:textId="240770C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(44 bis, vierde lid, eerste paragraaf, richtlijn prudentieel toezicht beleggingsondernemingen)</w:t>
            </w:r>
          </w:p>
        </w:tc>
        <w:tc>
          <w:tcPr>
            <w:tcW w:w="1701" w:type="dxa"/>
          </w:tcPr>
          <w:p w:rsidRPr="007456D5" w:rsidR="005761A0" w:rsidP="005761A0" w:rsidRDefault="005761A0" w14:paraId="5145A27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tc>
        <w:tc>
          <w:tcPr>
            <w:tcW w:w="1985" w:type="dxa"/>
          </w:tcPr>
          <w:p w:rsidRPr="007456D5" w:rsidR="005761A0" w:rsidP="005761A0" w:rsidRDefault="005761A0" w14:paraId="77778C2B"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0494A01"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0FB3C9FA" w14:textId="77777777">
        <w:tc>
          <w:tcPr>
            <w:tcW w:w="1696" w:type="dxa"/>
          </w:tcPr>
          <w:p w:rsidRPr="007456D5" w:rsidR="005761A0" w:rsidP="005761A0" w:rsidRDefault="005761A0" w14:paraId="253D561F" w14:textId="144E291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(44 bis, vierde lid, onderdelen a en b, richtlijn prudentieel toezicht beleggingsondernemingen)</w:t>
            </w:r>
          </w:p>
        </w:tc>
        <w:tc>
          <w:tcPr>
            <w:tcW w:w="1701" w:type="dxa"/>
          </w:tcPr>
          <w:p w:rsidRPr="007456D5" w:rsidR="005761A0" w:rsidP="005761A0" w:rsidRDefault="005761A0" w14:paraId="3D1D9E6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zevende lid, Wft</w:t>
            </w:r>
          </w:p>
        </w:tc>
        <w:tc>
          <w:tcPr>
            <w:tcW w:w="1985" w:type="dxa"/>
          </w:tcPr>
          <w:p w:rsidRPr="007456D5" w:rsidR="005761A0" w:rsidP="005761A0" w:rsidRDefault="005761A0" w14:paraId="3451D524"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426AA11E"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4917889" w14:textId="77777777">
        <w:tc>
          <w:tcPr>
            <w:tcW w:w="1696" w:type="dxa"/>
          </w:tcPr>
          <w:p w:rsidRPr="007456D5" w:rsidR="005761A0" w:rsidP="005761A0" w:rsidRDefault="005761A0" w14:paraId="7F5839A2" w14:textId="0E264D5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(44 bis, vijfde lid, richtlijn prudentieel toezicht beleggingsondernemingen)</w:t>
            </w:r>
          </w:p>
        </w:tc>
        <w:tc>
          <w:tcPr>
            <w:tcW w:w="1701" w:type="dxa"/>
          </w:tcPr>
          <w:p w:rsidRPr="007456D5" w:rsidR="005761A0" w:rsidP="005761A0" w:rsidRDefault="005761A0" w14:paraId="76A7F66E" w14:textId="796781B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EBA en de Europese Commissie.</w:t>
            </w:r>
          </w:p>
        </w:tc>
        <w:tc>
          <w:tcPr>
            <w:tcW w:w="1985" w:type="dxa"/>
          </w:tcPr>
          <w:p w:rsidRPr="007456D5" w:rsidR="005761A0" w:rsidP="005761A0" w:rsidRDefault="005761A0" w14:paraId="24A5E076"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AA0C425" w14:textId="22509196">
            <w:pPr>
              <w:widowControl w:val="0"/>
              <w:tabs>
                <w:tab w:val="num" w:pos="720"/>
              </w:tabs>
              <w:spacing w:line="240" w:lineRule="exact"/>
              <w:contextualSpacing/>
              <w:rPr>
                <w:rFonts w:ascii="Verdana" w:hAnsi="Verdana" w:cs="Arial"/>
                <w:sz w:val="18"/>
                <w:szCs w:val="18"/>
              </w:rPr>
            </w:pPr>
          </w:p>
        </w:tc>
      </w:tr>
      <w:tr w:rsidRPr="007456D5" w:rsidR="005761A0" w:rsidTr="00E62FBD" w14:paraId="7517868B" w14:textId="77777777">
        <w:tc>
          <w:tcPr>
            <w:tcW w:w="1696" w:type="dxa"/>
          </w:tcPr>
          <w:p w:rsidRPr="007456D5" w:rsidR="005761A0" w:rsidP="005761A0" w:rsidRDefault="005761A0" w14:paraId="6BCA0957" w14:textId="2F31B12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(44 bis, zesde lid, richtlijn prudentieel toezicht beleggingsondernemingen)</w:t>
            </w:r>
          </w:p>
        </w:tc>
        <w:tc>
          <w:tcPr>
            <w:tcW w:w="1701" w:type="dxa"/>
          </w:tcPr>
          <w:p w:rsidRPr="007456D5" w:rsidR="005761A0" w:rsidP="005761A0" w:rsidRDefault="005761A0" w14:paraId="40D54C30" w14:textId="7697AA0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EBA.</w:t>
            </w:r>
          </w:p>
        </w:tc>
        <w:tc>
          <w:tcPr>
            <w:tcW w:w="1985" w:type="dxa"/>
          </w:tcPr>
          <w:p w:rsidRPr="007456D5" w:rsidR="005761A0" w:rsidP="005761A0" w:rsidRDefault="005761A0" w14:paraId="51D89166"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7C4EC639" w14:textId="005C229B">
            <w:pPr>
              <w:widowControl w:val="0"/>
              <w:tabs>
                <w:tab w:val="num" w:pos="720"/>
              </w:tabs>
              <w:spacing w:line="240" w:lineRule="exact"/>
              <w:contextualSpacing/>
              <w:rPr>
                <w:rFonts w:ascii="Verdana" w:hAnsi="Verdana" w:cs="Arial"/>
                <w:sz w:val="18"/>
                <w:szCs w:val="18"/>
              </w:rPr>
            </w:pPr>
          </w:p>
        </w:tc>
      </w:tr>
      <w:tr w:rsidRPr="007456D5" w:rsidR="005761A0" w:rsidTr="00E62FBD" w14:paraId="426FA8DD" w14:textId="77777777">
        <w:tc>
          <w:tcPr>
            <w:tcW w:w="7225" w:type="dxa"/>
            <w:gridSpan w:val="4"/>
          </w:tcPr>
          <w:p w:rsidRPr="007456D5" w:rsidR="005761A0" w:rsidP="005761A0" w:rsidRDefault="005761A0" w14:paraId="22917CDB" w14:textId="4512B638">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Wijzigingen van de richtlijn gedekte obligaties</w:t>
            </w:r>
          </w:p>
        </w:tc>
      </w:tr>
      <w:tr w:rsidRPr="007456D5" w:rsidR="005761A0" w:rsidTr="00E62FBD" w14:paraId="194CF296" w14:textId="77777777">
        <w:tc>
          <w:tcPr>
            <w:tcW w:w="1696" w:type="dxa"/>
          </w:tcPr>
          <w:p w:rsidRPr="007456D5" w:rsidR="005761A0" w:rsidP="005761A0" w:rsidRDefault="005761A0" w14:paraId="50ADEED1" w14:textId="39A61F10">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lastRenderedPageBreak/>
              <w:t>16, (26 bis, eerste en tweede lid, richtlijn gedekte obligaties)</w:t>
            </w:r>
          </w:p>
        </w:tc>
        <w:tc>
          <w:tcPr>
            <w:tcW w:w="1701" w:type="dxa"/>
          </w:tcPr>
          <w:p w:rsidRPr="007456D5" w:rsidR="005761A0" w:rsidP="005761A0" w:rsidRDefault="005761A0" w14:paraId="3BAF9B2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3:33ba, vierde lid, Wft</w:t>
            </w:r>
          </w:p>
        </w:tc>
        <w:tc>
          <w:tcPr>
            <w:tcW w:w="1985" w:type="dxa"/>
          </w:tcPr>
          <w:p w:rsidRPr="007456D5" w:rsidR="005761A0" w:rsidP="005761A0" w:rsidRDefault="005761A0" w14:paraId="5AE0B94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7A2FDD62"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5E161546" w14:textId="77777777">
        <w:tc>
          <w:tcPr>
            <w:tcW w:w="1696" w:type="dxa"/>
          </w:tcPr>
          <w:p w:rsidRPr="007456D5" w:rsidR="005761A0" w:rsidP="005761A0" w:rsidRDefault="005761A0" w14:paraId="50FAC2B7" w14:textId="296036B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(26 bis, derde lid, richtlijn gedekte obligaties)</w:t>
            </w:r>
          </w:p>
        </w:tc>
        <w:tc>
          <w:tcPr>
            <w:tcW w:w="1701" w:type="dxa"/>
          </w:tcPr>
          <w:p w:rsidRPr="007456D5" w:rsidR="005761A0" w:rsidP="005761A0" w:rsidRDefault="005761A0" w14:paraId="3F0CB77A" w14:textId="294EA06C">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1:110, eerste lid, Wft</w:t>
            </w:r>
          </w:p>
        </w:tc>
        <w:tc>
          <w:tcPr>
            <w:tcW w:w="1985" w:type="dxa"/>
          </w:tcPr>
          <w:p w:rsidRPr="007456D5" w:rsidR="005761A0" w:rsidP="005761A0" w:rsidRDefault="005761A0" w14:paraId="65E7AAB8"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038D482A" w14:textId="1994CF7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DNB is de verzamelende instantie zoals gedefinieerd in artikel 2, onderdeel 2, van verordening oprichting ESAP.</w:t>
            </w:r>
          </w:p>
        </w:tc>
      </w:tr>
      <w:tr w:rsidRPr="007456D5" w:rsidR="005761A0" w:rsidTr="00E62FBD" w14:paraId="453EAC9E" w14:textId="77777777">
        <w:tc>
          <w:tcPr>
            <w:tcW w:w="1696" w:type="dxa"/>
          </w:tcPr>
          <w:p w:rsidRPr="007456D5" w:rsidR="005761A0" w:rsidP="005761A0" w:rsidRDefault="005761A0" w14:paraId="103B0A1B" w14:textId="5E34652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(26 bis, vierde lid, eerste paragraaf en onderdeel b, richtlijn gedekte obligaties)</w:t>
            </w:r>
          </w:p>
        </w:tc>
        <w:tc>
          <w:tcPr>
            <w:tcW w:w="1701" w:type="dxa"/>
          </w:tcPr>
          <w:p w:rsidRPr="007456D5" w:rsidR="005761A0" w:rsidP="005761A0" w:rsidRDefault="005761A0" w14:paraId="43FF61F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zesde lid, Wft</w:t>
            </w:r>
          </w:p>
          <w:p w:rsidRPr="007456D5" w:rsidR="005761A0" w:rsidP="005761A0" w:rsidRDefault="005761A0" w14:paraId="375DDE0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1:109, tweede lid, Wft</w:t>
            </w:r>
          </w:p>
        </w:tc>
        <w:tc>
          <w:tcPr>
            <w:tcW w:w="1985" w:type="dxa"/>
          </w:tcPr>
          <w:p w:rsidRPr="007456D5" w:rsidR="005761A0" w:rsidP="005761A0" w:rsidRDefault="005761A0" w14:paraId="271B8D35"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704FBD9" w14:textId="3D2A7E45">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DNB is de verzamelende instantie zoals gedefinieerd in artikel 2, onderdeel 2, van verordening oprichting ESAP.</w:t>
            </w:r>
          </w:p>
        </w:tc>
      </w:tr>
      <w:tr w:rsidRPr="007456D5" w:rsidR="005761A0" w:rsidTr="00E62FBD" w14:paraId="7CE09DD4" w14:textId="77777777">
        <w:tc>
          <w:tcPr>
            <w:tcW w:w="1696" w:type="dxa"/>
          </w:tcPr>
          <w:p w:rsidRPr="007456D5" w:rsidR="005761A0" w:rsidP="005761A0" w:rsidRDefault="005761A0" w14:paraId="1070FBBF" w14:textId="471AE711">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(26 bis, vierde lid, onderdeel a, richtlijn gedekte obligaties)</w:t>
            </w:r>
          </w:p>
        </w:tc>
        <w:tc>
          <w:tcPr>
            <w:tcW w:w="1701" w:type="dxa"/>
          </w:tcPr>
          <w:p w:rsidRPr="007456D5" w:rsidR="005761A0" w:rsidP="005761A0" w:rsidRDefault="005761A0" w14:paraId="597699C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1:97, zevende lid, Wft</w:t>
            </w:r>
          </w:p>
          <w:p w:rsidRPr="007456D5" w:rsidR="005761A0" w:rsidP="005761A0" w:rsidRDefault="005761A0" w14:paraId="35F5C3B4" w14:textId="0C689DEA">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1:109, tweede lid, Wft</w:t>
            </w:r>
          </w:p>
        </w:tc>
        <w:tc>
          <w:tcPr>
            <w:tcW w:w="1985" w:type="dxa"/>
          </w:tcPr>
          <w:p w:rsidRPr="007456D5" w:rsidR="005761A0" w:rsidP="005761A0" w:rsidRDefault="005761A0" w14:paraId="30619F84"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2C315D9A"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1B861172" w14:textId="77777777">
        <w:tc>
          <w:tcPr>
            <w:tcW w:w="1696" w:type="dxa"/>
          </w:tcPr>
          <w:p w:rsidRPr="007456D5" w:rsidR="005761A0" w:rsidP="005761A0" w:rsidRDefault="005761A0" w14:paraId="5013D9C2" w14:textId="43820BF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(26 bis, vijfde lid, richtlijn gedekte obligaties)</w:t>
            </w:r>
          </w:p>
        </w:tc>
        <w:tc>
          <w:tcPr>
            <w:tcW w:w="1701" w:type="dxa"/>
          </w:tcPr>
          <w:p w:rsidRPr="007456D5" w:rsidR="005761A0" w:rsidP="005761A0" w:rsidRDefault="005761A0" w14:paraId="2495B82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EBA en de Europese Commissie.</w:t>
            </w:r>
          </w:p>
        </w:tc>
        <w:tc>
          <w:tcPr>
            <w:tcW w:w="1985" w:type="dxa"/>
          </w:tcPr>
          <w:p w:rsidRPr="007456D5" w:rsidR="005761A0" w:rsidP="005761A0" w:rsidRDefault="005761A0" w14:paraId="1EC761E1"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202ABCF" w14:textId="77777777">
            <w:pPr>
              <w:widowControl w:val="0"/>
              <w:tabs>
                <w:tab w:val="num" w:pos="720"/>
              </w:tabs>
              <w:spacing w:line="240" w:lineRule="exact"/>
              <w:contextualSpacing/>
              <w:rPr>
                <w:rFonts w:ascii="Verdana" w:hAnsi="Verdana" w:cs="Arial"/>
                <w:sz w:val="18"/>
                <w:szCs w:val="18"/>
              </w:rPr>
            </w:pPr>
          </w:p>
        </w:tc>
      </w:tr>
      <w:tr w:rsidRPr="007456D5" w:rsidR="005761A0" w:rsidTr="00E62FBD" w14:paraId="34F26925" w14:textId="77777777">
        <w:tc>
          <w:tcPr>
            <w:tcW w:w="1696" w:type="dxa"/>
          </w:tcPr>
          <w:p w:rsidRPr="007456D5" w:rsidR="005761A0" w:rsidP="005761A0" w:rsidRDefault="005761A0" w14:paraId="015815D0" w14:textId="206663B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(26 bis, zesde lid, richtlijn gedekte obligaties)</w:t>
            </w:r>
          </w:p>
        </w:tc>
        <w:tc>
          <w:tcPr>
            <w:tcW w:w="1701" w:type="dxa"/>
          </w:tcPr>
          <w:p w:rsidRPr="007456D5" w:rsidR="005761A0" w:rsidP="005761A0" w:rsidRDefault="005761A0" w14:paraId="2B49866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zijn aard geen implementatie. Bepaling gericht tot EBA.</w:t>
            </w:r>
          </w:p>
        </w:tc>
        <w:tc>
          <w:tcPr>
            <w:tcW w:w="1985" w:type="dxa"/>
          </w:tcPr>
          <w:p w:rsidRPr="007456D5" w:rsidR="005761A0" w:rsidP="005761A0" w:rsidRDefault="005761A0" w14:paraId="3EB62650" w14:textId="77777777">
            <w:pPr>
              <w:widowControl w:val="0"/>
              <w:tabs>
                <w:tab w:val="num" w:pos="720"/>
              </w:tabs>
              <w:spacing w:line="240" w:lineRule="exact"/>
              <w:contextualSpacing/>
              <w:rPr>
                <w:rFonts w:ascii="Verdana" w:hAnsi="Verdana" w:cs="Arial"/>
                <w:sz w:val="18"/>
                <w:szCs w:val="18"/>
              </w:rPr>
            </w:pPr>
          </w:p>
        </w:tc>
        <w:tc>
          <w:tcPr>
            <w:tcW w:w="1843" w:type="dxa"/>
          </w:tcPr>
          <w:p w:rsidRPr="007456D5" w:rsidR="005761A0" w:rsidP="005761A0" w:rsidRDefault="005761A0" w14:paraId="6CE8AAEE" w14:textId="77777777">
            <w:pPr>
              <w:widowControl w:val="0"/>
              <w:tabs>
                <w:tab w:val="num" w:pos="720"/>
              </w:tabs>
              <w:spacing w:line="240" w:lineRule="exact"/>
              <w:contextualSpacing/>
              <w:rPr>
                <w:rFonts w:ascii="Verdana" w:hAnsi="Verdana" w:cs="Arial"/>
                <w:sz w:val="18"/>
                <w:szCs w:val="18"/>
              </w:rPr>
            </w:pPr>
          </w:p>
        </w:tc>
      </w:tr>
    </w:tbl>
    <w:p w:rsidRPr="007456D5" w:rsidR="00CB554D" w:rsidP="007D25C5" w:rsidRDefault="00CB554D" w14:paraId="30E97164" w14:textId="130D23CD">
      <w:pPr>
        <w:widowControl w:val="0"/>
        <w:tabs>
          <w:tab w:val="num" w:pos="720"/>
        </w:tabs>
        <w:spacing w:line="240" w:lineRule="exact"/>
        <w:contextualSpacing/>
        <w:rPr>
          <w:rFonts w:ascii="Verdana" w:hAnsi="Verdana" w:cs="Arial"/>
          <w:b/>
          <w:sz w:val="18"/>
          <w:szCs w:val="18"/>
        </w:rPr>
      </w:pPr>
    </w:p>
    <w:p w:rsidRPr="007456D5" w:rsidR="00E11F93" w:rsidP="007D25C5" w:rsidRDefault="00E11F93" w14:paraId="082B38F5" w14:textId="77777777">
      <w:pPr>
        <w:widowControl w:val="0"/>
        <w:tabs>
          <w:tab w:val="num" w:pos="720"/>
        </w:tabs>
        <w:spacing w:line="240" w:lineRule="exact"/>
        <w:contextualSpacing/>
        <w:rPr>
          <w:rFonts w:ascii="Verdana" w:hAnsi="Verdana" w:cs="Arial"/>
          <w:b/>
          <w:sz w:val="18"/>
          <w:szCs w:val="18"/>
        </w:rPr>
      </w:pPr>
    </w:p>
    <w:p w:rsidR="00095537" w:rsidRDefault="00095537" w14:paraId="3CB8243E" w14:textId="77777777">
      <w:pPr>
        <w:rPr>
          <w:rFonts w:ascii="Verdana" w:hAnsi="Verdana" w:cs="Arial"/>
          <w:b/>
          <w:sz w:val="18"/>
          <w:szCs w:val="18"/>
        </w:rPr>
      </w:pPr>
      <w:r>
        <w:rPr>
          <w:rFonts w:ascii="Verdana" w:hAnsi="Verdana" w:cs="Arial"/>
          <w:b/>
          <w:sz w:val="18"/>
          <w:szCs w:val="18"/>
        </w:rPr>
        <w:br w:type="page"/>
      </w:r>
    </w:p>
    <w:p w:rsidRPr="007456D5" w:rsidR="00CB554D" w:rsidP="00095537" w:rsidRDefault="00CB554D" w14:paraId="06AFE126" w14:textId="65D87973">
      <w:pPr>
        <w:rPr>
          <w:rFonts w:ascii="Verdana" w:hAnsi="Verdana" w:cs="Arial"/>
          <w:b/>
          <w:sz w:val="18"/>
          <w:szCs w:val="18"/>
        </w:rPr>
      </w:pPr>
      <w:r w:rsidRPr="007456D5">
        <w:rPr>
          <w:rFonts w:ascii="Verdana" w:hAnsi="Verdana" w:cs="Arial"/>
          <w:b/>
          <w:sz w:val="18"/>
          <w:szCs w:val="18"/>
        </w:rPr>
        <w:lastRenderedPageBreak/>
        <w:t xml:space="preserve">Transponeringstabel </w:t>
      </w:r>
      <w:r w:rsidR="00A65911">
        <w:rPr>
          <w:rFonts w:ascii="Verdana" w:hAnsi="Verdana" w:cs="Arial"/>
          <w:b/>
          <w:sz w:val="18"/>
          <w:szCs w:val="18"/>
        </w:rPr>
        <w:t>verordening ESAP</w:t>
      </w:r>
    </w:p>
    <w:p w:rsidRPr="007456D5" w:rsidR="00CB554D" w:rsidP="007D25C5" w:rsidRDefault="00CB554D" w14:paraId="487ACDF7" w14:textId="77777777">
      <w:pPr>
        <w:widowControl w:val="0"/>
        <w:tabs>
          <w:tab w:val="num" w:pos="720"/>
        </w:tabs>
        <w:spacing w:line="240" w:lineRule="exact"/>
        <w:contextualSpacing/>
        <w:rPr>
          <w:rFonts w:ascii="Verdana" w:hAnsi="Verdana" w:cs="Arial"/>
          <w:sz w:val="18"/>
          <w:szCs w:val="18"/>
        </w:rPr>
      </w:pPr>
    </w:p>
    <w:tbl>
      <w:tblPr>
        <w:tblStyle w:val="Tabelraster1"/>
        <w:tblW w:w="0" w:type="auto"/>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1815"/>
        <w:gridCol w:w="1935"/>
        <w:gridCol w:w="1697"/>
        <w:gridCol w:w="1793"/>
      </w:tblGrid>
      <w:tr w:rsidRPr="007456D5" w:rsidR="00CB554D" w:rsidTr="007F0E9C" w14:paraId="0B86E550" w14:textId="77777777">
        <w:tc>
          <w:tcPr>
            <w:tcW w:w="2140" w:type="dxa"/>
            <w:shd w:val="clear" w:color="auto" w:fill="EEECE1"/>
          </w:tcPr>
          <w:p w:rsidRPr="007456D5" w:rsidR="00CB554D" w:rsidP="007D25C5" w:rsidRDefault="00CB554D" w14:paraId="2A3C5AD8"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Bepaling EU-regeling</w:t>
            </w:r>
          </w:p>
        </w:tc>
        <w:tc>
          <w:tcPr>
            <w:tcW w:w="2510" w:type="dxa"/>
            <w:shd w:val="clear" w:color="auto" w:fill="EEECE1"/>
          </w:tcPr>
          <w:p w:rsidRPr="007456D5" w:rsidR="00CB554D" w:rsidP="007D25C5" w:rsidRDefault="00CB554D" w14:paraId="6875C956"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Bepaling in implementatieregeling of bestaande regeling</w:t>
            </w:r>
          </w:p>
          <w:p w:rsidRPr="007456D5" w:rsidR="00CB554D" w:rsidP="007D25C5" w:rsidRDefault="00CB554D" w14:paraId="09B9E347" w14:textId="77777777">
            <w:pPr>
              <w:widowControl w:val="0"/>
              <w:tabs>
                <w:tab w:val="num" w:pos="720"/>
              </w:tabs>
              <w:spacing w:line="240" w:lineRule="exact"/>
              <w:contextualSpacing/>
              <w:rPr>
                <w:rFonts w:ascii="Verdana" w:hAnsi="Verdana" w:cs="Arial"/>
                <w:b/>
                <w:sz w:val="18"/>
                <w:szCs w:val="18"/>
              </w:rPr>
            </w:pPr>
          </w:p>
          <w:p w:rsidRPr="007456D5" w:rsidR="00CB554D" w:rsidP="007D25C5" w:rsidRDefault="00CB554D" w14:paraId="3B50D803" w14:textId="77777777">
            <w:pPr>
              <w:widowControl w:val="0"/>
              <w:tabs>
                <w:tab w:val="num" w:pos="720"/>
              </w:tabs>
              <w:spacing w:line="240" w:lineRule="exact"/>
              <w:contextualSpacing/>
              <w:rPr>
                <w:rFonts w:ascii="Verdana" w:hAnsi="Verdana" w:cs="Arial"/>
                <w:i/>
                <w:sz w:val="18"/>
                <w:szCs w:val="18"/>
              </w:rPr>
            </w:pPr>
            <w:r w:rsidRPr="007456D5">
              <w:rPr>
                <w:rFonts w:ascii="Verdana" w:hAnsi="Verdana" w:cs="Arial"/>
                <w:i/>
                <w:sz w:val="18"/>
                <w:szCs w:val="18"/>
              </w:rPr>
              <w:t>(Toelichting indien niet geïmplementeerd of naar zijn aard geen implementatie behoeft)</w:t>
            </w:r>
          </w:p>
        </w:tc>
        <w:tc>
          <w:tcPr>
            <w:tcW w:w="2205" w:type="dxa"/>
            <w:shd w:val="clear" w:color="auto" w:fill="EEECE1"/>
          </w:tcPr>
          <w:p w:rsidRPr="007456D5" w:rsidR="00CB554D" w:rsidP="007D25C5" w:rsidRDefault="00CB554D" w14:paraId="277BADED"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Omschrijving beleidsruimte</w:t>
            </w:r>
          </w:p>
        </w:tc>
        <w:tc>
          <w:tcPr>
            <w:tcW w:w="2205" w:type="dxa"/>
            <w:shd w:val="clear" w:color="auto" w:fill="EEECE1"/>
          </w:tcPr>
          <w:p w:rsidRPr="007456D5" w:rsidR="00CB554D" w:rsidP="007D25C5" w:rsidRDefault="00CB554D" w14:paraId="4ECC37D6" w14:textId="77777777">
            <w:pPr>
              <w:widowControl w:val="0"/>
              <w:tabs>
                <w:tab w:val="num" w:pos="720"/>
              </w:tabs>
              <w:spacing w:line="240" w:lineRule="exact"/>
              <w:contextualSpacing/>
              <w:rPr>
                <w:rFonts w:ascii="Verdana" w:hAnsi="Verdana" w:cs="Arial"/>
                <w:b/>
                <w:sz w:val="18"/>
                <w:szCs w:val="18"/>
              </w:rPr>
            </w:pPr>
            <w:r w:rsidRPr="007456D5">
              <w:rPr>
                <w:rFonts w:ascii="Verdana" w:hAnsi="Verdana" w:cs="Arial"/>
                <w:b/>
                <w:sz w:val="18"/>
                <w:szCs w:val="18"/>
              </w:rPr>
              <w:t>Toelichting op de keuze(n) bij de invulling van de beleidsruimte</w:t>
            </w:r>
          </w:p>
        </w:tc>
      </w:tr>
      <w:tr w:rsidRPr="007456D5" w:rsidR="00CB554D" w:rsidTr="007F0E9C" w14:paraId="1A7990B9" w14:textId="77777777">
        <w:tc>
          <w:tcPr>
            <w:tcW w:w="9060" w:type="dxa"/>
            <w:gridSpan w:val="4"/>
          </w:tcPr>
          <w:p w:rsidRPr="007456D5" w:rsidR="00CB554D" w:rsidP="007D25C5" w:rsidRDefault="00CB554D" w14:paraId="5117D60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(EG) nr. 1060/2009</w:t>
            </w:r>
          </w:p>
        </w:tc>
      </w:tr>
      <w:tr w:rsidRPr="007456D5" w:rsidR="00CB554D" w:rsidTr="007F0E9C" w14:paraId="18A176CF" w14:textId="77777777">
        <w:tc>
          <w:tcPr>
            <w:tcW w:w="2140" w:type="dxa"/>
          </w:tcPr>
          <w:p w:rsidRPr="007456D5" w:rsidR="00CB554D" w:rsidP="007D25C5" w:rsidRDefault="00CB554D" w14:paraId="44B1D11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eerste punt (11 bis, tweede lid, Verordening (EG) nr. 1060/2009)</w:t>
            </w:r>
          </w:p>
        </w:tc>
        <w:tc>
          <w:tcPr>
            <w:tcW w:w="2510" w:type="dxa"/>
          </w:tcPr>
          <w:p w:rsidRPr="007456D5" w:rsidR="00CB554D" w:rsidP="007D25C5" w:rsidRDefault="00CB554D" w14:paraId="74AE341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heeft rechtstreekse werking.</w:t>
            </w:r>
          </w:p>
        </w:tc>
        <w:tc>
          <w:tcPr>
            <w:tcW w:w="2205" w:type="dxa"/>
          </w:tcPr>
          <w:p w:rsidRPr="007456D5" w:rsidR="00CB554D" w:rsidP="007D25C5" w:rsidRDefault="00CB554D" w14:paraId="5A106789"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260DA3F"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B525F97" w14:textId="77777777">
        <w:tc>
          <w:tcPr>
            <w:tcW w:w="2140" w:type="dxa"/>
          </w:tcPr>
          <w:p w:rsidRPr="007456D5" w:rsidR="00CB554D" w:rsidP="007D25C5" w:rsidRDefault="00CB554D" w14:paraId="0557A77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tweede punt (13 bis, eerste t/m vierde lid, Verordening (EG) nr. 1060/2009)</w:t>
            </w:r>
          </w:p>
        </w:tc>
        <w:tc>
          <w:tcPr>
            <w:tcW w:w="2510" w:type="dxa"/>
          </w:tcPr>
          <w:p w:rsidRPr="007456D5" w:rsidR="00CB554D" w:rsidP="007D25C5" w:rsidRDefault="00CB554D" w14:paraId="0EC01F8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7B873B36"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DF7826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2742A0C" w14:textId="77777777">
        <w:tc>
          <w:tcPr>
            <w:tcW w:w="2140" w:type="dxa"/>
          </w:tcPr>
          <w:p w:rsidRPr="007456D5" w:rsidR="00CB554D" w:rsidP="007D25C5" w:rsidRDefault="00CB554D" w14:paraId="522A0A3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tweede punt (13 bis, vijfde lid, Verordening (EG) nr. 1060/2009)</w:t>
            </w:r>
          </w:p>
        </w:tc>
        <w:tc>
          <w:tcPr>
            <w:tcW w:w="2510" w:type="dxa"/>
          </w:tcPr>
          <w:p w:rsidRPr="007456D5" w:rsidR="00CB554D" w:rsidP="007D25C5" w:rsidRDefault="00CB554D" w14:paraId="31D671E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0ADBFB1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43D65B9"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E831395" w14:textId="77777777">
        <w:tc>
          <w:tcPr>
            <w:tcW w:w="2140" w:type="dxa"/>
          </w:tcPr>
          <w:p w:rsidRPr="007456D5" w:rsidR="00CB554D" w:rsidP="007D25C5" w:rsidRDefault="00CB554D" w14:paraId="2D7DDEE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 tweede punt (13 bis, zesde lid, Verordening (EG) nr. 1060/2009)</w:t>
            </w:r>
          </w:p>
        </w:tc>
        <w:tc>
          <w:tcPr>
            <w:tcW w:w="2510" w:type="dxa"/>
          </w:tcPr>
          <w:p w:rsidRPr="007456D5" w:rsidR="00CB554D" w:rsidP="007D25C5" w:rsidRDefault="00CB554D" w14:paraId="50DD4E3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550F3979"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41CC37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8D43420" w14:textId="77777777">
        <w:tc>
          <w:tcPr>
            <w:tcW w:w="9060" w:type="dxa"/>
            <w:gridSpan w:val="4"/>
          </w:tcPr>
          <w:p w:rsidRPr="007456D5" w:rsidR="00CB554D" w:rsidP="007D25C5" w:rsidRDefault="00CB554D" w14:paraId="123A1214" w14:textId="5A8D2300">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nr. 236/2012</w:t>
            </w:r>
          </w:p>
        </w:tc>
      </w:tr>
      <w:tr w:rsidRPr="007456D5" w:rsidR="00CB554D" w:rsidTr="007F0E9C" w14:paraId="77A7AAA9" w14:textId="77777777">
        <w:tc>
          <w:tcPr>
            <w:tcW w:w="2140" w:type="dxa"/>
          </w:tcPr>
          <w:p w:rsidRPr="007456D5" w:rsidR="00CB554D" w:rsidP="007D25C5" w:rsidRDefault="00CB554D" w14:paraId="5FE0859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 (11 bis, eerste t/m derde lid, Verordening (EU) nr. 236/2012)</w:t>
            </w:r>
          </w:p>
        </w:tc>
        <w:tc>
          <w:tcPr>
            <w:tcW w:w="2510" w:type="dxa"/>
          </w:tcPr>
          <w:p w:rsidRPr="007456D5" w:rsidR="00CB554D" w:rsidP="007D25C5" w:rsidRDefault="00CB554D" w14:paraId="4370F2A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5F18D3F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689986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CF69D5A" w14:textId="77777777">
        <w:tc>
          <w:tcPr>
            <w:tcW w:w="2140" w:type="dxa"/>
          </w:tcPr>
          <w:p w:rsidRPr="007456D5" w:rsidR="00CB554D" w:rsidP="007D25C5" w:rsidRDefault="00CB554D" w14:paraId="764B050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 (11 bis, vierde lid, Verordening (EU) nr. 236/2012)</w:t>
            </w:r>
          </w:p>
        </w:tc>
        <w:tc>
          <w:tcPr>
            <w:tcW w:w="2510" w:type="dxa"/>
          </w:tcPr>
          <w:p w:rsidRPr="007456D5" w:rsidR="00CB554D" w:rsidP="007D25C5" w:rsidRDefault="00CB554D" w14:paraId="370D1CF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0D1DCCFC"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B4DA66E"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DF7ABE9" w14:textId="77777777">
        <w:tc>
          <w:tcPr>
            <w:tcW w:w="2140" w:type="dxa"/>
          </w:tcPr>
          <w:p w:rsidRPr="007456D5" w:rsidR="00CB554D" w:rsidP="007D25C5" w:rsidRDefault="00CB554D" w14:paraId="1BFF8C4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 (11 bis, vijfde lid, Verordening (EU) nr. 236/2012)</w:t>
            </w:r>
          </w:p>
        </w:tc>
        <w:tc>
          <w:tcPr>
            <w:tcW w:w="2510" w:type="dxa"/>
          </w:tcPr>
          <w:p w:rsidRPr="007456D5" w:rsidR="00CB554D" w:rsidP="007D25C5" w:rsidRDefault="00CB554D" w14:paraId="35B4EF3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794AA52A"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FAF2A5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93A32BA" w14:textId="77777777">
        <w:tc>
          <w:tcPr>
            <w:tcW w:w="9060" w:type="dxa"/>
            <w:gridSpan w:val="4"/>
          </w:tcPr>
          <w:p w:rsidRPr="007456D5" w:rsidR="00CB554D" w:rsidP="007D25C5" w:rsidRDefault="00CB554D" w14:paraId="618AE9D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nr. 345/2013</w:t>
            </w:r>
          </w:p>
        </w:tc>
      </w:tr>
      <w:tr w:rsidRPr="007456D5" w:rsidR="00CB554D" w:rsidTr="007F0E9C" w14:paraId="6887CC7B" w14:textId="77777777">
        <w:tc>
          <w:tcPr>
            <w:tcW w:w="2140" w:type="dxa"/>
          </w:tcPr>
          <w:p w:rsidRPr="007456D5" w:rsidR="00CB554D" w:rsidP="007D25C5" w:rsidRDefault="00CB554D" w14:paraId="38B8DDF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3, (17 bis, Verordening (EU) nr. </w:t>
            </w:r>
            <w:r w:rsidRPr="007456D5">
              <w:rPr>
                <w:rFonts w:ascii="Verdana" w:hAnsi="Verdana" w:cs="Arial"/>
                <w:sz w:val="18"/>
                <w:szCs w:val="18"/>
              </w:rPr>
              <w:lastRenderedPageBreak/>
              <w:t>345/2013)</w:t>
            </w:r>
          </w:p>
        </w:tc>
        <w:tc>
          <w:tcPr>
            <w:tcW w:w="2510" w:type="dxa"/>
          </w:tcPr>
          <w:p w:rsidRPr="007456D5" w:rsidR="00CB554D" w:rsidP="007D25C5" w:rsidRDefault="00CB554D" w14:paraId="27272E4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 xml:space="preserve">Behoeft naar haar </w:t>
            </w:r>
            <w:r w:rsidRPr="007456D5">
              <w:rPr>
                <w:rFonts w:ascii="Verdana" w:hAnsi="Verdana" w:cs="Arial"/>
                <w:sz w:val="18"/>
                <w:szCs w:val="18"/>
              </w:rPr>
              <w:lastRenderedPageBreak/>
              <w:t>aard geen implementatie, heeft rechtstreekse werking.</w:t>
            </w:r>
          </w:p>
        </w:tc>
        <w:tc>
          <w:tcPr>
            <w:tcW w:w="2205" w:type="dxa"/>
          </w:tcPr>
          <w:p w:rsidRPr="007456D5" w:rsidR="00CB554D" w:rsidP="007D25C5" w:rsidRDefault="00CB554D" w14:paraId="25266D4C"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E3BD5D9"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748C23A" w14:textId="77777777">
        <w:tc>
          <w:tcPr>
            <w:tcW w:w="9060" w:type="dxa"/>
            <w:gridSpan w:val="4"/>
          </w:tcPr>
          <w:p w:rsidRPr="007456D5" w:rsidR="00CB554D" w:rsidP="007D25C5" w:rsidRDefault="00CB554D" w14:paraId="3CBC850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nr. 346/2013</w:t>
            </w:r>
          </w:p>
        </w:tc>
      </w:tr>
      <w:tr w:rsidRPr="007456D5" w:rsidR="00CB554D" w:rsidTr="007F0E9C" w14:paraId="56B45C3C" w14:textId="77777777">
        <w:tc>
          <w:tcPr>
            <w:tcW w:w="2140" w:type="dxa"/>
          </w:tcPr>
          <w:p w:rsidRPr="007456D5" w:rsidR="00CB554D" w:rsidP="007D25C5" w:rsidRDefault="00CB554D" w14:paraId="2D4FECA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4, (18 bis, Verordening (EU) nr. 346/2013</w:t>
            </w:r>
          </w:p>
        </w:tc>
        <w:tc>
          <w:tcPr>
            <w:tcW w:w="2510" w:type="dxa"/>
          </w:tcPr>
          <w:p w:rsidRPr="007456D5" w:rsidR="00CB554D" w:rsidP="007D25C5" w:rsidRDefault="00CB554D" w14:paraId="6E35DA3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2301683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808DA89"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2B6F129" w14:textId="77777777">
        <w:tc>
          <w:tcPr>
            <w:tcW w:w="9060" w:type="dxa"/>
            <w:gridSpan w:val="4"/>
          </w:tcPr>
          <w:p w:rsidRPr="007456D5" w:rsidR="00CB554D" w:rsidP="007D25C5" w:rsidRDefault="00CB554D" w14:paraId="604358E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nr. 575/2013</w:t>
            </w:r>
          </w:p>
        </w:tc>
      </w:tr>
      <w:tr w:rsidRPr="007456D5" w:rsidR="00CB554D" w:rsidTr="007F0E9C" w14:paraId="4C0D3F07" w14:textId="77777777">
        <w:tc>
          <w:tcPr>
            <w:tcW w:w="2140" w:type="dxa"/>
          </w:tcPr>
          <w:p w:rsidRPr="007456D5" w:rsidR="00CB554D" w:rsidP="007D25C5" w:rsidRDefault="00CB554D" w14:paraId="0F4E77C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(434 ter, eerste t/m derde lid, Verordening (EU) nr. 575/2013)</w:t>
            </w:r>
          </w:p>
        </w:tc>
        <w:tc>
          <w:tcPr>
            <w:tcW w:w="2510" w:type="dxa"/>
          </w:tcPr>
          <w:p w:rsidRPr="007456D5" w:rsidR="00CB554D" w:rsidP="007D25C5" w:rsidRDefault="00CB554D" w14:paraId="5056DF5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2FC40891"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E89805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221C47B" w14:textId="77777777">
        <w:tc>
          <w:tcPr>
            <w:tcW w:w="2140" w:type="dxa"/>
          </w:tcPr>
          <w:p w:rsidRPr="007456D5" w:rsidR="00CB554D" w:rsidP="007D25C5" w:rsidRDefault="00CB554D" w14:paraId="3337DCF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(434 ter, vierde lid, Verordening (EU) nr. 575/2013)</w:t>
            </w:r>
          </w:p>
        </w:tc>
        <w:tc>
          <w:tcPr>
            <w:tcW w:w="2510" w:type="dxa"/>
          </w:tcPr>
          <w:p w:rsidRPr="007456D5" w:rsidR="00CB554D" w:rsidP="007D25C5" w:rsidRDefault="00CB554D" w14:paraId="0123C48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EBA en de Europese Commissie.</w:t>
            </w:r>
          </w:p>
        </w:tc>
        <w:tc>
          <w:tcPr>
            <w:tcW w:w="2205" w:type="dxa"/>
          </w:tcPr>
          <w:p w:rsidRPr="007456D5" w:rsidR="00CB554D" w:rsidP="007D25C5" w:rsidRDefault="00CB554D" w14:paraId="5436FA48"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C2C7F70"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6D94E4C" w14:textId="77777777">
        <w:tc>
          <w:tcPr>
            <w:tcW w:w="2140" w:type="dxa"/>
          </w:tcPr>
          <w:p w:rsidRPr="007456D5" w:rsidR="00CB554D" w:rsidP="007D25C5" w:rsidRDefault="00CB554D" w14:paraId="547B5F8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5, (434 ter, vijfde lid, Verordening (EU) nr. 575/2013)</w:t>
            </w:r>
          </w:p>
        </w:tc>
        <w:tc>
          <w:tcPr>
            <w:tcW w:w="2510" w:type="dxa"/>
          </w:tcPr>
          <w:p w:rsidRPr="007456D5" w:rsidR="00CB554D" w:rsidP="007D25C5" w:rsidRDefault="00CB554D" w14:paraId="1C0C846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EBA.</w:t>
            </w:r>
          </w:p>
        </w:tc>
        <w:tc>
          <w:tcPr>
            <w:tcW w:w="2205" w:type="dxa"/>
          </w:tcPr>
          <w:p w:rsidRPr="007456D5" w:rsidR="00CB554D" w:rsidP="007D25C5" w:rsidRDefault="00CB554D" w14:paraId="27402C66"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3F41BBF"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A4E958F" w14:textId="77777777">
        <w:tc>
          <w:tcPr>
            <w:tcW w:w="9060" w:type="dxa"/>
            <w:gridSpan w:val="4"/>
          </w:tcPr>
          <w:p w:rsidRPr="007456D5" w:rsidR="00CB554D" w:rsidP="007D25C5" w:rsidRDefault="00CB554D" w14:paraId="799D804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 xml:space="preserve">Wijziging van Verordening (EU) </w:t>
            </w:r>
            <w:r w:rsidRPr="00E31E40">
              <w:rPr>
                <w:rFonts w:ascii="Verdana" w:hAnsi="Verdana" w:cs="Arial"/>
                <w:b/>
                <w:bCs/>
                <w:sz w:val="18"/>
                <w:szCs w:val="18"/>
              </w:rPr>
              <w:t>nr.</w:t>
            </w:r>
            <w:r w:rsidRPr="007456D5">
              <w:rPr>
                <w:rFonts w:ascii="Verdana" w:hAnsi="Verdana" w:cs="Arial"/>
                <w:b/>
                <w:bCs/>
                <w:i/>
                <w:iCs/>
                <w:sz w:val="18"/>
                <w:szCs w:val="18"/>
              </w:rPr>
              <w:t xml:space="preserve"> </w:t>
            </w:r>
            <w:r w:rsidRPr="007456D5">
              <w:rPr>
                <w:rFonts w:ascii="Verdana" w:hAnsi="Verdana" w:cs="Arial"/>
                <w:b/>
                <w:bCs/>
                <w:sz w:val="18"/>
                <w:szCs w:val="18"/>
              </w:rPr>
              <w:t>537/2014 betreffende specifieke eisen voor de wettelijke controles van financiële overzichten van organisaties van openbaar belang</w:t>
            </w:r>
          </w:p>
        </w:tc>
      </w:tr>
      <w:tr w:rsidRPr="007456D5" w:rsidR="00CB554D" w:rsidTr="007F0E9C" w14:paraId="4B47459E" w14:textId="77777777">
        <w:tc>
          <w:tcPr>
            <w:tcW w:w="2140" w:type="dxa"/>
          </w:tcPr>
          <w:p w:rsidRPr="007456D5" w:rsidR="00CB554D" w:rsidP="007D25C5" w:rsidRDefault="00CB554D" w14:paraId="23CC554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(13 bis, eerste en tweede lid, Verordening (EU) nr. 537/2014)</w:t>
            </w:r>
          </w:p>
        </w:tc>
        <w:tc>
          <w:tcPr>
            <w:tcW w:w="2510" w:type="dxa"/>
          </w:tcPr>
          <w:p w:rsidRPr="007456D5" w:rsidR="00CB554D" w:rsidP="007D25C5" w:rsidRDefault="00CB554D" w14:paraId="70F180A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7BE269E6"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805A2E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192C6D6" w14:textId="77777777">
        <w:tc>
          <w:tcPr>
            <w:tcW w:w="2140" w:type="dxa"/>
          </w:tcPr>
          <w:p w:rsidRPr="007456D5" w:rsidR="00CB554D" w:rsidP="007D25C5" w:rsidRDefault="00CB554D" w14:paraId="0846A61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(13 bis, derde lid, Verordening (EU) nr. 537/2014)</w:t>
            </w:r>
          </w:p>
        </w:tc>
        <w:tc>
          <w:tcPr>
            <w:tcW w:w="2510" w:type="dxa"/>
          </w:tcPr>
          <w:p w:rsidRPr="007456D5" w:rsidR="00CB554D" w:rsidP="007D25C5" w:rsidRDefault="00E31E40" w14:paraId="195EF5E9" w14:textId="64D99D47">
            <w:pPr>
              <w:widowControl w:val="0"/>
              <w:tabs>
                <w:tab w:val="num" w:pos="720"/>
              </w:tabs>
              <w:spacing w:line="240" w:lineRule="exact"/>
              <w:contextualSpacing/>
              <w:rPr>
                <w:rFonts w:ascii="Verdana" w:hAnsi="Verdana" w:cs="Arial"/>
                <w:sz w:val="18"/>
                <w:szCs w:val="18"/>
              </w:rPr>
            </w:pPr>
            <w:r>
              <w:rPr>
                <w:rFonts w:ascii="Verdana" w:hAnsi="Verdana" w:cs="Arial"/>
                <w:sz w:val="18"/>
                <w:szCs w:val="18"/>
              </w:rPr>
              <w:t xml:space="preserve">63n </w:t>
            </w:r>
            <w:proofErr w:type="spellStart"/>
            <w:r>
              <w:rPr>
                <w:rFonts w:ascii="Verdana" w:hAnsi="Verdana" w:cs="Arial"/>
                <w:sz w:val="18"/>
                <w:szCs w:val="18"/>
              </w:rPr>
              <w:t>Wta</w:t>
            </w:r>
            <w:proofErr w:type="spellEnd"/>
          </w:p>
        </w:tc>
        <w:tc>
          <w:tcPr>
            <w:tcW w:w="2205" w:type="dxa"/>
          </w:tcPr>
          <w:p w:rsidRPr="007456D5" w:rsidR="00CB554D" w:rsidP="007D25C5" w:rsidRDefault="00CB554D" w14:paraId="6B0CA38A"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EEAD24D" w14:textId="49A38506">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2296E965" w14:textId="77777777">
        <w:tc>
          <w:tcPr>
            <w:tcW w:w="2140" w:type="dxa"/>
          </w:tcPr>
          <w:p w:rsidRPr="007456D5" w:rsidR="00CB554D" w:rsidP="007D25C5" w:rsidRDefault="00CB554D" w14:paraId="26E2EB0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6, (13 bis, vierde lid, Verordening (EU) nr. 537/2014)</w:t>
            </w:r>
          </w:p>
        </w:tc>
        <w:tc>
          <w:tcPr>
            <w:tcW w:w="2510" w:type="dxa"/>
          </w:tcPr>
          <w:p w:rsidRPr="007456D5" w:rsidR="00CB554D" w:rsidP="007D25C5" w:rsidRDefault="00CB554D" w14:paraId="6A5FBCA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de Europese Commissie.</w:t>
            </w:r>
          </w:p>
        </w:tc>
        <w:tc>
          <w:tcPr>
            <w:tcW w:w="2205" w:type="dxa"/>
          </w:tcPr>
          <w:p w:rsidRPr="007456D5" w:rsidR="00CB554D" w:rsidP="007D25C5" w:rsidRDefault="00CB554D" w14:paraId="75D5C462"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4DBE2C2"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355A5AE" w14:textId="77777777">
        <w:tc>
          <w:tcPr>
            <w:tcW w:w="9060" w:type="dxa"/>
            <w:gridSpan w:val="4"/>
          </w:tcPr>
          <w:p w:rsidRPr="007456D5" w:rsidR="00CB554D" w:rsidP="007D25C5" w:rsidRDefault="00CB554D" w14:paraId="12849505" w14:textId="0AF3EFAB">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nr. 596/2014 betreffende marktmisbruik</w:t>
            </w:r>
          </w:p>
        </w:tc>
      </w:tr>
      <w:tr w:rsidRPr="007456D5" w:rsidR="00CB554D" w:rsidTr="007F0E9C" w14:paraId="3F23F4CF" w14:textId="77777777">
        <w:tc>
          <w:tcPr>
            <w:tcW w:w="2140" w:type="dxa"/>
          </w:tcPr>
          <w:p w:rsidRPr="007456D5" w:rsidR="00CB554D" w:rsidP="007D25C5" w:rsidRDefault="00CB554D" w14:paraId="07C1B4E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(21 bis eerste en tweede lid, Verordening (EU) nr. 596/2014)</w:t>
            </w:r>
          </w:p>
        </w:tc>
        <w:tc>
          <w:tcPr>
            <w:tcW w:w="2510" w:type="dxa"/>
          </w:tcPr>
          <w:p w:rsidRPr="007456D5" w:rsidR="00CB554D" w:rsidP="007D25C5" w:rsidRDefault="00CB554D" w14:paraId="2D46516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Behoeven naar hun aard geen implementatie, hebben rechtstreekse </w:t>
            </w:r>
            <w:r w:rsidRPr="007456D5">
              <w:rPr>
                <w:rFonts w:ascii="Verdana" w:hAnsi="Verdana" w:cs="Arial"/>
                <w:sz w:val="18"/>
                <w:szCs w:val="18"/>
              </w:rPr>
              <w:lastRenderedPageBreak/>
              <w:t>werking.</w:t>
            </w:r>
          </w:p>
        </w:tc>
        <w:tc>
          <w:tcPr>
            <w:tcW w:w="2205" w:type="dxa"/>
          </w:tcPr>
          <w:p w:rsidRPr="007456D5" w:rsidR="00CB554D" w:rsidP="007D25C5" w:rsidRDefault="00CB554D" w14:paraId="7DAD681A"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07FBA8A"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79329F3" w14:textId="77777777">
        <w:tc>
          <w:tcPr>
            <w:tcW w:w="2140" w:type="dxa"/>
          </w:tcPr>
          <w:p w:rsidRPr="007456D5" w:rsidR="00CB554D" w:rsidP="007D25C5" w:rsidRDefault="00CB554D" w14:paraId="6173774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(21 bis derde lid, Verordening (EU) nr. 596/2014)</w:t>
            </w:r>
          </w:p>
        </w:tc>
        <w:tc>
          <w:tcPr>
            <w:tcW w:w="2510" w:type="dxa"/>
          </w:tcPr>
          <w:p w:rsidR="00CB554D" w:rsidP="007D25C5" w:rsidRDefault="00CB554D" w14:paraId="1BC0149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98064C">
              <w:rPr>
                <w:rFonts w:ascii="Verdana" w:hAnsi="Verdana" w:cs="Arial"/>
                <w:sz w:val="18"/>
                <w:szCs w:val="18"/>
              </w:rPr>
              <w:t>110</w:t>
            </w:r>
            <w:r w:rsidRPr="007456D5">
              <w:rPr>
                <w:rFonts w:ascii="Verdana" w:hAnsi="Verdana" w:cs="Arial"/>
                <w:sz w:val="18"/>
                <w:szCs w:val="18"/>
              </w:rPr>
              <w:t xml:space="preserve">, </w:t>
            </w:r>
            <w:r w:rsidRPr="007456D5" w:rsidR="00C04CC7">
              <w:rPr>
                <w:rFonts w:ascii="Verdana" w:hAnsi="Verdana" w:cs="Arial"/>
                <w:sz w:val="18"/>
                <w:szCs w:val="18"/>
              </w:rPr>
              <w:t xml:space="preserve">eerste lid, </w:t>
            </w:r>
            <w:r w:rsidRPr="007456D5">
              <w:rPr>
                <w:rFonts w:ascii="Verdana" w:hAnsi="Verdana" w:cs="Arial"/>
                <w:sz w:val="18"/>
                <w:szCs w:val="18"/>
              </w:rPr>
              <w:t>Wft</w:t>
            </w:r>
          </w:p>
          <w:p w:rsidR="00E673E0" w:rsidP="007D25C5" w:rsidRDefault="00E673E0" w14:paraId="05ED332D" w14:textId="77777777">
            <w:pPr>
              <w:widowControl w:val="0"/>
              <w:tabs>
                <w:tab w:val="num" w:pos="720"/>
              </w:tabs>
              <w:spacing w:line="240" w:lineRule="exact"/>
              <w:contextualSpacing/>
              <w:rPr>
                <w:rFonts w:ascii="Verdana" w:hAnsi="Verdana" w:cs="Arial"/>
                <w:sz w:val="18"/>
                <w:szCs w:val="18"/>
              </w:rPr>
            </w:pPr>
          </w:p>
          <w:p w:rsidRPr="007456D5" w:rsidR="00E673E0" w:rsidP="007D25C5" w:rsidRDefault="005761A0" w14:paraId="25B3A813" w14:textId="04773630">
            <w:pPr>
              <w:widowControl w:val="0"/>
              <w:tabs>
                <w:tab w:val="num" w:pos="720"/>
              </w:tabs>
              <w:spacing w:line="240" w:lineRule="exact"/>
              <w:contextualSpacing/>
              <w:rPr>
                <w:rFonts w:ascii="Verdana" w:hAnsi="Verdana" w:cs="Arial"/>
                <w:sz w:val="18"/>
                <w:szCs w:val="18"/>
              </w:rPr>
            </w:pPr>
            <w:r>
              <w:rPr>
                <w:rFonts w:ascii="Verdana" w:hAnsi="Verdana" w:cs="Arial"/>
                <w:sz w:val="18"/>
                <w:szCs w:val="18"/>
              </w:rPr>
              <w:t>A</w:t>
            </w:r>
            <w:r w:rsidRPr="007456D5" w:rsidR="00E673E0">
              <w:rPr>
                <w:rFonts w:ascii="Verdana" w:hAnsi="Verdana" w:cs="Arial"/>
                <w:sz w:val="18"/>
                <w:szCs w:val="18"/>
              </w:rPr>
              <w:t xml:space="preserve">rtikel 1, bijlage </w:t>
            </w:r>
            <w:r w:rsidR="00E673E0">
              <w:rPr>
                <w:rFonts w:ascii="Verdana" w:hAnsi="Verdana" w:cs="Arial"/>
                <w:sz w:val="18"/>
                <w:szCs w:val="18"/>
              </w:rPr>
              <w:t>9</w:t>
            </w:r>
            <w:r w:rsidRPr="007456D5" w:rsidR="00E673E0">
              <w:rPr>
                <w:rFonts w:ascii="Verdana" w:hAnsi="Verdana" w:cs="Arial"/>
                <w:sz w:val="18"/>
                <w:szCs w:val="18"/>
              </w:rPr>
              <w:t>, Besluit EU-verordeningen Wft</w:t>
            </w:r>
          </w:p>
        </w:tc>
        <w:tc>
          <w:tcPr>
            <w:tcW w:w="2205" w:type="dxa"/>
          </w:tcPr>
          <w:p w:rsidRPr="007456D5" w:rsidR="00CB554D" w:rsidP="007D25C5" w:rsidRDefault="00CB554D" w14:paraId="7843AD1A"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754B43B" w14:textId="4017F35E">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0DFA30FE" w14:textId="77777777">
        <w:tc>
          <w:tcPr>
            <w:tcW w:w="2140" w:type="dxa"/>
          </w:tcPr>
          <w:p w:rsidRPr="007456D5" w:rsidR="00CB554D" w:rsidP="007D25C5" w:rsidRDefault="00CB554D" w14:paraId="13BD4C6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(21 bis vierde en vijfde lid, Verordening (EU) nr. 596/2014)</w:t>
            </w:r>
          </w:p>
        </w:tc>
        <w:tc>
          <w:tcPr>
            <w:tcW w:w="2510" w:type="dxa"/>
          </w:tcPr>
          <w:p w:rsidRPr="007456D5" w:rsidR="00CB554D" w:rsidP="007D25C5" w:rsidRDefault="00CB554D" w14:paraId="602918A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23A3CDE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E2008B0"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414833E" w14:textId="77777777">
        <w:tc>
          <w:tcPr>
            <w:tcW w:w="2140" w:type="dxa"/>
          </w:tcPr>
          <w:p w:rsidRPr="007456D5" w:rsidR="00CB554D" w:rsidP="007D25C5" w:rsidRDefault="00CB554D" w14:paraId="523626B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(21 bis zesde lid, Verordening (EU) nr. 596/2014)</w:t>
            </w:r>
          </w:p>
        </w:tc>
        <w:tc>
          <w:tcPr>
            <w:tcW w:w="2510" w:type="dxa"/>
          </w:tcPr>
          <w:p w:rsidRPr="007456D5" w:rsidR="00CB554D" w:rsidP="007D25C5" w:rsidRDefault="00CB554D" w14:paraId="0277F4E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4EFBF5A6"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30BBB12"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13F5347" w14:textId="77777777">
        <w:tc>
          <w:tcPr>
            <w:tcW w:w="2140" w:type="dxa"/>
          </w:tcPr>
          <w:p w:rsidRPr="007456D5" w:rsidR="00CB554D" w:rsidP="007D25C5" w:rsidRDefault="00CB554D" w14:paraId="01FBDC5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7, (21 bis zevende lid, Verordening (EU) nr. 596/2014)</w:t>
            </w:r>
          </w:p>
        </w:tc>
        <w:tc>
          <w:tcPr>
            <w:tcW w:w="2510" w:type="dxa"/>
          </w:tcPr>
          <w:p w:rsidRPr="007456D5" w:rsidR="00CB554D" w:rsidP="007D25C5" w:rsidRDefault="00CB554D" w14:paraId="3640778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623751C9"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F497CA2"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9291647" w14:textId="77777777">
        <w:tc>
          <w:tcPr>
            <w:tcW w:w="9060" w:type="dxa"/>
            <w:gridSpan w:val="4"/>
          </w:tcPr>
          <w:p w:rsidRPr="007456D5" w:rsidR="00CB554D" w:rsidP="007D25C5" w:rsidRDefault="00CB554D" w14:paraId="356AB18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nr. 600/2014</w:t>
            </w:r>
          </w:p>
        </w:tc>
      </w:tr>
      <w:tr w:rsidRPr="007456D5" w:rsidR="00CB554D" w:rsidTr="007F0E9C" w14:paraId="5B1BD6A2" w14:textId="77777777">
        <w:tc>
          <w:tcPr>
            <w:tcW w:w="2140" w:type="dxa"/>
          </w:tcPr>
          <w:p w:rsidRPr="007456D5" w:rsidR="00CB554D" w:rsidP="007D25C5" w:rsidRDefault="00CB554D" w14:paraId="18488F4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8, (23 bis, Verordening (EU) nr. 600/2014)</w:t>
            </w:r>
          </w:p>
        </w:tc>
        <w:tc>
          <w:tcPr>
            <w:tcW w:w="2510" w:type="dxa"/>
          </w:tcPr>
          <w:p w:rsidRPr="007456D5" w:rsidR="00CB554D" w:rsidP="007D25C5" w:rsidRDefault="00CB554D" w14:paraId="32ACE5A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2DF2986D"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4ECE4AE3"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9C16389" w14:textId="77777777">
        <w:tc>
          <w:tcPr>
            <w:tcW w:w="9060" w:type="dxa"/>
            <w:gridSpan w:val="4"/>
          </w:tcPr>
          <w:p w:rsidRPr="007456D5" w:rsidR="00CB554D" w:rsidP="007D25C5" w:rsidRDefault="00CB554D" w14:paraId="5605DB7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 xml:space="preserve">Wijziging van Verordening (EU) nr. 1286/2014 over essentiële-informatiedocumenten voor verpakte </w:t>
            </w:r>
            <w:proofErr w:type="spellStart"/>
            <w:r w:rsidRPr="007456D5">
              <w:rPr>
                <w:rFonts w:ascii="Verdana" w:hAnsi="Verdana" w:cs="Arial"/>
                <w:b/>
                <w:bCs/>
                <w:sz w:val="18"/>
                <w:szCs w:val="18"/>
              </w:rPr>
              <w:t>retailbeleggingsproducten</w:t>
            </w:r>
            <w:proofErr w:type="spellEnd"/>
            <w:r w:rsidRPr="007456D5">
              <w:rPr>
                <w:rFonts w:ascii="Verdana" w:hAnsi="Verdana" w:cs="Arial"/>
                <w:b/>
                <w:bCs/>
                <w:sz w:val="18"/>
                <w:szCs w:val="18"/>
              </w:rPr>
              <w:t xml:space="preserve"> en </w:t>
            </w:r>
            <w:proofErr w:type="spellStart"/>
            <w:r w:rsidRPr="007456D5">
              <w:rPr>
                <w:rFonts w:ascii="Verdana" w:hAnsi="Verdana" w:cs="Arial"/>
                <w:b/>
                <w:bCs/>
                <w:sz w:val="18"/>
                <w:szCs w:val="18"/>
              </w:rPr>
              <w:t>verzekeringsgebaseerde</w:t>
            </w:r>
            <w:proofErr w:type="spellEnd"/>
            <w:r w:rsidRPr="007456D5">
              <w:rPr>
                <w:rFonts w:ascii="Verdana" w:hAnsi="Verdana" w:cs="Arial"/>
                <w:b/>
                <w:bCs/>
                <w:sz w:val="18"/>
                <w:szCs w:val="18"/>
              </w:rPr>
              <w:t xml:space="preserve"> beleggingsproducten (</w:t>
            </w:r>
            <w:proofErr w:type="spellStart"/>
            <w:r w:rsidRPr="007456D5">
              <w:rPr>
                <w:rFonts w:ascii="Verdana" w:hAnsi="Verdana" w:cs="Arial"/>
                <w:b/>
                <w:bCs/>
                <w:sz w:val="18"/>
                <w:szCs w:val="18"/>
              </w:rPr>
              <w:t>PRIIP's</w:t>
            </w:r>
            <w:proofErr w:type="spellEnd"/>
            <w:r w:rsidRPr="007456D5">
              <w:rPr>
                <w:rFonts w:ascii="Verdana" w:hAnsi="Verdana" w:cs="Arial"/>
                <w:b/>
                <w:bCs/>
                <w:sz w:val="18"/>
                <w:szCs w:val="18"/>
              </w:rPr>
              <w:t>)</w:t>
            </w:r>
          </w:p>
        </w:tc>
      </w:tr>
      <w:tr w:rsidRPr="007456D5" w:rsidR="00CB554D" w:rsidTr="007F0E9C" w14:paraId="68CE50E3" w14:textId="77777777">
        <w:tc>
          <w:tcPr>
            <w:tcW w:w="2140" w:type="dxa"/>
          </w:tcPr>
          <w:p w:rsidRPr="007456D5" w:rsidR="00CB554D" w:rsidP="007D25C5" w:rsidRDefault="00CB554D" w14:paraId="4B14498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(29 bis, eerste en tweede lid, Verordening (EU) nr. 1286/2014)</w:t>
            </w:r>
          </w:p>
        </w:tc>
        <w:tc>
          <w:tcPr>
            <w:tcW w:w="2510" w:type="dxa"/>
          </w:tcPr>
          <w:p w:rsidRPr="007456D5" w:rsidR="00CB554D" w:rsidP="007D25C5" w:rsidRDefault="00CB554D" w14:paraId="6456645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6154275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475DDE3"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10C5C07" w14:textId="77777777">
        <w:tc>
          <w:tcPr>
            <w:tcW w:w="2140" w:type="dxa"/>
          </w:tcPr>
          <w:p w:rsidRPr="007456D5" w:rsidR="00CB554D" w:rsidP="007D25C5" w:rsidRDefault="00CB554D" w14:paraId="4E02056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(29 bis, derde lid, Verordening (EU) nr. 1286/2014)</w:t>
            </w:r>
          </w:p>
        </w:tc>
        <w:tc>
          <w:tcPr>
            <w:tcW w:w="2510" w:type="dxa"/>
          </w:tcPr>
          <w:p w:rsidR="00CB554D" w:rsidP="007D25C5" w:rsidRDefault="00CB554D" w14:paraId="1D5F004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98064C">
              <w:rPr>
                <w:rFonts w:ascii="Verdana" w:hAnsi="Verdana" w:cs="Arial"/>
                <w:sz w:val="18"/>
                <w:szCs w:val="18"/>
              </w:rPr>
              <w:t>110</w:t>
            </w:r>
            <w:r w:rsidRPr="007456D5">
              <w:rPr>
                <w:rFonts w:ascii="Verdana" w:hAnsi="Verdana" w:cs="Arial"/>
                <w:sz w:val="18"/>
                <w:szCs w:val="18"/>
              </w:rPr>
              <w:t>,</w:t>
            </w:r>
            <w:r w:rsidRPr="007456D5" w:rsidR="00C04CC7">
              <w:rPr>
                <w:rFonts w:ascii="Verdana" w:hAnsi="Verdana" w:cs="Arial"/>
                <w:sz w:val="18"/>
                <w:szCs w:val="18"/>
              </w:rPr>
              <w:t xml:space="preserve"> eerste lid,</w:t>
            </w:r>
            <w:r w:rsidRPr="007456D5">
              <w:rPr>
                <w:rFonts w:ascii="Verdana" w:hAnsi="Verdana" w:cs="Arial"/>
                <w:sz w:val="18"/>
                <w:szCs w:val="18"/>
              </w:rPr>
              <w:t xml:space="preserve"> Wft</w:t>
            </w:r>
          </w:p>
          <w:p w:rsidR="00E673E0" w:rsidP="007D25C5" w:rsidRDefault="00E673E0" w14:paraId="0698A2F3" w14:textId="77777777">
            <w:pPr>
              <w:widowControl w:val="0"/>
              <w:tabs>
                <w:tab w:val="num" w:pos="720"/>
              </w:tabs>
              <w:spacing w:line="240" w:lineRule="exact"/>
              <w:contextualSpacing/>
              <w:rPr>
                <w:rFonts w:ascii="Verdana" w:hAnsi="Verdana" w:cs="Arial"/>
                <w:sz w:val="18"/>
                <w:szCs w:val="18"/>
              </w:rPr>
            </w:pPr>
          </w:p>
          <w:p w:rsidRPr="007456D5" w:rsidR="00E673E0" w:rsidP="007D25C5" w:rsidRDefault="00E673E0" w14:paraId="3E95502D" w14:textId="5FF7F0D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Artikel 1, bijlage </w:t>
            </w:r>
            <w:r>
              <w:rPr>
                <w:rFonts w:ascii="Verdana" w:hAnsi="Verdana" w:cs="Arial"/>
                <w:sz w:val="18"/>
                <w:szCs w:val="18"/>
              </w:rPr>
              <w:t>13</w:t>
            </w:r>
            <w:r w:rsidRPr="007456D5">
              <w:rPr>
                <w:rFonts w:ascii="Verdana" w:hAnsi="Verdana" w:cs="Arial"/>
                <w:sz w:val="18"/>
                <w:szCs w:val="18"/>
              </w:rPr>
              <w:t>, Besluit EU-verordeningen Wft</w:t>
            </w:r>
          </w:p>
        </w:tc>
        <w:tc>
          <w:tcPr>
            <w:tcW w:w="2205" w:type="dxa"/>
          </w:tcPr>
          <w:p w:rsidRPr="007456D5" w:rsidR="00CB554D" w:rsidP="007D25C5" w:rsidRDefault="00CB554D" w14:paraId="0131A472"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87E5193" w14:textId="403A6A23">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5AFABAA5" w14:textId="77777777">
        <w:tc>
          <w:tcPr>
            <w:tcW w:w="2140" w:type="dxa"/>
          </w:tcPr>
          <w:p w:rsidRPr="007456D5" w:rsidR="00CB554D" w:rsidP="007D25C5" w:rsidRDefault="00CB554D" w14:paraId="623365D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(29 bis, vierde lid, Verordening (EU) nr. 1286/2014)</w:t>
            </w:r>
          </w:p>
        </w:tc>
        <w:tc>
          <w:tcPr>
            <w:tcW w:w="2510" w:type="dxa"/>
          </w:tcPr>
          <w:p w:rsidRPr="007456D5" w:rsidR="00CB554D" w:rsidP="007D25C5" w:rsidRDefault="00CB554D" w14:paraId="68D7A9A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3494216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1D1DC3C"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B096A23" w14:textId="77777777">
        <w:tc>
          <w:tcPr>
            <w:tcW w:w="2140" w:type="dxa"/>
          </w:tcPr>
          <w:p w:rsidRPr="007456D5" w:rsidR="00CB554D" w:rsidP="007D25C5" w:rsidRDefault="00CB554D" w14:paraId="5FD7256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(29 bis, vijfde lid, Verordening (EU) nr. 1286/2014)</w:t>
            </w:r>
          </w:p>
        </w:tc>
        <w:tc>
          <w:tcPr>
            <w:tcW w:w="2510" w:type="dxa"/>
          </w:tcPr>
          <w:p w:rsidRPr="007456D5" w:rsidR="00CB554D" w:rsidP="007D25C5" w:rsidRDefault="00CB554D" w14:paraId="5BC2DBF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Behoeft geen implementatie. Bepaling gericht tot </w:t>
            </w:r>
            <w:r w:rsidRPr="007456D5">
              <w:rPr>
                <w:rFonts w:ascii="Verdana" w:hAnsi="Verdana" w:cs="Arial"/>
                <w:sz w:val="18"/>
                <w:szCs w:val="18"/>
              </w:rPr>
              <w:lastRenderedPageBreak/>
              <w:t>de Europese toezichthoudende autoriteiten en de Europese Commissie.</w:t>
            </w:r>
          </w:p>
        </w:tc>
        <w:tc>
          <w:tcPr>
            <w:tcW w:w="2205" w:type="dxa"/>
          </w:tcPr>
          <w:p w:rsidRPr="007456D5" w:rsidR="00CB554D" w:rsidP="007D25C5" w:rsidRDefault="00CB554D" w14:paraId="5D7DCD73"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E3FA77E"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2EA68D4" w14:textId="77777777">
        <w:tc>
          <w:tcPr>
            <w:tcW w:w="2140" w:type="dxa"/>
          </w:tcPr>
          <w:p w:rsidRPr="007456D5" w:rsidR="00CB554D" w:rsidP="007D25C5" w:rsidRDefault="00CB554D" w14:paraId="233980A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9, (29 bis, zesde lid, Verordening (EU) nr. 1286/2014)</w:t>
            </w:r>
          </w:p>
        </w:tc>
        <w:tc>
          <w:tcPr>
            <w:tcW w:w="2510" w:type="dxa"/>
          </w:tcPr>
          <w:p w:rsidRPr="007456D5" w:rsidR="00CB554D" w:rsidP="007D25C5" w:rsidRDefault="00CB554D" w14:paraId="7008780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de Europese toezichthoudende autoriteiten.</w:t>
            </w:r>
          </w:p>
        </w:tc>
        <w:tc>
          <w:tcPr>
            <w:tcW w:w="2205" w:type="dxa"/>
          </w:tcPr>
          <w:p w:rsidRPr="007456D5" w:rsidR="00CB554D" w:rsidP="007D25C5" w:rsidRDefault="00CB554D" w14:paraId="0FF09E33"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CF1CA4B"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070D1AE1" w14:textId="77777777">
        <w:tc>
          <w:tcPr>
            <w:tcW w:w="9060" w:type="dxa"/>
            <w:gridSpan w:val="4"/>
          </w:tcPr>
          <w:p w:rsidRPr="007456D5" w:rsidR="00CB554D" w:rsidP="007D25C5" w:rsidRDefault="00CB554D" w14:paraId="75C44EB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2015/760</w:t>
            </w:r>
          </w:p>
        </w:tc>
      </w:tr>
      <w:tr w:rsidRPr="007456D5" w:rsidR="00CB554D" w:rsidTr="007F0E9C" w14:paraId="5CC64F7E" w14:textId="77777777">
        <w:tc>
          <w:tcPr>
            <w:tcW w:w="2140" w:type="dxa"/>
          </w:tcPr>
          <w:p w:rsidRPr="007456D5" w:rsidR="00CB554D" w:rsidP="007D25C5" w:rsidRDefault="00CB554D" w14:paraId="1CCCE41C"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10, (25 bis, Verordening (EU) 2015/760)</w:t>
            </w:r>
          </w:p>
        </w:tc>
        <w:tc>
          <w:tcPr>
            <w:tcW w:w="2510" w:type="dxa"/>
          </w:tcPr>
          <w:p w:rsidRPr="007456D5" w:rsidR="00CB554D" w:rsidP="007D25C5" w:rsidRDefault="00CB554D" w14:paraId="7B57CCC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7256E5F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AC2586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E2C1AEB" w14:textId="77777777">
        <w:tc>
          <w:tcPr>
            <w:tcW w:w="9060" w:type="dxa"/>
            <w:gridSpan w:val="4"/>
          </w:tcPr>
          <w:p w:rsidRPr="007456D5" w:rsidR="00CB554D" w:rsidP="007D25C5" w:rsidRDefault="00CB554D" w14:paraId="3EE47A1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2015/2365</w:t>
            </w:r>
          </w:p>
        </w:tc>
      </w:tr>
      <w:tr w:rsidRPr="007456D5" w:rsidR="00CB554D" w:rsidTr="007F0E9C" w14:paraId="0CF93D37" w14:textId="77777777">
        <w:tc>
          <w:tcPr>
            <w:tcW w:w="2140" w:type="dxa"/>
          </w:tcPr>
          <w:p w:rsidRPr="007456D5" w:rsidR="00CB554D" w:rsidP="007D25C5" w:rsidRDefault="00CB554D" w14:paraId="5D11986A"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11, (32 bis, eerste t/m vijfde lid, Verordening (EU) 2015/2365)</w:t>
            </w:r>
          </w:p>
        </w:tc>
        <w:tc>
          <w:tcPr>
            <w:tcW w:w="2510" w:type="dxa"/>
          </w:tcPr>
          <w:p w:rsidRPr="007456D5" w:rsidR="00CB554D" w:rsidP="007D25C5" w:rsidRDefault="00CB554D" w14:paraId="0710FBB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31947F5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8E5A50A"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B608096" w14:textId="77777777">
        <w:tc>
          <w:tcPr>
            <w:tcW w:w="2140" w:type="dxa"/>
          </w:tcPr>
          <w:p w:rsidRPr="007456D5" w:rsidR="00CB554D" w:rsidP="007D25C5" w:rsidRDefault="00CB554D" w14:paraId="50AE0C8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(32 bis, zesde lid, Verordening (EU) 2015/2365)</w:t>
            </w:r>
          </w:p>
        </w:tc>
        <w:tc>
          <w:tcPr>
            <w:tcW w:w="2510" w:type="dxa"/>
          </w:tcPr>
          <w:p w:rsidRPr="007456D5" w:rsidR="00CB554D" w:rsidP="007D25C5" w:rsidRDefault="00CB554D" w14:paraId="4023243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1F31C413"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33BE22B"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F125699" w14:textId="77777777">
        <w:tc>
          <w:tcPr>
            <w:tcW w:w="2140" w:type="dxa"/>
          </w:tcPr>
          <w:p w:rsidRPr="007456D5" w:rsidR="00CB554D" w:rsidP="007D25C5" w:rsidRDefault="00CB554D" w14:paraId="0031C2B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11, (32 bis, zevende lid, Verordening (EU) 2015/2365)</w:t>
            </w:r>
          </w:p>
        </w:tc>
        <w:tc>
          <w:tcPr>
            <w:tcW w:w="2510" w:type="dxa"/>
          </w:tcPr>
          <w:p w:rsidRPr="007456D5" w:rsidR="00CB554D" w:rsidP="007D25C5" w:rsidRDefault="00CB554D" w14:paraId="100810F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207ED04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C0A37FA"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14D1D9A" w14:textId="77777777">
        <w:tc>
          <w:tcPr>
            <w:tcW w:w="9060" w:type="dxa"/>
            <w:gridSpan w:val="4"/>
          </w:tcPr>
          <w:p w:rsidRPr="007456D5" w:rsidR="00CB554D" w:rsidP="007D25C5" w:rsidRDefault="00CB554D" w14:paraId="2D91113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2016/1011</w:t>
            </w:r>
          </w:p>
        </w:tc>
      </w:tr>
      <w:tr w:rsidRPr="007456D5" w:rsidR="00CB554D" w:rsidTr="007F0E9C" w14:paraId="3E8091EF" w14:textId="77777777">
        <w:tc>
          <w:tcPr>
            <w:tcW w:w="2140" w:type="dxa"/>
          </w:tcPr>
          <w:p w:rsidRPr="007456D5" w:rsidR="00CB554D" w:rsidP="007D25C5" w:rsidRDefault="00CB554D" w14:paraId="76757B80"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12, (28 bis, eerste t/m vijfde lid, Verordening (EU) 2015/2365)</w:t>
            </w:r>
          </w:p>
        </w:tc>
        <w:tc>
          <w:tcPr>
            <w:tcW w:w="2510" w:type="dxa"/>
          </w:tcPr>
          <w:p w:rsidRPr="007456D5" w:rsidR="00CB554D" w:rsidP="007D25C5" w:rsidRDefault="00CB554D" w14:paraId="140FE68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410C44E1"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EBB322D"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548AABB2" w14:textId="77777777">
        <w:tc>
          <w:tcPr>
            <w:tcW w:w="2140" w:type="dxa"/>
          </w:tcPr>
          <w:p w:rsidRPr="007456D5" w:rsidR="00CB554D" w:rsidP="007D25C5" w:rsidRDefault="00CB554D" w14:paraId="656B506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(28 bis, zesde lid, Verordening (EU) 2015/2365)</w:t>
            </w:r>
          </w:p>
        </w:tc>
        <w:tc>
          <w:tcPr>
            <w:tcW w:w="2510" w:type="dxa"/>
          </w:tcPr>
          <w:p w:rsidRPr="007456D5" w:rsidR="00CB554D" w:rsidP="007D25C5" w:rsidRDefault="00CB554D" w14:paraId="60F812F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27FCC3F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6F65E4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71A9892" w14:textId="77777777">
        <w:tc>
          <w:tcPr>
            <w:tcW w:w="2140" w:type="dxa"/>
          </w:tcPr>
          <w:p w:rsidRPr="007456D5" w:rsidR="00CB554D" w:rsidP="007D25C5" w:rsidRDefault="00CB554D" w14:paraId="66E99B7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12, (28 bis, zevende lid, Verordening (EU) 2015/2365)</w:t>
            </w:r>
          </w:p>
        </w:tc>
        <w:tc>
          <w:tcPr>
            <w:tcW w:w="2510" w:type="dxa"/>
          </w:tcPr>
          <w:p w:rsidRPr="007456D5" w:rsidR="00CB554D" w:rsidP="007D25C5" w:rsidRDefault="00CB554D" w14:paraId="2AFDE8D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69DB4EC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D6B43F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A456D25" w14:textId="77777777">
        <w:tc>
          <w:tcPr>
            <w:tcW w:w="9060" w:type="dxa"/>
            <w:gridSpan w:val="4"/>
          </w:tcPr>
          <w:p w:rsidRPr="007456D5" w:rsidR="00CB554D" w:rsidP="007D25C5" w:rsidRDefault="00CB554D" w14:paraId="125BE3F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2017/1129</w:t>
            </w:r>
          </w:p>
        </w:tc>
      </w:tr>
      <w:tr w:rsidRPr="007456D5" w:rsidR="00CB554D" w:rsidTr="007F0E9C" w14:paraId="79E8317A" w14:textId="77777777">
        <w:tc>
          <w:tcPr>
            <w:tcW w:w="2140" w:type="dxa"/>
          </w:tcPr>
          <w:p w:rsidRPr="007456D5" w:rsidR="00CB554D" w:rsidP="007D25C5" w:rsidRDefault="00CB554D" w14:paraId="04790C4C"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 xml:space="preserve">13, (21 bis, eerste en tweede lid, Verordening </w:t>
            </w:r>
            <w:r w:rsidRPr="007456D5">
              <w:rPr>
                <w:rFonts w:ascii="Verdana" w:hAnsi="Verdana" w:cs="Arial"/>
                <w:sz w:val="18"/>
                <w:szCs w:val="18"/>
              </w:rPr>
              <w:lastRenderedPageBreak/>
              <w:t>(EU) 2017/1129)</w:t>
            </w:r>
          </w:p>
        </w:tc>
        <w:tc>
          <w:tcPr>
            <w:tcW w:w="2510" w:type="dxa"/>
          </w:tcPr>
          <w:p w:rsidRPr="007456D5" w:rsidR="00CB554D" w:rsidP="007D25C5" w:rsidRDefault="00CB554D" w14:paraId="32D969A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Behoeven naar hun aard geen im</w:t>
            </w:r>
            <w:r w:rsidRPr="007456D5">
              <w:rPr>
                <w:rFonts w:ascii="Verdana" w:hAnsi="Verdana" w:cs="Arial"/>
                <w:sz w:val="18"/>
                <w:szCs w:val="18"/>
              </w:rPr>
              <w:lastRenderedPageBreak/>
              <w:t>plementatie, hebben rechtstreekse werking.</w:t>
            </w:r>
          </w:p>
        </w:tc>
        <w:tc>
          <w:tcPr>
            <w:tcW w:w="2205" w:type="dxa"/>
          </w:tcPr>
          <w:p w:rsidRPr="007456D5" w:rsidR="00CB554D" w:rsidP="007D25C5" w:rsidRDefault="00CB554D" w14:paraId="59B6B4F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14908EC"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41FEAF1" w14:textId="77777777">
        <w:tc>
          <w:tcPr>
            <w:tcW w:w="2140" w:type="dxa"/>
          </w:tcPr>
          <w:p w:rsidRPr="007456D5" w:rsidR="00CB554D" w:rsidP="007D25C5" w:rsidRDefault="00CB554D" w14:paraId="5BBF1D2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(21 bis, derde lid, Verordening (EU) 2017/1129)</w:t>
            </w:r>
          </w:p>
        </w:tc>
        <w:tc>
          <w:tcPr>
            <w:tcW w:w="2510" w:type="dxa"/>
          </w:tcPr>
          <w:p w:rsidRPr="007456D5" w:rsidR="00CB554D" w:rsidP="007D25C5" w:rsidRDefault="00CB554D" w14:paraId="4DCEBA3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de bevoegde autoriteit.</w:t>
            </w:r>
          </w:p>
        </w:tc>
        <w:tc>
          <w:tcPr>
            <w:tcW w:w="2205" w:type="dxa"/>
          </w:tcPr>
          <w:p w:rsidRPr="007456D5" w:rsidR="00CB554D" w:rsidP="007D25C5" w:rsidRDefault="00CB554D" w14:paraId="0ECB71C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DD9B5CB"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865C58C" w14:textId="77777777">
        <w:tc>
          <w:tcPr>
            <w:tcW w:w="2140" w:type="dxa"/>
          </w:tcPr>
          <w:p w:rsidRPr="007456D5" w:rsidR="00CB554D" w:rsidP="007D25C5" w:rsidRDefault="00CB554D" w14:paraId="2784C9E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(21 bis, vierde lid, Verordening (EU) 2017/1129)</w:t>
            </w:r>
          </w:p>
        </w:tc>
        <w:tc>
          <w:tcPr>
            <w:tcW w:w="2510" w:type="dxa"/>
          </w:tcPr>
          <w:p w:rsidRPr="007456D5" w:rsidR="00CB554D" w:rsidP="007D25C5" w:rsidRDefault="00CB554D" w14:paraId="2C41D4F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7494F1B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1099A0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6DF9AFB" w14:textId="77777777">
        <w:tc>
          <w:tcPr>
            <w:tcW w:w="2140" w:type="dxa"/>
          </w:tcPr>
          <w:p w:rsidRPr="007456D5" w:rsidR="00CB554D" w:rsidP="007D25C5" w:rsidRDefault="00CB554D" w14:paraId="335853A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(21 bis, vijfde lid, Verordening (EU) 2017/1129)</w:t>
            </w:r>
          </w:p>
        </w:tc>
        <w:tc>
          <w:tcPr>
            <w:tcW w:w="2510" w:type="dxa"/>
          </w:tcPr>
          <w:p w:rsidRPr="007456D5" w:rsidR="00CB554D" w:rsidP="007D25C5" w:rsidRDefault="00CB554D" w14:paraId="5E8D94D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7894DDC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020C8F3C"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79A37A9" w14:textId="77777777">
        <w:tc>
          <w:tcPr>
            <w:tcW w:w="2140" w:type="dxa"/>
          </w:tcPr>
          <w:p w:rsidRPr="007456D5" w:rsidR="00CB554D" w:rsidP="007D25C5" w:rsidRDefault="00CB554D" w14:paraId="3B49732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13, (21 bis, zesde lid, Verordening (EU) 2017/1129)</w:t>
            </w:r>
          </w:p>
        </w:tc>
        <w:tc>
          <w:tcPr>
            <w:tcW w:w="2510" w:type="dxa"/>
          </w:tcPr>
          <w:p w:rsidRPr="007456D5" w:rsidR="00CB554D" w:rsidP="007D25C5" w:rsidRDefault="00CB554D" w14:paraId="0BD3026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390FC01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C4A408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E04BAF6" w14:textId="77777777">
        <w:tc>
          <w:tcPr>
            <w:tcW w:w="9060" w:type="dxa"/>
            <w:gridSpan w:val="4"/>
          </w:tcPr>
          <w:p w:rsidRPr="007456D5" w:rsidR="00CB554D" w:rsidP="007D25C5" w:rsidRDefault="00CB554D" w14:paraId="3256263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2017/1131</w:t>
            </w:r>
          </w:p>
        </w:tc>
      </w:tr>
      <w:tr w:rsidRPr="007456D5" w:rsidR="00CB554D" w:rsidTr="007F0E9C" w14:paraId="52E97202" w14:textId="77777777">
        <w:tc>
          <w:tcPr>
            <w:tcW w:w="2140" w:type="dxa"/>
          </w:tcPr>
          <w:p w:rsidRPr="007456D5" w:rsidR="00CB554D" w:rsidP="007D25C5" w:rsidRDefault="00CB554D" w14:paraId="068544F0"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14, (37 bis, Verordening (EU) 2017/1131)</w:t>
            </w:r>
          </w:p>
        </w:tc>
        <w:tc>
          <w:tcPr>
            <w:tcW w:w="2510" w:type="dxa"/>
          </w:tcPr>
          <w:p w:rsidRPr="007456D5" w:rsidR="00CB554D" w:rsidP="007D25C5" w:rsidRDefault="00CB554D" w14:paraId="41B26F4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756494B7"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EAA361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582DF82" w14:textId="77777777">
        <w:tc>
          <w:tcPr>
            <w:tcW w:w="9060" w:type="dxa"/>
            <w:gridSpan w:val="4"/>
          </w:tcPr>
          <w:p w:rsidRPr="007456D5" w:rsidR="00CB554D" w:rsidP="007D25C5" w:rsidRDefault="00CB554D" w14:paraId="60C7A14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2019/1238 inzake een pan-Europees persoonlijk pensioenproduct (PEPP)</w:t>
            </w:r>
          </w:p>
        </w:tc>
      </w:tr>
      <w:tr w:rsidRPr="007456D5" w:rsidR="00CB554D" w:rsidTr="007F0E9C" w14:paraId="23341898" w14:textId="77777777">
        <w:tc>
          <w:tcPr>
            <w:tcW w:w="2140" w:type="dxa"/>
          </w:tcPr>
          <w:p w:rsidRPr="007456D5" w:rsidR="00CB554D" w:rsidP="007D25C5" w:rsidRDefault="00CB554D" w14:paraId="68C55956"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15, (70 bis, eerste en tweede lid, Verordening (EU) 2019/1238)</w:t>
            </w:r>
          </w:p>
        </w:tc>
        <w:tc>
          <w:tcPr>
            <w:tcW w:w="2510" w:type="dxa"/>
          </w:tcPr>
          <w:p w:rsidRPr="007456D5" w:rsidR="00CB554D" w:rsidP="007D25C5" w:rsidRDefault="00CB554D" w14:paraId="760133A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2727475D"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8E98F8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9CCCFC2" w14:textId="77777777">
        <w:tc>
          <w:tcPr>
            <w:tcW w:w="2140" w:type="dxa"/>
          </w:tcPr>
          <w:p w:rsidRPr="007456D5" w:rsidR="00CB554D" w:rsidP="007D25C5" w:rsidRDefault="00CB554D" w14:paraId="20A03DF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(70 bis, derde lid, Verordening (EU) 2019/1238)</w:t>
            </w:r>
          </w:p>
        </w:tc>
        <w:tc>
          <w:tcPr>
            <w:tcW w:w="2510" w:type="dxa"/>
          </w:tcPr>
          <w:p w:rsidRPr="007456D5" w:rsidR="00CB554D" w:rsidP="007D25C5" w:rsidRDefault="00CB554D" w14:paraId="3E74D4F0" w14:textId="5605538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8679EB">
              <w:rPr>
                <w:rFonts w:ascii="Verdana" w:hAnsi="Verdana" w:cs="Arial"/>
                <w:sz w:val="18"/>
                <w:szCs w:val="18"/>
              </w:rPr>
              <w:t>110</w:t>
            </w:r>
            <w:r w:rsidRPr="007456D5">
              <w:rPr>
                <w:rFonts w:ascii="Verdana" w:hAnsi="Verdana" w:cs="Arial"/>
                <w:sz w:val="18"/>
                <w:szCs w:val="18"/>
              </w:rPr>
              <w:t>,</w:t>
            </w:r>
            <w:r w:rsidRPr="007456D5" w:rsidR="00C04CC7">
              <w:rPr>
                <w:rFonts w:ascii="Verdana" w:hAnsi="Verdana" w:cs="Arial"/>
                <w:sz w:val="18"/>
                <w:szCs w:val="18"/>
              </w:rPr>
              <w:t xml:space="preserve"> eerste lid</w:t>
            </w:r>
            <w:r w:rsidRPr="007456D5">
              <w:rPr>
                <w:rFonts w:ascii="Verdana" w:hAnsi="Verdana" w:cs="Arial"/>
                <w:sz w:val="18"/>
                <w:szCs w:val="18"/>
              </w:rPr>
              <w:t xml:space="preserve"> Wft</w:t>
            </w:r>
          </w:p>
          <w:p w:rsidRPr="007456D5" w:rsidR="00D73FD5" w:rsidP="007D25C5" w:rsidRDefault="00D73FD5" w14:paraId="215BAD9D" w14:textId="51FAA3A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205d PW</w:t>
            </w:r>
          </w:p>
          <w:p w:rsidRPr="007456D5" w:rsidR="00D73FD5" w:rsidP="007D25C5" w:rsidRDefault="00D73FD5" w14:paraId="2FCB3276" w14:textId="518EAE48">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199d </w:t>
            </w:r>
            <w:proofErr w:type="spellStart"/>
            <w:r w:rsidRPr="007456D5">
              <w:rPr>
                <w:rFonts w:ascii="Verdana" w:hAnsi="Verdana" w:cs="Arial"/>
                <w:sz w:val="18"/>
                <w:szCs w:val="18"/>
              </w:rPr>
              <w:t>Wvb</w:t>
            </w:r>
            <w:proofErr w:type="spellEnd"/>
          </w:p>
          <w:p w:rsidRPr="007456D5" w:rsidR="00B06B17" w:rsidP="007D25C5" w:rsidRDefault="00B06B17" w14:paraId="6578C8F9" w14:textId="77777777">
            <w:pPr>
              <w:widowControl w:val="0"/>
              <w:tabs>
                <w:tab w:val="num" w:pos="720"/>
              </w:tabs>
              <w:spacing w:line="240" w:lineRule="exact"/>
              <w:contextualSpacing/>
              <w:rPr>
                <w:rFonts w:ascii="Verdana" w:hAnsi="Verdana" w:cs="Arial"/>
                <w:sz w:val="18"/>
                <w:szCs w:val="18"/>
              </w:rPr>
            </w:pPr>
          </w:p>
          <w:p w:rsidRPr="007456D5" w:rsidR="00CB554D" w:rsidP="007D25C5" w:rsidRDefault="00CB554D" w14:paraId="2319D03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Artikel 1, bijlage 27, Besluit EU-verordeningen Wft</w:t>
            </w:r>
          </w:p>
        </w:tc>
        <w:tc>
          <w:tcPr>
            <w:tcW w:w="2205" w:type="dxa"/>
          </w:tcPr>
          <w:p w:rsidRPr="007456D5" w:rsidR="00CB554D" w:rsidP="007D25C5" w:rsidRDefault="00CB554D" w14:paraId="3056477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901815D" w14:textId="42E89C5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1E3D32C5" w14:textId="77777777">
        <w:tc>
          <w:tcPr>
            <w:tcW w:w="2140" w:type="dxa"/>
          </w:tcPr>
          <w:p w:rsidRPr="007456D5" w:rsidR="00CB554D" w:rsidP="007D25C5" w:rsidRDefault="00CB554D" w14:paraId="514B32C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(70 bis, vierde en vijfde lid, Verordening (EU) 2019/1238)</w:t>
            </w:r>
          </w:p>
        </w:tc>
        <w:tc>
          <w:tcPr>
            <w:tcW w:w="2510" w:type="dxa"/>
          </w:tcPr>
          <w:p w:rsidRPr="007456D5" w:rsidR="00CB554D" w:rsidP="007D25C5" w:rsidRDefault="00CB554D" w14:paraId="4CE89679"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11E17C0C"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26094E8"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3DB62D5" w14:textId="77777777">
        <w:tc>
          <w:tcPr>
            <w:tcW w:w="2140" w:type="dxa"/>
          </w:tcPr>
          <w:p w:rsidRPr="007456D5" w:rsidR="00CB554D" w:rsidP="007D25C5" w:rsidRDefault="00CB554D" w14:paraId="2CD162A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(70 bis, zesde lid, Verordening (EU) 2019/1238)</w:t>
            </w:r>
          </w:p>
        </w:tc>
        <w:tc>
          <w:tcPr>
            <w:tcW w:w="2510" w:type="dxa"/>
          </w:tcPr>
          <w:p w:rsidRPr="007456D5" w:rsidR="00CB554D" w:rsidP="007D25C5" w:rsidRDefault="00CB554D" w14:paraId="77C30F5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Behoeft geen implementatie. Bepaling gericht tot </w:t>
            </w:r>
            <w:proofErr w:type="spellStart"/>
            <w:r w:rsidRPr="007456D5">
              <w:rPr>
                <w:rFonts w:ascii="Verdana" w:hAnsi="Verdana" w:cs="Arial"/>
                <w:sz w:val="18"/>
                <w:szCs w:val="18"/>
              </w:rPr>
              <w:lastRenderedPageBreak/>
              <w:t>Eiopa</w:t>
            </w:r>
            <w:proofErr w:type="spellEnd"/>
            <w:r w:rsidRPr="007456D5">
              <w:rPr>
                <w:rFonts w:ascii="Verdana" w:hAnsi="Verdana" w:cs="Arial"/>
                <w:sz w:val="18"/>
                <w:szCs w:val="18"/>
              </w:rPr>
              <w:t xml:space="preserve"> en de Europese Commissie.</w:t>
            </w:r>
          </w:p>
        </w:tc>
        <w:tc>
          <w:tcPr>
            <w:tcW w:w="2205" w:type="dxa"/>
          </w:tcPr>
          <w:p w:rsidRPr="007456D5" w:rsidR="00CB554D" w:rsidP="007D25C5" w:rsidRDefault="00CB554D" w14:paraId="112F5E0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13831CD"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C9B1A9E" w14:textId="77777777">
        <w:tc>
          <w:tcPr>
            <w:tcW w:w="2140" w:type="dxa"/>
          </w:tcPr>
          <w:p w:rsidRPr="007456D5" w:rsidR="00CB554D" w:rsidP="007D25C5" w:rsidRDefault="00CB554D" w14:paraId="526B6BA8"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15, (70 bis, zevende lid, Verordening (EU) 2019/1238)</w:t>
            </w:r>
          </w:p>
        </w:tc>
        <w:tc>
          <w:tcPr>
            <w:tcW w:w="2510" w:type="dxa"/>
          </w:tcPr>
          <w:p w:rsidRPr="007456D5" w:rsidR="00CB554D" w:rsidP="007D25C5" w:rsidRDefault="00CB554D" w14:paraId="7E0DE38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Behoeft geen implementatie. Bepaling gericht tot </w:t>
            </w:r>
            <w:proofErr w:type="spellStart"/>
            <w:r w:rsidRPr="007456D5">
              <w:rPr>
                <w:rFonts w:ascii="Verdana" w:hAnsi="Verdana" w:cs="Arial"/>
                <w:sz w:val="18"/>
                <w:szCs w:val="18"/>
              </w:rPr>
              <w:t>Eiopa</w:t>
            </w:r>
            <w:proofErr w:type="spellEnd"/>
            <w:r w:rsidRPr="007456D5">
              <w:rPr>
                <w:rFonts w:ascii="Verdana" w:hAnsi="Verdana" w:cs="Arial"/>
                <w:sz w:val="18"/>
                <w:szCs w:val="18"/>
              </w:rPr>
              <w:t>.</w:t>
            </w:r>
          </w:p>
        </w:tc>
        <w:tc>
          <w:tcPr>
            <w:tcW w:w="2205" w:type="dxa"/>
          </w:tcPr>
          <w:p w:rsidRPr="007456D5" w:rsidR="00CB554D" w:rsidP="007D25C5" w:rsidRDefault="00CB554D" w14:paraId="75DF51B1"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34DD96E"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ECC2872" w14:textId="77777777">
        <w:tc>
          <w:tcPr>
            <w:tcW w:w="9060" w:type="dxa"/>
            <w:gridSpan w:val="4"/>
          </w:tcPr>
          <w:p w:rsidRPr="007456D5" w:rsidR="00CB554D" w:rsidP="007D25C5" w:rsidRDefault="00CB554D" w14:paraId="5558E81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2019/2033</w:t>
            </w:r>
          </w:p>
        </w:tc>
      </w:tr>
      <w:tr w:rsidRPr="007456D5" w:rsidR="00CB554D" w:rsidTr="007F0E9C" w14:paraId="4B260BD5" w14:textId="77777777">
        <w:tc>
          <w:tcPr>
            <w:tcW w:w="2140" w:type="dxa"/>
          </w:tcPr>
          <w:p w:rsidRPr="007456D5" w:rsidR="00CB554D" w:rsidP="007D25C5" w:rsidRDefault="00CB554D" w14:paraId="09388DCF"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16, (46 bis, eerste t/m derde lid, Verordening (EU) 2019/2033)</w:t>
            </w:r>
          </w:p>
        </w:tc>
        <w:tc>
          <w:tcPr>
            <w:tcW w:w="2510" w:type="dxa"/>
          </w:tcPr>
          <w:p w:rsidRPr="007456D5" w:rsidR="00CB554D" w:rsidP="007D25C5" w:rsidRDefault="00CB554D" w14:paraId="59A5035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2A7EAD00"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8BFA4E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87C7262" w14:textId="77777777">
        <w:tc>
          <w:tcPr>
            <w:tcW w:w="2140" w:type="dxa"/>
          </w:tcPr>
          <w:p w:rsidRPr="007456D5" w:rsidR="00CB554D" w:rsidP="007D25C5" w:rsidRDefault="00CB554D" w14:paraId="0DA0C30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(46 bis, vierde lid, Verordening (EU) 2019/2033)</w:t>
            </w:r>
          </w:p>
        </w:tc>
        <w:tc>
          <w:tcPr>
            <w:tcW w:w="2510" w:type="dxa"/>
          </w:tcPr>
          <w:p w:rsidRPr="007456D5" w:rsidR="00CB554D" w:rsidP="007D25C5" w:rsidRDefault="00CB554D" w14:paraId="6B666C15"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EBA en de Europese Commissie.</w:t>
            </w:r>
          </w:p>
        </w:tc>
        <w:tc>
          <w:tcPr>
            <w:tcW w:w="2205" w:type="dxa"/>
          </w:tcPr>
          <w:p w:rsidRPr="007456D5" w:rsidR="00CB554D" w:rsidP="007D25C5" w:rsidRDefault="00CB554D" w14:paraId="534D5697"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8FFCD86"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7DF73A6" w14:textId="77777777">
        <w:tc>
          <w:tcPr>
            <w:tcW w:w="2140" w:type="dxa"/>
          </w:tcPr>
          <w:p w:rsidRPr="007456D5" w:rsidR="00CB554D" w:rsidP="007D25C5" w:rsidRDefault="00CB554D" w14:paraId="093CF83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16, (46 bis, vijfde lid, Verordening (EU) 2019/2033)</w:t>
            </w:r>
          </w:p>
        </w:tc>
        <w:tc>
          <w:tcPr>
            <w:tcW w:w="2510" w:type="dxa"/>
          </w:tcPr>
          <w:p w:rsidRPr="007456D5" w:rsidR="00CB554D" w:rsidP="007D25C5" w:rsidRDefault="00CB554D" w14:paraId="030BFF7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EBA.</w:t>
            </w:r>
          </w:p>
        </w:tc>
        <w:tc>
          <w:tcPr>
            <w:tcW w:w="2205" w:type="dxa"/>
          </w:tcPr>
          <w:p w:rsidRPr="007456D5" w:rsidR="00CB554D" w:rsidP="007D25C5" w:rsidRDefault="00CB554D" w14:paraId="7E539698"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7C551C9"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02F0E7E" w14:textId="77777777">
        <w:tc>
          <w:tcPr>
            <w:tcW w:w="9060" w:type="dxa"/>
            <w:gridSpan w:val="4"/>
          </w:tcPr>
          <w:p w:rsidRPr="007456D5" w:rsidR="00CB554D" w:rsidP="007D25C5" w:rsidRDefault="00CB554D" w14:paraId="726462C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2019/2088 betreffende informatieverschaffing over duurzaamheid in de financiële dienstensector</w:t>
            </w:r>
          </w:p>
        </w:tc>
      </w:tr>
      <w:tr w:rsidRPr="007456D5" w:rsidR="00CB554D" w:rsidTr="007F0E9C" w14:paraId="63978DAC" w14:textId="77777777">
        <w:tc>
          <w:tcPr>
            <w:tcW w:w="2140" w:type="dxa"/>
          </w:tcPr>
          <w:p w:rsidRPr="007456D5" w:rsidR="00CB554D" w:rsidP="007D25C5" w:rsidRDefault="00CB554D" w14:paraId="784BBE47"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17, (18 bis, eerste en tweede lid, Verordening (EU) 2019/2088)</w:t>
            </w:r>
          </w:p>
        </w:tc>
        <w:tc>
          <w:tcPr>
            <w:tcW w:w="2510" w:type="dxa"/>
          </w:tcPr>
          <w:p w:rsidRPr="007456D5" w:rsidR="00CB554D" w:rsidP="007D25C5" w:rsidRDefault="00CB554D" w14:paraId="0CCFA714"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1549525B"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8E9275B"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899937E" w14:textId="77777777">
        <w:tc>
          <w:tcPr>
            <w:tcW w:w="2140" w:type="dxa"/>
          </w:tcPr>
          <w:p w:rsidRPr="007456D5" w:rsidR="00CB554D" w:rsidP="007D25C5" w:rsidRDefault="00CB554D" w14:paraId="4822E17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17, (18 bis, derde lid, Verordening (EU) 2019/2088)</w:t>
            </w:r>
          </w:p>
        </w:tc>
        <w:tc>
          <w:tcPr>
            <w:tcW w:w="2510" w:type="dxa"/>
          </w:tcPr>
          <w:p w:rsidR="00CB554D" w:rsidP="007D25C5" w:rsidRDefault="00CB554D" w14:paraId="08CEA88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8679EB">
              <w:rPr>
                <w:rFonts w:ascii="Verdana" w:hAnsi="Verdana" w:cs="Arial"/>
                <w:sz w:val="18"/>
                <w:szCs w:val="18"/>
              </w:rPr>
              <w:t>110</w:t>
            </w:r>
            <w:r w:rsidRPr="007456D5">
              <w:rPr>
                <w:rFonts w:ascii="Verdana" w:hAnsi="Verdana" w:cs="Arial"/>
                <w:sz w:val="18"/>
                <w:szCs w:val="18"/>
              </w:rPr>
              <w:t>,</w:t>
            </w:r>
            <w:r w:rsidRPr="007456D5" w:rsidR="00C04CC7">
              <w:rPr>
                <w:rFonts w:ascii="Verdana" w:hAnsi="Verdana" w:cs="Arial"/>
                <w:sz w:val="18"/>
                <w:szCs w:val="18"/>
              </w:rPr>
              <w:t xml:space="preserve"> eerste lid,</w:t>
            </w:r>
            <w:r w:rsidRPr="007456D5">
              <w:rPr>
                <w:rFonts w:ascii="Verdana" w:hAnsi="Verdana" w:cs="Arial"/>
                <w:sz w:val="18"/>
                <w:szCs w:val="18"/>
              </w:rPr>
              <w:t xml:space="preserve"> Wft</w:t>
            </w:r>
          </w:p>
          <w:p w:rsidR="00E673E0" w:rsidP="007D25C5" w:rsidRDefault="00E673E0" w14:paraId="2F086E84" w14:textId="77777777">
            <w:pPr>
              <w:widowControl w:val="0"/>
              <w:tabs>
                <w:tab w:val="num" w:pos="720"/>
              </w:tabs>
              <w:spacing w:line="240" w:lineRule="exact"/>
              <w:contextualSpacing/>
              <w:rPr>
                <w:rFonts w:ascii="Verdana" w:hAnsi="Verdana" w:cs="Arial"/>
                <w:sz w:val="18"/>
                <w:szCs w:val="18"/>
              </w:rPr>
            </w:pPr>
          </w:p>
          <w:p w:rsidRPr="007456D5" w:rsidR="00E673E0" w:rsidP="007D25C5" w:rsidRDefault="00E673E0" w14:paraId="7D3168B9" w14:textId="714CA78F">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Artikel 1, bijlage 2</w:t>
            </w:r>
            <w:r>
              <w:rPr>
                <w:rFonts w:ascii="Verdana" w:hAnsi="Verdana" w:cs="Arial"/>
                <w:sz w:val="18"/>
                <w:szCs w:val="18"/>
              </w:rPr>
              <w:t>9</w:t>
            </w:r>
            <w:r w:rsidRPr="007456D5">
              <w:rPr>
                <w:rFonts w:ascii="Verdana" w:hAnsi="Verdana" w:cs="Arial"/>
                <w:sz w:val="18"/>
                <w:szCs w:val="18"/>
              </w:rPr>
              <w:t>, Besluit EU-verordeningen Wft</w:t>
            </w:r>
          </w:p>
        </w:tc>
        <w:tc>
          <w:tcPr>
            <w:tcW w:w="2205" w:type="dxa"/>
          </w:tcPr>
          <w:p w:rsidRPr="007456D5" w:rsidR="00CB554D" w:rsidP="007D25C5" w:rsidRDefault="00CB554D" w14:paraId="6B8B8C1F"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38B7879" w14:textId="62BDD59B">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71C0ED62" w14:textId="77777777">
        <w:tc>
          <w:tcPr>
            <w:tcW w:w="2140" w:type="dxa"/>
          </w:tcPr>
          <w:p w:rsidRPr="007456D5" w:rsidR="00CB554D" w:rsidP="007D25C5" w:rsidRDefault="00CB554D" w14:paraId="36BC4B4D"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17, (18 bis, vierde lid, Verordening (EU) 2019/2088)</w:t>
            </w:r>
          </w:p>
        </w:tc>
        <w:tc>
          <w:tcPr>
            <w:tcW w:w="2510" w:type="dxa"/>
          </w:tcPr>
          <w:p w:rsidRPr="007456D5" w:rsidR="00CB554D" w:rsidP="007D25C5" w:rsidRDefault="00CB554D" w14:paraId="70A18CA1"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de Europese toezichthoudende autoriteiten en de Europese Commissie.</w:t>
            </w:r>
          </w:p>
        </w:tc>
        <w:tc>
          <w:tcPr>
            <w:tcW w:w="2205" w:type="dxa"/>
          </w:tcPr>
          <w:p w:rsidRPr="007456D5" w:rsidR="00CB554D" w:rsidP="007D25C5" w:rsidRDefault="00CB554D" w14:paraId="009CFD85"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1B682B4"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88510D5" w14:textId="77777777">
        <w:tc>
          <w:tcPr>
            <w:tcW w:w="2140" w:type="dxa"/>
          </w:tcPr>
          <w:p w:rsidRPr="007456D5" w:rsidR="00CB554D" w:rsidP="007D25C5" w:rsidRDefault="00CB554D" w14:paraId="115FC493"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17, (18 bis, vijfde lid, Verordening (EU) 2019/2088)</w:t>
            </w:r>
          </w:p>
        </w:tc>
        <w:tc>
          <w:tcPr>
            <w:tcW w:w="2510" w:type="dxa"/>
          </w:tcPr>
          <w:p w:rsidRPr="007456D5" w:rsidR="00CB554D" w:rsidP="007D25C5" w:rsidRDefault="00CB554D" w14:paraId="2204EFE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32753D9A"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6C9030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EE00011" w14:textId="77777777">
        <w:tc>
          <w:tcPr>
            <w:tcW w:w="9060" w:type="dxa"/>
            <w:gridSpan w:val="4"/>
          </w:tcPr>
          <w:p w:rsidRPr="007456D5" w:rsidR="00CB554D" w:rsidP="007D25C5" w:rsidRDefault="00CB554D" w14:paraId="23E3A28F"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2023/1114 betreffende crypto activamarkten</w:t>
            </w:r>
          </w:p>
        </w:tc>
      </w:tr>
      <w:tr w:rsidRPr="007456D5" w:rsidR="00CB554D" w:rsidTr="007F0E9C" w14:paraId="1935F91E" w14:textId="77777777">
        <w:tc>
          <w:tcPr>
            <w:tcW w:w="2140" w:type="dxa"/>
          </w:tcPr>
          <w:p w:rsidRPr="007456D5" w:rsidR="00CB554D" w:rsidP="007D25C5" w:rsidRDefault="00CB554D" w14:paraId="226F8E41"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 xml:space="preserve">18, (110 bis, eerste en tweede </w:t>
            </w:r>
            <w:r w:rsidRPr="007456D5">
              <w:rPr>
                <w:rFonts w:ascii="Verdana" w:hAnsi="Verdana" w:cs="Arial"/>
                <w:sz w:val="18"/>
                <w:szCs w:val="18"/>
              </w:rPr>
              <w:lastRenderedPageBreak/>
              <w:t>lid, Verordening (EU) 2023/1114)</w:t>
            </w:r>
          </w:p>
        </w:tc>
        <w:tc>
          <w:tcPr>
            <w:tcW w:w="2510" w:type="dxa"/>
          </w:tcPr>
          <w:p w:rsidRPr="007456D5" w:rsidR="00CB554D" w:rsidP="007D25C5" w:rsidRDefault="00CB554D" w14:paraId="2CB113A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lastRenderedPageBreak/>
              <w:t xml:space="preserve">Behoeven naar </w:t>
            </w:r>
            <w:r w:rsidRPr="007456D5">
              <w:rPr>
                <w:rFonts w:ascii="Verdana" w:hAnsi="Verdana" w:cs="Arial"/>
                <w:sz w:val="18"/>
                <w:szCs w:val="18"/>
              </w:rPr>
              <w:lastRenderedPageBreak/>
              <w:t>hun aard geen implementatie, hebben rechtstreekse werking.</w:t>
            </w:r>
          </w:p>
        </w:tc>
        <w:tc>
          <w:tcPr>
            <w:tcW w:w="2205" w:type="dxa"/>
          </w:tcPr>
          <w:p w:rsidRPr="007456D5" w:rsidR="00CB554D" w:rsidP="007D25C5" w:rsidRDefault="00CB554D" w14:paraId="204CB94E"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A6D9691"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24516FED" w14:textId="77777777">
        <w:tc>
          <w:tcPr>
            <w:tcW w:w="2140" w:type="dxa"/>
          </w:tcPr>
          <w:p w:rsidRPr="007456D5" w:rsidR="00CB554D" w:rsidP="007D25C5" w:rsidRDefault="00CB554D" w14:paraId="46A2AF7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18, (110 bis, derde lid, Verordening (EU) 2023/1114)</w:t>
            </w:r>
          </w:p>
        </w:tc>
        <w:tc>
          <w:tcPr>
            <w:tcW w:w="2510" w:type="dxa"/>
          </w:tcPr>
          <w:p w:rsidR="00CB554D" w:rsidP="007D25C5" w:rsidRDefault="00CB554D" w14:paraId="77F0694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8679EB">
              <w:rPr>
                <w:rFonts w:ascii="Verdana" w:hAnsi="Verdana" w:cs="Arial"/>
                <w:sz w:val="18"/>
                <w:szCs w:val="18"/>
              </w:rPr>
              <w:t>110</w:t>
            </w:r>
            <w:r w:rsidRPr="007456D5">
              <w:rPr>
                <w:rFonts w:ascii="Verdana" w:hAnsi="Verdana" w:cs="Arial"/>
                <w:sz w:val="18"/>
                <w:szCs w:val="18"/>
              </w:rPr>
              <w:t xml:space="preserve">, </w:t>
            </w:r>
            <w:r w:rsidRPr="007456D5" w:rsidR="00C04CC7">
              <w:rPr>
                <w:rFonts w:ascii="Verdana" w:hAnsi="Verdana" w:cs="Arial"/>
                <w:sz w:val="18"/>
                <w:szCs w:val="18"/>
              </w:rPr>
              <w:t xml:space="preserve">eerste lid, </w:t>
            </w:r>
            <w:r w:rsidRPr="007456D5">
              <w:rPr>
                <w:rFonts w:ascii="Verdana" w:hAnsi="Verdana" w:cs="Arial"/>
                <w:sz w:val="18"/>
                <w:szCs w:val="18"/>
              </w:rPr>
              <w:t>Wft</w:t>
            </w:r>
          </w:p>
          <w:p w:rsidR="00E673E0" w:rsidP="007D25C5" w:rsidRDefault="00E673E0" w14:paraId="71AC341E" w14:textId="77777777">
            <w:pPr>
              <w:widowControl w:val="0"/>
              <w:tabs>
                <w:tab w:val="num" w:pos="720"/>
              </w:tabs>
              <w:spacing w:line="240" w:lineRule="exact"/>
              <w:contextualSpacing/>
              <w:rPr>
                <w:rFonts w:ascii="Verdana" w:hAnsi="Verdana" w:cs="Arial"/>
                <w:sz w:val="18"/>
                <w:szCs w:val="18"/>
              </w:rPr>
            </w:pPr>
          </w:p>
          <w:p w:rsidRPr="007456D5" w:rsidR="00E673E0" w:rsidP="007D25C5" w:rsidRDefault="00E673E0" w14:paraId="6A325194" w14:textId="1E21B654">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Artikel 1, bijlage </w:t>
            </w:r>
            <w:r>
              <w:rPr>
                <w:rFonts w:ascii="Verdana" w:hAnsi="Verdana" w:cs="Arial"/>
                <w:sz w:val="18"/>
                <w:szCs w:val="18"/>
              </w:rPr>
              <w:t>36</w:t>
            </w:r>
            <w:r w:rsidRPr="007456D5">
              <w:rPr>
                <w:rFonts w:ascii="Verdana" w:hAnsi="Verdana" w:cs="Arial"/>
                <w:sz w:val="18"/>
                <w:szCs w:val="18"/>
              </w:rPr>
              <w:t>, Besluit EU-verordeningen Wft</w:t>
            </w:r>
          </w:p>
        </w:tc>
        <w:tc>
          <w:tcPr>
            <w:tcW w:w="2205" w:type="dxa"/>
          </w:tcPr>
          <w:p w:rsidRPr="007456D5" w:rsidR="00CB554D" w:rsidP="007D25C5" w:rsidRDefault="00CB554D" w14:paraId="27708371"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26F5660" w14:textId="6EC2D2D0">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78C551E4" w14:textId="77777777">
        <w:tc>
          <w:tcPr>
            <w:tcW w:w="2140" w:type="dxa"/>
          </w:tcPr>
          <w:p w:rsidRPr="007456D5" w:rsidR="00CB554D" w:rsidP="007D25C5" w:rsidRDefault="00CB554D" w14:paraId="633FA2C6"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18, (110 bis, vierde lid, Verordening (EU) 2023/1114)</w:t>
            </w:r>
          </w:p>
        </w:tc>
        <w:tc>
          <w:tcPr>
            <w:tcW w:w="2510" w:type="dxa"/>
          </w:tcPr>
          <w:p w:rsidRPr="007456D5" w:rsidR="00CB554D" w:rsidP="007D25C5" w:rsidRDefault="00CB554D" w14:paraId="1B54714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naar haar aard geen implementatie, heeft rechtstreekse werking.</w:t>
            </w:r>
          </w:p>
        </w:tc>
        <w:tc>
          <w:tcPr>
            <w:tcW w:w="2205" w:type="dxa"/>
          </w:tcPr>
          <w:p w:rsidRPr="007456D5" w:rsidR="00CB554D" w:rsidP="007D25C5" w:rsidRDefault="00CB554D" w14:paraId="118B7BFB"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2F1FF9F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3D9C9437" w14:textId="77777777">
        <w:tc>
          <w:tcPr>
            <w:tcW w:w="2140" w:type="dxa"/>
          </w:tcPr>
          <w:p w:rsidRPr="007456D5" w:rsidR="00CB554D" w:rsidP="007D25C5" w:rsidRDefault="00CB554D" w14:paraId="44E39DE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18, (110 bis, vijfde lid, Verordening (EU) 2023/1114)</w:t>
            </w:r>
          </w:p>
        </w:tc>
        <w:tc>
          <w:tcPr>
            <w:tcW w:w="2510" w:type="dxa"/>
          </w:tcPr>
          <w:p w:rsidRPr="007456D5" w:rsidR="00CB554D" w:rsidP="007D25C5" w:rsidRDefault="00CB554D" w14:paraId="6B2C7290"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2333F680"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1B844D77"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4F346355" w14:textId="77777777">
        <w:tc>
          <w:tcPr>
            <w:tcW w:w="2140" w:type="dxa"/>
          </w:tcPr>
          <w:p w:rsidRPr="007456D5" w:rsidR="00CB554D" w:rsidP="007D25C5" w:rsidRDefault="00CB554D" w14:paraId="3AEECE7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18, (110 bis, zesde lid, Verordening (EU) 2023/1114)</w:t>
            </w:r>
          </w:p>
        </w:tc>
        <w:tc>
          <w:tcPr>
            <w:tcW w:w="2510" w:type="dxa"/>
          </w:tcPr>
          <w:p w:rsidRPr="007456D5" w:rsidR="00CB554D" w:rsidP="007D25C5" w:rsidRDefault="00CB554D" w14:paraId="76742FFA"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62618E38"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399D2AF"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7AB9D476" w14:textId="77777777">
        <w:tc>
          <w:tcPr>
            <w:tcW w:w="9060" w:type="dxa"/>
            <w:gridSpan w:val="4"/>
          </w:tcPr>
          <w:p w:rsidRPr="007456D5" w:rsidR="00CB554D" w:rsidP="007D25C5" w:rsidRDefault="00CB554D" w14:paraId="27D392F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b/>
                <w:bCs/>
                <w:sz w:val="18"/>
                <w:szCs w:val="18"/>
              </w:rPr>
              <w:t>Wijziging van Verordening (EU) 2023/2631 betreffende Europese groene obligaties en optionele openbaarmakingen voor obligaties die als ecologisch duurzame obligaties op de markt worden gebracht en voor aan duurzaamheid gekoppelde obligaties</w:t>
            </w:r>
          </w:p>
        </w:tc>
      </w:tr>
      <w:tr w:rsidRPr="007456D5" w:rsidR="00CB554D" w:rsidTr="007F0E9C" w14:paraId="5E323A3A" w14:textId="77777777">
        <w:tc>
          <w:tcPr>
            <w:tcW w:w="2140" w:type="dxa"/>
          </w:tcPr>
          <w:p w:rsidRPr="007456D5" w:rsidR="00CB554D" w:rsidP="007D25C5" w:rsidRDefault="00CB554D" w14:paraId="46189EB0" w14:textId="77777777">
            <w:pPr>
              <w:widowControl w:val="0"/>
              <w:tabs>
                <w:tab w:val="num" w:pos="720"/>
              </w:tabs>
              <w:spacing w:line="240" w:lineRule="exact"/>
              <w:contextualSpacing/>
              <w:rPr>
                <w:rFonts w:ascii="Verdana" w:hAnsi="Verdana" w:cs="Arial"/>
                <w:b/>
                <w:bCs/>
                <w:sz w:val="18"/>
                <w:szCs w:val="18"/>
              </w:rPr>
            </w:pPr>
            <w:r w:rsidRPr="007456D5">
              <w:rPr>
                <w:rFonts w:ascii="Verdana" w:hAnsi="Verdana" w:cs="Arial"/>
                <w:sz w:val="18"/>
                <w:szCs w:val="18"/>
              </w:rPr>
              <w:t>19, (15 bis, eerste t/m derde lid, Verordening (EU) 2023/2631)</w:t>
            </w:r>
          </w:p>
        </w:tc>
        <w:tc>
          <w:tcPr>
            <w:tcW w:w="2510" w:type="dxa"/>
          </w:tcPr>
          <w:p w:rsidRPr="007456D5" w:rsidR="00CB554D" w:rsidP="007D25C5" w:rsidRDefault="00CB554D" w14:paraId="398CAE7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Behoeven naar hun aard geen implementatie, hebben rechtstreekse werking.</w:t>
            </w:r>
          </w:p>
        </w:tc>
        <w:tc>
          <w:tcPr>
            <w:tcW w:w="2205" w:type="dxa"/>
          </w:tcPr>
          <w:p w:rsidRPr="007456D5" w:rsidR="00CB554D" w:rsidP="007D25C5" w:rsidRDefault="00CB554D" w14:paraId="650DCD9D"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5D95FDB0"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129CF8D3" w14:textId="77777777">
        <w:tc>
          <w:tcPr>
            <w:tcW w:w="2140" w:type="dxa"/>
          </w:tcPr>
          <w:p w:rsidRPr="007456D5" w:rsidR="00CB554D" w:rsidP="007D25C5" w:rsidRDefault="00CB554D" w14:paraId="47F0B57C"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 (15 bis, vierde lid, Verordening (EU) 2023/2631)</w:t>
            </w:r>
          </w:p>
        </w:tc>
        <w:tc>
          <w:tcPr>
            <w:tcW w:w="2510" w:type="dxa"/>
          </w:tcPr>
          <w:p w:rsidR="00CB554D" w:rsidP="007D25C5" w:rsidRDefault="00CB554D" w14:paraId="12D20417"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w:t>
            </w:r>
            <w:r w:rsidRPr="007456D5" w:rsidR="008679EB">
              <w:rPr>
                <w:rFonts w:ascii="Verdana" w:hAnsi="Verdana" w:cs="Arial"/>
                <w:sz w:val="18"/>
                <w:szCs w:val="18"/>
              </w:rPr>
              <w:t>110</w:t>
            </w:r>
            <w:r w:rsidRPr="007456D5">
              <w:rPr>
                <w:rFonts w:ascii="Verdana" w:hAnsi="Verdana" w:cs="Arial"/>
                <w:sz w:val="18"/>
                <w:szCs w:val="18"/>
              </w:rPr>
              <w:t>,</w:t>
            </w:r>
            <w:r w:rsidRPr="007456D5" w:rsidR="00C04CC7">
              <w:rPr>
                <w:rFonts w:ascii="Verdana" w:hAnsi="Verdana" w:cs="Arial"/>
                <w:sz w:val="18"/>
                <w:szCs w:val="18"/>
              </w:rPr>
              <w:t xml:space="preserve"> eerste lid,</w:t>
            </w:r>
            <w:r w:rsidRPr="007456D5">
              <w:rPr>
                <w:rFonts w:ascii="Verdana" w:hAnsi="Verdana" w:cs="Arial"/>
                <w:sz w:val="18"/>
                <w:szCs w:val="18"/>
              </w:rPr>
              <w:t xml:space="preserve"> Wft</w:t>
            </w:r>
          </w:p>
          <w:p w:rsidR="00E673E0" w:rsidP="007D25C5" w:rsidRDefault="00E673E0" w14:paraId="36391723" w14:textId="77777777">
            <w:pPr>
              <w:widowControl w:val="0"/>
              <w:tabs>
                <w:tab w:val="num" w:pos="720"/>
              </w:tabs>
              <w:spacing w:line="240" w:lineRule="exact"/>
              <w:contextualSpacing/>
              <w:rPr>
                <w:rFonts w:ascii="Verdana" w:hAnsi="Verdana" w:cs="Arial"/>
                <w:sz w:val="18"/>
                <w:szCs w:val="18"/>
              </w:rPr>
            </w:pPr>
          </w:p>
          <w:p w:rsidRPr="007456D5" w:rsidR="00E673E0" w:rsidP="007D25C5" w:rsidRDefault="00E673E0" w14:paraId="786F3DE5" w14:textId="05A7A61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Artikel 1, bijlage </w:t>
            </w:r>
            <w:r>
              <w:rPr>
                <w:rFonts w:ascii="Verdana" w:hAnsi="Verdana" w:cs="Arial"/>
                <w:sz w:val="18"/>
                <w:szCs w:val="18"/>
              </w:rPr>
              <w:t>37</w:t>
            </w:r>
            <w:r w:rsidRPr="007456D5">
              <w:rPr>
                <w:rFonts w:ascii="Verdana" w:hAnsi="Verdana" w:cs="Arial"/>
                <w:sz w:val="18"/>
                <w:szCs w:val="18"/>
              </w:rPr>
              <w:t>, Besluit EU-verordeningen Wft</w:t>
            </w:r>
          </w:p>
        </w:tc>
        <w:tc>
          <w:tcPr>
            <w:tcW w:w="2205" w:type="dxa"/>
          </w:tcPr>
          <w:p w:rsidRPr="007456D5" w:rsidR="00CB554D" w:rsidP="007D25C5" w:rsidRDefault="00CB554D" w14:paraId="5EA670F4"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324816BC" w14:textId="01178349">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 xml:space="preserve">AFM is de verzamelende instantie zoals gedefinieerd in artikel 2, </w:t>
            </w:r>
            <w:r w:rsidRPr="007456D5" w:rsidR="0053675A">
              <w:rPr>
                <w:rFonts w:ascii="Verdana" w:hAnsi="Verdana" w:cs="Arial"/>
                <w:sz w:val="18"/>
                <w:szCs w:val="18"/>
              </w:rPr>
              <w:t>onderdeel 2, van verordening oprichting ESAP.</w:t>
            </w:r>
          </w:p>
        </w:tc>
      </w:tr>
      <w:tr w:rsidRPr="007456D5" w:rsidR="00CB554D" w:rsidTr="007F0E9C" w14:paraId="663B0688" w14:textId="77777777">
        <w:tc>
          <w:tcPr>
            <w:tcW w:w="2140" w:type="dxa"/>
          </w:tcPr>
          <w:p w:rsidRPr="007456D5" w:rsidR="00CB554D" w:rsidP="007D25C5" w:rsidRDefault="00CB554D" w14:paraId="2B0277E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 (15 bis, vijfde lid, Verordening (EU) 2023/2631)</w:t>
            </w:r>
          </w:p>
        </w:tc>
        <w:tc>
          <w:tcPr>
            <w:tcW w:w="2510" w:type="dxa"/>
          </w:tcPr>
          <w:p w:rsidRPr="007456D5" w:rsidR="00CB554D" w:rsidP="007D25C5" w:rsidRDefault="00CB554D" w14:paraId="18BF2DDE"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 en de Europese Commissie.</w:t>
            </w:r>
          </w:p>
        </w:tc>
        <w:tc>
          <w:tcPr>
            <w:tcW w:w="2205" w:type="dxa"/>
          </w:tcPr>
          <w:p w:rsidRPr="007456D5" w:rsidR="00CB554D" w:rsidP="007D25C5" w:rsidRDefault="00CB554D" w14:paraId="794F59AA"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742FBB8D" w14:textId="77777777">
            <w:pPr>
              <w:widowControl w:val="0"/>
              <w:tabs>
                <w:tab w:val="num" w:pos="720"/>
              </w:tabs>
              <w:spacing w:line="240" w:lineRule="exact"/>
              <w:contextualSpacing/>
              <w:rPr>
                <w:rFonts w:ascii="Verdana" w:hAnsi="Verdana" w:cs="Arial"/>
                <w:sz w:val="18"/>
                <w:szCs w:val="18"/>
              </w:rPr>
            </w:pPr>
          </w:p>
        </w:tc>
      </w:tr>
      <w:tr w:rsidRPr="007456D5" w:rsidR="00CB554D" w:rsidTr="007F0E9C" w14:paraId="6CCE59D8" w14:textId="77777777">
        <w:tc>
          <w:tcPr>
            <w:tcW w:w="2140" w:type="dxa"/>
          </w:tcPr>
          <w:p w:rsidRPr="007456D5" w:rsidR="00CB554D" w:rsidP="007D25C5" w:rsidRDefault="00CB554D" w14:paraId="0176886B"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19, (15 bis, zesde lid, Verordening (EU) 2023/2631)</w:t>
            </w:r>
          </w:p>
        </w:tc>
        <w:tc>
          <w:tcPr>
            <w:tcW w:w="2510" w:type="dxa"/>
          </w:tcPr>
          <w:p w:rsidRPr="007456D5" w:rsidR="00CB554D" w:rsidP="007D25C5" w:rsidRDefault="00CB554D" w14:paraId="3B5C31C2" w14:textId="77777777">
            <w:pPr>
              <w:widowControl w:val="0"/>
              <w:tabs>
                <w:tab w:val="num" w:pos="720"/>
              </w:tabs>
              <w:spacing w:line="240" w:lineRule="exact"/>
              <w:contextualSpacing/>
              <w:rPr>
                <w:rFonts w:ascii="Verdana" w:hAnsi="Verdana" w:cs="Arial"/>
                <w:sz w:val="18"/>
                <w:szCs w:val="18"/>
              </w:rPr>
            </w:pPr>
            <w:r w:rsidRPr="007456D5">
              <w:rPr>
                <w:rFonts w:ascii="Verdana" w:hAnsi="Verdana" w:cs="Arial"/>
                <w:sz w:val="18"/>
                <w:szCs w:val="18"/>
              </w:rPr>
              <w:t>Behoeft geen implementatie. Bepaling gericht tot ESMA.</w:t>
            </w:r>
          </w:p>
        </w:tc>
        <w:tc>
          <w:tcPr>
            <w:tcW w:w="2205" w:type="dxa"/>
          </w:tcPr>
          <w:p w:rsidRPr="007456D5" w:rsidR="00CB554D" w:rsidP="007D25C5" w:rsidRDefault="00CB554D" w14:paraId="5AEDC4DB" w14:textId="77777777">
            <w:pPr>
              <w:widowControl w:val="0"/>
              <w:tabs>
                <w:tab w:val="num" w:pos="720"/>
              </w:tabs>
              <w:spacing w:line="240" w:lineRule="exact"/>
              <w:contextualSpacing/>
              <w:rPr>
                <w:rFonts w:ascii="Verdana" w:hAnsi="Verdana" w:cs="Arial"/>
                <w:sz w:val="18"/>
                <w:szCs w:val="18"/>
              </w:rPr>
            </w:pPr>
          </w:p>
        </w:tc>
        <w:tc>
          <w:tcPr>
            <w:tcW w:w="2205" w:type="dxa"/>
          </w:tcPr>
          <w:p w:rsidRPr="007456D5" w:rsidR="00CB554D" w:rsidP="007D25C5" w:rsidRDefault="00CB554D" w14:paraId="6EA5E1A5" w14:textId="77777777">
            <w:pPr>
              <w:widowControl w:val="0"/>
              <w:tabs>
                <w:tab w:val="num" w:pos="720"/>
              </w:tabs>
              <w:spacing w:line="240" w:lineRule="exact"/>
              <w:contextualSpacing/>
              <w:rPr>
                <w:rFonts w:ascii="Verdana" w:hAnsi="Verdana" w:cs="Arial"/>
                <w:sz w:val="18"/>
                <w:szCs w:val="18"/>
              </w:rPr>
            </w:pPr>
          </w:p>
        </w:tc>
      </w:tr>
    </w:tbl>
    <w:p w:rsidRPr="007456D5" w:rsidR="00CB554D" w:rsidP="007D25C5" w:rsidRDefault="00CB554D" w14:paraId="4359AAAE" w14:textId="77777777">
      <w:pPr>
        <w:widowControl w:val="0"/>
        <w:tabs>
          <w:tab w:val="num" w:pos="720"/>
        </w:tabs>
        <w:spacing w:line="240" w:lineRule="exact"/>
        <w:contextualSpacing/>
        <w:rPr>
          <w:rFonts w:ascii="Verdana" w:hAnsi="Verdana" w:cs="Arial"/>
          <w:sz w:val="18"/>
          <w:szCs w:val="18"/>
        </w:rPr>
      </w:pPr>
    </w:p>
    <w:p w:rsidRPr="007456D5" w:rsidR="00CB554D" w:rsidP="007D25C5" w:rsidRDefault="00CB554D" w14:paraId="5BFD7960" w14:textId="4ED29FA6">
      <w:pPr>
        <w:widowControl w:val="0"/>
        <w:tabs>
          <w:tab w:val="num" w:pos="720"/>
        </w:tabs>
        <w:spacing w:line="240" w:lineRule="exact"/>
        <w:contextualSpacing/>
        <w:rPr>
          <w:rFonts w:ascii="Verdana" w:hAnsi="Verdana" w:cs="Arial"/>
          <w:sz w:val="18"/>
          <w:szCs w:val="18"/>
        </w:rPr>
      </w:pPr>
    </w:p>
    <w:sectPr w:rsidRPr="007456D5" w:rsidR="00CB554D" w:rsidSect="00DD0008">
      <w:footerReference w:type="default" r:id="rId12"/>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C84F" w14:textId="77777777" w:rsidR="00551443" w:rsidRDefault="00551443" w:rsidP="00CA7D6D">
      <w:r>
        <w:separator/>
      </w:r>
    </w:p>
  </w:endnote>
  <w:endnote w:type="continuationSeparator" w:id="0">
    <w:p w14:paraId="6417334B" w14:textId="77777777" w:rsidR="00551443" w:rsidRDefault="00551443"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8ADA" w14:textId="77777777" w:rsidR="00AA39E1" w:rsidRDefault="00AA39E1">
    <w:pPr>
      <w:pStyle w:val="Voettekst"/>
    </w:pPr>
  </w:p>
  <w:p w14:paraId="61EB4B50" w14:textId="77777777" w:rsidR="00E2567A" w:rsidRDefault="00E2567A"/>
  <w:p w14:paraId="2979B344" w14:textId="77777777" w:rsidR="00E2567A" w:rsidRDefault="00E2567A"/>
  <w:p w14:paraId="290E7A6D" w14:textId="77777777" w:rsidR="00E2567A" w:rsidRDefault="00E2567A"/>
  <w:p w14:paraId="2F59EF9A" w14:textId="77777777" w:rsidR="00E2567A" w:rsidRDefault="00E2567A"/>
  <w:p w14:paraId="6476ECED" w14:textId="77777777" w:rsidR="00E2567A" w:rsidRDefault="00E2567A"/>
  <w:p w14:paraId="0074D143" w14:textId="77777777" w:rsidR="00E2567A" w:rsidRDefault="00E2567A"/>
  <w:p w14:paraId="361878EF" w14:textId="77777777" w:rsidR="00E2567A" w:rsidRDefault="00E25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281B" w14:textId="5CC205B3" w:rsidR="00E2567A" w:rsidRPr="007450A4" w:rsidRDefault="001F3B5F" w:rsidP="007450A4">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B032" w14:textId="77777777" w:rsidR="00AA39E1" w:rsidRDefault="00AA39E1">
    <w:pPr>
      <w:pStyle w:val="Voettekst"/>
    </w:pPr>
  </w:p>
  <w:p w14:paraId="5D952E0D" w14:textId="77777777" w:rsidR="00E2567A" w:rsidRDefault="00E2567A"/>
  <w:p w14:paraId="214001B0" w14:textId="77777777" w:rsidR="00E2567A" w:rsidRDefault="00E2567A"/>
  <w:p w14:paraId="383BB05F" w14:textId="77777777" w:rsidR="00E2567A" w:rsidRDefault="00E2567A"/>
  <w:p w14:paraId="577BC034" w14:textId="77777777" w:rsidR="00E2567A" w:rsidRDefault="00E2567A"/>
  <w:p w14:paraId="46DCF876" w14:textId="77777777" w:rsidR="00E2567A" w:rsidRDefault="00E2567A"/>
  <w:p w14:paraId="2574CD71" w14:textId="77777777" w:rsidR="00E2567A" w:rsidRDefault="00E2567A"/>
  <w:p w14:paraId="50E2B877" w14:textId="77777777" w:rsidR="00E2567A" w:rsidRDefault="00E256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B38"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D918" w14:textId="77777777" w:rsidR="00551443" w:rsidRDefault="00551443" w:rsidP="00CA7D6D">
      <w:r>
        <w:separator/>
      </w:r>
    </w:p>
  </w:footnote>
  <w:footnote w:type="continuationSeparator" w:id="0">
    <w:p w14:paraId="084C5423" w14:textId="77777777" w:rsidR="00551443" w:rsidRDefault="00551443" w:rsidP="00CA7D6D">
      <w:r>
        <w:continuationSeparator/>
      </w:r>
    </w:p>
  </w:footnote>
  <w:footnote w:id="1">
    <w:p w14:paraId="745D5908" w14:textId="64478365" w:rsidR="00AE1F92" w:rsidRPr="00774664" w:rsidRDefault="00CD67EB" w:rsidP="00CD67EB">
      <w:pPr>
        <w:pStyle w:val="Voetnoottekst"/>
        <w:rPr>
          <w:rFonts w:ascii="Verdana" w:hAnsi="Verdana"/>
          <w:sz w:val="16"/>
          <w:szCs w:val="16"/>
        </w:rPr>
      </w:pPr>
      <w:r w:rsidRPr="00774664">
        <w:rPr>
          <w:rStyle w:val="Voetnootmarkering"/>
          <w:rFonts w:ascii="Verdana" w:hAnsi="Verdana"/>
          <w:sz w:val="16"/>
          <w:szCs w:val="16"/>
        </w:rPr>
        <w:footnoteRef/>
      </w:r>
      <w:r w:rsidRPr="00774664">
        <w:rPr>
          <w:rFonts w:ascii="Verdana" w:hAnsi="Verdana"/>
          <w:sz w:val="16"/>
          <w:szCs w:val="16"/>
        </w:rPr>
        <w:t xml:space="preserve"> </w:t>
      </w:r>
      <w:r w:rsidR="00AE1F92" w:rsidRPr="00774664">
        <w:rPr>
          <w:rFonts w:ascii="Verdana" w:hAnsi="Verdana"/>
          <w:sz w:val="16"/>
          <w:szCs w:val="16"/>
        </w:rPr>
        <w:t xml:space="preserve">Een kapitaalmarktenunie ten dienste van mensen en ondernemingen — Een nieuw actieplan, te vinden via: </w:t>
      </w:r>
      <w:hyperlink r:id="rId1" w:history="1">
        <w:r w:rsidR="00AE1F92" w:rsidRPr="00774664">
          <w:rPr>
            <w:rStyle w:val="Hyperlink"/>
            <w:rFonts w:ascii="Verdana" w:hAnsi="Verdana"/>
            <w:sz w:val="16"/>
            <w:szCs w:val="16"/>
          </w:rPr>
          <w:t>https://eur-lex.europa.eu/legal-content/NL/TXT/HTML/?uri=CELEX:52020DC0590</w:t>
        </w:r>
      </w:hyperlink>
      <w:r w:rsidR="00AE1F92" w:rsidRPr="00774664">
        <w:rPr>
          <w:rFonts w:ascii="Verdana" w:hAnsi="Verdana"/>
          <w:sz w:val="16"/>
          <w:szCs w:val="16"/>
        </w:rPr>
        <w:t>.</w:t>
      </w:r>
    </w:p>
  </w:footnote>
  <w:footnote w:id="2">
    <w:p w14:paraId="28BB74A2" w14:textId="27985BD8" w:rsidR="00AE0FDC" w:rsidRPr="00774664" w:rsidRDefault="00AE0FDC">
      <w:pPr>
        <w:pStyle w:val="Voetnoottekst"/>
        <w:rPr>
          <w:rFonts w:ascii="Verdana" w:hAnsi="Verdana"/>
          <w:sz w:val="16"/>
          <w:szCs w:val="16"/>
        </w:rPr>
      </w:pPr>
      <w:r w:rsidRPr="00774664">
        <w:rPr>
          <w:rStyle w:val="Voetnootmarkering"/>
          <w:rFonts w:ascii="Verdana" w:hAnsi="Verdana"/>
          <w:sz w:val="16"/>
          <w:szCs w:val="16"/>
        </w:rPr>
        <w:footnoteRef/>
      </w:r>
      <w:r w:rsidRPr="00774664">
        <w:rPr>
          <w:rFonts w:ascii="Verdana" w:hAnsi="Verdana"/>
          <w:sz w:val="16"/>
          <w:szCs w:val="16"/>
        </w:rPr>
        <w:t xml:space="preserve">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w:t>
      </w:r>
      <w:proofErr w:type="spellStart"/>
      <w:r w:rsidRPr="00774664">
        <w:rPr>
          <w:rFonts w:ascii="Verdana" w:hAnsi="Verdana"/>
          <w:sz w:val="16"/>
          <w:szCs w:val="16"/>
        </w:rPr>
        <w:t>PbEG</w:t>
      </w:r>
      <w:proofErr w:type="spellEnd"/>
      <w:r w:rsidRPr="00774664">
        <w:rPr>
          <w:rFonts w:ascii="Verdana" w:hAnsi="Verdana"/>
          <w:sz w:val="16"/>
          <w:szCs w:val="16"/>
        </w:rPr>
        <w:t xml:space="preserve"> 2004, L 390).</w:t>
      </w:r>
    </w:p>
  </w:footnote>
  <w:footnote w:id="3">
    <w:p w14:paraId="34479FE2" w14:textId="58AB7963" w:rsidR="003D763E" w:rsidRPr="003D763E" w:rsidRDefault="003D763E">
      <w:pPr>
        <w:pStyle w:val="Voetnoottekst"/>
        <w:rPr>
          <w:rFonts w:ascii="Verdana" w:hAnsi="Verdana"/>
          <w:sz w:val="16"/>
          <w:szCs w:val="16"/>
        </w:rPr>
      </w:pPr>
      <w:r w:rsidRPr="003D763E">
        <w:rPr>
          <w:rStyle w:val="Voetnootmarkering"/>
          <w:rFonts w:ascii="Verdana" w:hAnsi="Verdana"/>
          <w:sz w:val="16"/>
          <w:szCs w:val="16"/>
        </w:rPr>
        <w:footnoteRef/>
      </w:r>
      <w:r w:rsidRPr="003D763E">
        <w:rPr>
          <w:rFonts w:ascii="Verdana" w:hAnsi="Verdana"/>
          <w:sz w:val="16"/>
          <w:szCs w:val="16"/>
        </w:rPr>
        <w:t xml:space="preserve"> Zie ook artikel 6 van ITS 2025/1339.</w:t>
      </w:r>
    </w:p>
  </w:footnote>
  <w:footnote w:id="4">
    <w:p w14:paraId="099D0465" w14:textId="186CC21F" w:rsidR="00A34129" w:rsidRPr="00A34129" w:rsidRDefault="00A34129">
      <w:pPr>
        <w:pStyle w:val="Voetnoottekst"/>
        <w:rPr>
          <w:rFonts w:ascii="Verdana" w:hAnsi="Verdana" w:cstheme="minorHAnsi"/>
          <w:sz w:val="16"/>
          <w:szCs w:val="16"/>
        </w:rPr>
      </w:pPr>
      <w:r w:rsidRPr="00A34129">
        <w:rPr>
          <w:rStyle w:val="Voetnootmarkering"/>
          <w:rFonts w:ascii="Verdana" w:hAnsi="Verdana" w:cstheme="minorHAnsi"/>
          <w:sz w:val="16"/>
          <w:szCs w:val="16"/>
        </w:rPr>
        <w:footnoteRef/>
      </w:r>
      <w:r w:rsidRPr="00A34129">
        <w:rPr>
          <w:rFonts w:ascii="Verdana" w:hAnsi="Verdana" w:cstheme="minorHAnsi"/>
          <w:sz w:val="16"/>
          <w:szCs w:val="16"/>
        </w:rPr>
        <w:t xml:space="preserve"> Een elektronisch zegel is een elektronische handtekening voor rechtspersonen. Hiermee kan de betrouwbaarheid en oorsprong van de aangeleverde gegevens worden gewaarborgd omdat het elektronisch zegel op unieke wijze is verbonden aan de onderneming die de gegevens heeft aangeleverd.  </w:t>
      </w:r>
    </w:p>
  </w:footnote>
  <w:footnote w:id="5">
    <w:p w14:paraId="4B1B3A54" w14:textId="77777777" w:rsidR="00207122" w:rsidRPr="00BF5990" w:rsidRDefault="00207122" w:rsidP="00207122">
      <w:pPr>
        <w:pStyle w:val="Voetnoottekst"/>
        <w:rPr>
          <w:rFonts w:ascii="Verdana" w:hAnsi="Verdana"/>
          <w:sz w:val="16"/>
          <w:szCs w:val="16"/>
        </w:rPr>
      </w:pPr>
      <w:r w:rsidRPr="00001BE9">
        <w:rPr>
          <w:rStyle w:val="Voetnootmarkering"/>
          <w:rFonts w:ascii="Verdana" w:hAnsi="Verdana"/>
          <w:sz w:val="16"/>
          <w:szCs w:val="16"/>
        </w:rPr>
        <w:footnoteRef/>
      </w:r>
      <w:r w:rsidRPr="00001BE9">
        <w:rPr>
          <w:rFonts w:ascii="Verdana" w:hAnsi="Verdana"/>
          <w:sz w:val="16"/>
          <w:szCs w:val="16"/>
        </w:rPr>
        <w:t xml:space="preserve"> Richtlijn (EU) 2022/2464 van het Europees Parlement en de Raad van 14 december 2022 tot wijziging van Verordening (EU) nr. 537/2014, Richtlijn 2004/109</w:t>
      </w:r>
      <w:r>
        <w:rPr>
          <w:rFonts w:ascii="Verdana" w:hAnsi="Verdana"/>
          <w:sz w:val="16"/>
          <w:szCs w:val="16"/>
        </w:rPr>
        <w:t>/EG</w:t>
      </w:r>
      <w:r w:rsidRPr="00001BE9">
        <w:rPr>
          <w:rFonts w:ascii="Verdana" w:hAnsi="Verdana"/>
          <w:sz w:val="16"/>
          <w:szCs w:val="16"/>
        </w:rPr>
        <w:t xml:space="preserve">, Richtlijn 2006/43/EG en Richtlijn 2013/34/EU, met betrekking tot duurzaamheidsrapportering door </w:t>
      </w:r>
      <w:r w:rsidRPr="00BF5990">
        <w:rPr>
          <w:rFonts w:ascii="Verdana" w:hAnsi="Verdana"/>
          <w:sz w:val="16"/>
          <w:szCs w:val="16"/>
        </w:rPr>
        <w:t xml:space="preserve">ondernemingen (PbEU 2022, L 322/15). Naar de Engelse titel Corporate </w:t>
      </w:r>
      <w:proofErr w:type="spellStart"/>
      <w:r w:rsidRPr="00BF5990">
        <w:rPr>
          <w:rFonts w:ascii="Verdana" w:hAnsi="Verdana"/>
          <w:sz w:val="16"/>
          <w:szCs w:val="16"/>
        </w:rPr>
        <w:t>Sustainability</w:t>
      </w:r>
      <w:proofErr w:type="spellEnd"/>
      <w:r w:rsidRPr="00BF5990">
        <w:rPr>
          <w:rFonts w:ascii="Verdana" w:hAnsi="Verdana"/>
          <w:sz w:val="16"/>
          <w:szCs w:val="16"/>
        </w:rPr>
        <w:t xml:space="preserve"> Directive wordt de richtlijn wel afgekort weergegeven als CSRD.</w:t>
      </w:r>
    </w:p>
  </w:footnote>
  <w:footnote w:id="6">
    <w:p w14:paraId="58F5AA85" w14:textId="5869A242" w:rsidR="00BF5990" w:rsidRPr="00146025" w:rsidRDefault="00BF5990">
      <w:pPr>
        <w:pStyle w:val="Voetnoottekst"/>
        <w:contextualSpacing/>
        <w:rPr>
          <w:rFonts w:ascii="Verdana" w:hAnsi="Verdana"/>
          <w:sz w:val="16"/>
          <w:szCs w:val="16"/>
        </w:rPr>
      </w:pPr>
      <w:r w:rsidRPr="00BF5990">
        <w:rPr>
          <w:rStyle w:val="Voetnootmarkering"/>
          <w:rFonts w:ascii="Verdana" w:hAnsi="Verdana"/>
          <w:sz w:val="16"/>
          <w:szCs w:val="16"/>
        </w:rPr>
        <w:footnoteRef/>
      </w:r>
      <w:r w:rsidRPr="00BF5990">
        <w:rPr>
          <w:rFonts w:ascii="Verdana" w:hAnsi="Verdana"/>
          <w:sz w:val="16"/>
          <w:szCs w:val="16"/>
        </w:rPr>
        <w:t xml:space="preserve"> </w:t>
      </w:r>
      <w:r w:rsidR="00146025">
        <w:rPr>
          <w:rFonts w:ascii="Verdana" w:hAnsi="Verdana"/>
          <w:sz w:val="16"/>
          <w:szCs w:val="16"/>
        </w:rPr>
        <w:t xml:space="preserve">Richtlijn (EU) 2026/470 van het Europees Parlement en de Raad van 24 februari 2026 </w:t>
      </w:r>
      <w:r w:rsidR="00146025" w:rsidRPr="0027157C">
        <w:rPr>
          <w:rFonts w:ascii="Verdana" w:hAnsi="Verdana"/>
          <w:sz w:val="16"/>
          <w:szCs w:val="16"/>
        </w:rPr>
        <w:t>tot wijzing van de Richtlijnen 2006/43/EG, 2013/34/EU, (EU) 2022/2464 en (EU) 2024/1760 wat betreft bepaalde vereisten inzake duurzaamheidsrapportering door ondernemingen en passende zorgvuldigheid in het bedrijfsleven</w:t>
      </w:r>
      <w:r w:rsidR="00146025">
        <w:rPr>
          <w:rFonts w:ascii="Verdana" w:hAnsi="Verdana"/>
          <w:sz w:val="16"/>
          <w:szCs w:val="16"/>
        </w:rPr>
        <w:t>.</w:t>
      </w:r>
    </w:p>
  </w:footnote>
  <w:footnote w:id="7">
    <w:p w14:paraId="48402786" w14:textId="77777777" w:rsidR="00B358BD" w:rsidRPr="00CE1D44" w:rsidRDefault="00B358BD" w:rsidP="00B358BD">
      <w:pPr>
        <w:pStyle w:val="Voetnoottekst"/>
        <w:rPr>
          <w:rFonts w:ascii="Verdana" w:hAnsi="Verdana"/>
          <w:sz w:val="16"/>
          <w:szCs w:val="16"/>
        </w:rPr>
      </w:pPr>
      <w:r w:rsidRPr="00CE1D44">
        <w:rPr>
          <w:rStyle w:val="Voetnootmarkering"/>
          <w:rFonts w:ascii="Verdana" w:hAnsi="Verdana"/>
          <w:sz w:val="16"/>
          <w:szCs w:val="16"/>
        </w:rPr>
        <w:footnoteRef/>
      </w:r>
      <w:r w:rsidRPr="00CE1D44">
        <w:rPr>
          <w:rFonts w:ascii="Verdana" w:hAnsi="Verdana"/>
          <w:sz w:val="16"/>
          <w:szCs w:val="16"/>
        </w:rPr>
        <w:t xml:space="preserve"> </w:t>
      </w:r>
      <w:r w:rsidRPr="00CE1D44">
        <w:rPr>
          <w:rFonts w:ascii="Verdana" w:hAnsi="Verdana"/>
          <w:sz w:val="16"/>
          <w:szCs w:val="16"/>
          <w:lang w:eastAsia="nl-NL"/>
        </w:rPr>
        <w:t>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8">
    <w:p w14:paraId="490C60F3" w14:textId="77777777" w:rsidR="00DC353F" w:rsidRPr="00C57797" w:rsidRDefault="00DC353F" w:rsidP="00DC353F">
      <w:pPr>
        <w:pStyle w:val="Voetnoottekst"/>
        <w:rPr>
          <w:rFonts w:ascii="Verdana" w:hAnsi="Verdana"/>
          <w:sz w:val="16"/>
          <w:szCs w:val="16"/>
        </w:rPr>
      </w:pPr>
      <w:r w:rsidRPr="00DF316B">
        <w:rPr>
          <w:rStyle w:val="Voetnootmarkering"/>
          <w:rFonts w:ascii="Verdana" w:hAnsi="Verdana"/>
          <w:sz w:val="16"/>
          <w:szCs w:val="16"/>
        </w:rPr>
        <w:footnoteRef/>
      </w:r>
      <w:r w:rsidRPr="00DF316B">
        <w:rPr>
          <w:rFonts w:ascii="Verdana" w:hAnsi="Verdana"/>
          <w:sz w:val="16"/>
          <w:szCs w:val="16"/>
        </w:rPr>
        <w:t xml:space="preserve"> </w:t>
      </w:r>
      <w:r w:rsidRPr="00774664">
        <w:rPr>
          <w:rFonts w:ascii="Verdana" w:hAnsi="Verdana"/>
          <w:sz w:val="16"/>
          <w:szCs w:val="16"/>
        </w:rPr>
        <w:t xml:space="preserve">De duurzaamheidsrapportering is het verslag dat ondernemingen moeten opstellen over de duurzaamheid van hun eigen onderneming of concern, waarvan de hoofdzetel in de EU of EER is gelegen. Het verslag inzake duurzaamheid is het verslag dat door grote of beursgenoteerde dochtermaatschappijen van internationale concerns waarvan de moedermaatschappij buiten de EU of EER is gevestigd en die in de EU en EER een netto-omzet van meer dan EUR 150 miljoen hebben behaald, in de EU en EER openbaar gemaakt </w:t>
      </w:r>
      <w:r w:rsidRPr="00C57797">
        <w:rPr>
          <w:rFonts w:ascii="Verdana" w:hAnsi="Verdana"/>
          <w:sz w:val="16"/>
          <w:szCs w:val="16"/>
        </w:rPr>
        <w:t>moet worden. Het gaat hier om de rapportageverplichtingen die zijn ingevoerd in de Jaarrekeningrichtlijn 2013/23/EU door de CSRD, de Richtlijn (EU) 2022/2464 inzake de duurzaamheidsrapportering.</w:t>
      </w:r>
    </w:p>
  </w:footnote>
  <w:footnote w:id="9">
    <w:p w14:paraId="1E519598" w14:textId="4047CB8A" w:rsidR="001E249E" w:rsidRPr="00C57797" w:rsidRDefault="001E249E">
      <w:pPr>
        <w:pStyle w:val="Voetnoottekst"/>
        <w:rPr>
          <w:rFonts w:ascii="Verdana" w:hAnsi="Verdana"/>
          <w:sz w:val="16"/>
          <w:szCs w:val="16"/>
        </w:rPr>
      </w:pPr>
      <w:r w:rsidRPr="00C57797">
        <w:rPr>
          <w:rStyle w:val="Voetnootmarkering"/>
          <w:rFonts w:ascii="Verdana" w:hAnsi="Verdana"/>
          <w:sz w:val="16"/>
          <w:szCs w:val="16"/>
        </w:rPr>
        <w:footnoteRef/>
      </w:r>
      <w:r w:rsidRPr="00C57797">
        <w:rPr>
          <w:rFonts w:ascii="Verdana" w:hAnsi="Verdana"/>
          <w:sz w:val="16"/>
          <w:szCs w:val="16"/>
        </w:rPr>
        <w:t xml:space="preserve"> </w:t>
      </w:r>
      <w:r w:rsidR="00C57797" w:rsidRPr="00C57797">
        <w:rPr>
          <w:rFonts w:ascii="Verdana" w:hAnsi="Verdana"/>
          <w:sz w:val="16"/>
          <w:szCs w:val="16"/>
        </w:rPr>
        <w:t>Richtlijn (EU) 2026/470 van het Europees Parlement en de Raad van 24 februari 2026 tot wijzing van de Richtlijnen 2006/43/EG, 2013/34/EU, (EU) 2022/2464 en (EU) 2024/1760 wat betreft bepaalde vereisten inzake duurzaamheidsrapportering door ondernemingen en passende zorgvuldigheid in het bedrijfsleven.</w:t>
      </w:r>
    </w:p>
  </w:footnote>
  <w:footnote w:id="10">
    <w:p w14:paraId="1FB8BB75" w14:textId="77777777" w:rsidR="00C57797" w:rsidRPr="009B44C4" w:rsidRDefault="00C57797" w:rsidP="00C57797">
      <w:pPr>
        <w:pStyle w:val="Voetnoottekst"/>
        <w:rPr>
          <w:rFonts w:ascii="Verdana" w:hAnsi="Verdana"/>
          <w:sz w:val="16"/>
          <w:szCs w:val="16"/>
        </w:rPr>
      </w:pPr>
      <w:r w:rsidRPr="009B44C4">
        <w:rPr>
          <w:rStyle w:val="Voetnootmarkering"/>
          <w:rFonts w:ascii="Verdana" w:hAnsi="Verdana"/>
          <w:sz w:val="16"/>
          <w:szCs w:val="16"/>
        </w:rPr>
        <w:footnoteRef/>
      </w:r>
      <w:r w:rsidRPr="009B44C4">
        <w:rPr>
          <w:rFonts w:ascii="Verdana" w:hAnsi="Verdana"/>
          <w:sz w:val="16"/>
          <w:szCs w:val="16"/>
        </w:rPr>
        <w:t xml:space="preserve"> Met vennootschappen worden hier bedoeld: </w:t>
      </w:r>
      <w:proofErr w:type="spellStart"/>
      <w:r w:rsidRPr="009B44C4">
        <w:rPr>
          <w:rFonts w:ascii="Verdana" w:hAnsi="Verdana"/>
          <w:sz w:val="16"/>
          <w:szCs w:val="16"/>
        </w:rPr>
        <w:t>NV’s</w:t>
      </w:r>
      <w:proofErr w:type="spellEnd"/>
      <w:r w:rsidRPr="009B44C4">
        <w:rPr>
          <w:rFonts w:ascii="Verdana" w:hAnsi="Verdana"/>
          <w:sz w:val="16"/>
          <w:szCs w:val="16"/>
        </w:rPr>
        <w:t xml:space="preserve"> en </w:t>
      </w:r>
      <w:proofErr w:type="spellStart"/>
      <w:r w:rsidRPr="009B44C4">
        <w:rPr>
          <w:rFonts w:ascii="Verdana" w:hAnsi="Verdana"/>
          <w:sz w:val="16"/>
          <w:szCs w:val="16"/>
        </w:rPr>
        <w:t>BV’s</w:t>
      </w:r>
      <w:proofErr w:type="spellEnd"/>
      <w:r w:rsidRPr="009B44C4">
        <w:rPr>
          <w:rFonts w:ascii="Verdana" w:hAnsi="Verdana"/>
          <w:sz w:val="16"/>
          <w:szCs w:val="16"/>
        </w:rPr>
        <w:t xml:space="preserve"> en commanditaire vennootschappen (CV) en vennootschappen onder firma (VOF) waarvan alle vennoten die volledig jegens schuldeisers aansprakelijk zijn, </w:t>
      </w:r>
      <w:proofErr w:type="spellStart"/>
      <w:r w:rsidRPr="009B44C4">
        <w:rPr>
          <w:rFonts w:ascii="Verdana" w:hAnsi="Verdana"/>
          <w:sz w:val="16"/>
          <w:szCs w:val="16"/>
        </w:rPr>
        <w:t>NV’s</w:t>
      </w:r>
      <w:proofErr w:type="spellEnd"/>
      <w:r w:rsidRPr="009B44C4">
        <w:rPr>
          <w:rFonts w:ascii="Verdana" w:hAnsi="Verdana"/>
          <w:sz w:val="16"/>
          <w:szCs w:val="16"/>
        </w:rPr>
        <w:t xml:space="preserve"> of </w:t>
      </w:r>
      <w:proofErr w:type="spellStart"/>
      <w:r w:rsidRPr="009B44C4">
        <w:rPr>
          <w:rFonts w:ascii="Verdana" w:hAnsi="Verdana"/>
          <w:sz w:val="16"/>
          <w:szCs w:val="16"/>
        </w:rPr>
        <w:t>BV’s</w:t>
      </w:r>
      <w:proofErr w:type="spellEnd"/>
      <w:r w:rsidRPr="009B44C4">
        <w:rPr>
          <w:rFonts w:ascii="Verdana" w:hAnsi="Verdana"/>
          <w:sz w:val="16"/>
          <w:szCs w:val="16"/>
        </w:rPr>
        <w:t xml:space="preserve"> of kapitaalvennootschappen naar buitenlands recht zijn. </w:t>
      </w:r>
    </w:p>
  </w:footnote>
  <w:footnote w:id="11">
    <w:p w14:paraId="4AB94CD6" w14:textId="0DAEB0B6" w:rsidR="00556771" w:rsidRPr="00CE1D44" w:rsidRDefault="00556771" w:rsidP="00556771">
      <w:pPr>
        <w:pStyle w:val="Voetnoottekst"/>
        <w:rPr>
          <w:rFonts w:ascii="Verdana" w:hAnsi="Verdana"/>
          <w:sz w:val="16"/>
          <w:szCs w:val="16"/>
        </w:rPr>
      </w:pPr>
      <w:r w:rsidRPr="00CE1D44">
        <w:rPr>
          <w:rStyle w:val="Voetnootmarkering"/>
          <w:rFonts w:ascii="Verdana" w:hAnsi="Verdana"/>
          <w:sz w:val="16"/>
          <w:szCs w:val="16"/>
        </w:rPr>
        <w:footnoteRef/>
      </w:r>
      <w:r w:rsidRPr="00CE1D44">
        <w:rPr>
          <w:rFonts w:ascii="Verdana" w:hAnsi="Verdana"/>
          <w:sz w:val="16"/>
          <w:szCs w:val="16"/>
        </w:rPr>
        <w:t xml:space="preserve"> </w:t>
      </w:r>
      <w:r w:rsidR="007358A1" w:rsidRPr="00CE1D44">
        <w:rPr>
          <w:rFonts w:ascii="Verdana" w:hAnsi="Verdana"/>
          <w:sz w:val="16"/>
          <w:szCs w:val="16"/>
          <w:lang w:eastAsia="nl-NL"/>
        </w:rPr>
        <w:t>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12">
    <w:p w14:paraId="18668640" w14:textId="45B66EE0" w:rsidR="00185EAE" w:rsidRPr="0049244D" w:rsidRDefault="00185EAE" w:rsidP="00185EAE">
      <w:pPr>
        <w:pStyle w:val="Voetnoottekst"/>
        <w:rPr>
          <w:rFonts w:ascii="Verdana" w:hAnsi="Verdana" w:cstheme="minorHAnsi"/>
          <w:sz w:val="16"/>
          <w:szCs w:val="16"/>
        </w:rPr>
      </w:pPr>
      <w:r w:rsidRPr="0049244D">
        <w:rPr>
          <w:rStyle w:val="Voetnootmarkering"/>
          <w:rFonts w:ascii="Verdana" w:hAnsi="Verdana" w:cstheme="minorHAnsi"/>
          <w:sz w:val="16"/>
          <w:szCs w:val="16"/>
        </w:rPr>
        <w:footnoteRef/>
      </w:r>
      <w:r w:rsidRPr="0049244D">
        <w:rPr>
          <w:rFonts w:ascii="Verdana" w:hAnsi="Verdana" w:cstheme="minorHAnsi"/>
          <w:sz w:val="16"/>
          <w:szCs w:val="16"/>
        </w:rPr>
        <w:t xml:space="preserve"> </w:t>
      </w:r>
      <w:bookmarkStart w:id="11" w:name="_Hlk204692080"/>
      <w:r w:rsidRPr="0049244D">
        <w:rPr>
          <w:rFonts w:ascii="Verdana" w:hAnsi="Verdana" w:cstheme="minorHAnsi"/>
          <w:sz w:val="16"/>
          <w:szCs w:val="16"/>
        </w:rPr>
        <w:t xml:space="preserve">Kamerstukken </w:t>
      </w:r>
      <w:r w:rsidRPr="00006C96">
        <w:rPr>
          <w:rFonts w:ascii="Verdana" w:hAnsi="Verdana" w:cstheme="minorHAnsi"/>
          <w:i/>
          <w:iCs/>
          <w:sz w:val="16"/>
          <w:szCs w:val="16"/>
        </w:rPr>
        <w:t>I/II</w:t>
      </w:r>
      <w:r w:rsidRPr="0049244D">
        <w:rPr>
          <w:rFonts w:ascii="Verdana" w:hAnsi="Verdana" w:cstheme="minorHAnsi"/>
          <w:sz w:val="16"/>
          <w:szCs w:val="16"/>
        </w:rPr>
        <w:t xml:space="preserve"> 2023/24, 26 485, B/Nr. 437</w:t>
      </w:r>
      <w:bookmarkEnd w:id="11"/>
      <w:r w:rsidR="00A82BA0">
        <w:rPr>
          <w:rFonts w:ascii="Verdana" w:hAnsi="Verdana" w:cstheme="minorHAnsi"/>
          <w:sz w:val="16"/>
          <w:szCs w:val="16"/>
        </w:rPr>
        <w:t>.</w:t>
      </w:r>
    </w:p>
  </w:footnote>
  <w:footnote w:id="13">
    <w:p w14:paraId="64E8AB94" w14:textId="77777777" w:rsidR="00117AB7" w:rsidRDefault="00117AB7" w:rsidP="00117AB7">
      <w:pPr>
        <w:pStyle w:val="Voetnoottekst"/>
        <w:rPr>
          <w:rFonts w:ascii="Verdana" w:hAnsi="Verdana" w:cstheme="minorBidi"/>
          <w:kern w:val="2"/>
          <w:sz w:val="16"/>
          <w:szCs w:val="16"/>
          <w14:ligatures w14:val="standardContextual"/>
        </w:rPr>
      </w:pPr>
      <w:r>
        <w:rPr>
          <w:rStyle w:val="Voetnootmarkering"/>
          <w:rFonts w:ascii="Verdana" w:hAnsi="Verdana"/>
          <w:sz w:val="16"/>
          <w:szCs w:val="16"/>
        </w:rPr>
        <w:footnoteRef/>
      </w:r>
      <w:r>
        <w:rPr>
          <w:rFonts w:ascii="Verdana" w:hAnsi="Verdana"/>
          <w:sz w:val="16"/>
          <w:szCs w:val="16"/>
        </w:rPr>
        <w:t xml:space="preserve">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footnote>
  <w:footnote w:id="14">
    <w:p w14:paraId="4D0B2674" w14:textId="77777777" w:rsidR="00117AB7" w:rsidRDefault="00117AB7" w:rsidP="00117AB7">
      <w:pPr>
        <w:pStyle w:val="Voetnoottekst"/>
        <w:rPr>
          <w:rFonts w:asciiTheme="minorHAnsi" w:hAnsiTheme="minorHAnsi"/>
          <w:sz w:val="20"/>
          <w:szCs w:val="20"/>
        </w:rPr>
      </w:pPr>
      <w:r>
        <w:rPr>
          <w:rStyle w:val="Voetnootmarkering"/>
        </w:rPr>
        <w:footnoteRef/>
      </w:r>
      <w:r>
        <w:t xml:space="preserve"> </w:t>
      </w:r>
      <w:r>
        <w:rPr>
          <w:rFonts w:ascii="Verdana" w:hAnsi="Verdana"/>
          <w:sz w:val="16"/>
          <w:szCs w:val="16"/>
        </w:rPr>
        <w:t>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E8BB" w14:textId="77777777" w:rsidR="00AA39E1" w:rsidRDefault="00AA39E1">
    <w:pPr>
      <w:pStyle w:val="Koptekst"/>
    </w:pPr>
  </w:p>
  <w:p w14:paraId="50B325F2" w14:textId="77777777" w:rsidR="00E2567A" w:rsidRDefault="00E2567A"/>
  <w:p w14:paraId="290140E6" w14:textId="77777777" w:rsidR="00E2567A" w:rsidRDefault="00E2567A"/>
  <w:p w14:paraId="2E92F5B5" w14:textId="77777777" w:rsidR="00E2567A" w:rsidRDefault="00E2567A"/>
  <w:p w14:paraId="6442D2E1" w14:textId="77777777" w:rsidR="00E2567A" w:rsidRDefault="00E2567A"/>
  <w:p w14:paraId="62A3180F" w14:textId="77777777" w:rsidR="00E2567A" w:rsidRDefault="00E2567A"/>
  <w:p w14:paraId="3A4EE9DB" w14:textId="77777777" w:rsidR="00E2567A" w:rsidRDefault="00E2567A"/>
  <w:p w14:paraId="6FDC9B01" w14:textId="77777777" w:rsidR="00E2567A" w:rsidRDefault="00E25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7CE9" w14:textId="77777777" w:rsidR="00AA39E1" w:rsidRDefault="00AA39E1">
    <w:pPr>
      <w:pStyle w:val="Koptekst"/>
    </w:pPr>
  </w:p>
  <w:p w14:paraId="2D918D3A" w14:textId="77777777" w:rsidR="00E2567A" w:rsidRDefault="00E2567A"/>
  <w:p w14:paraId="5CD1D3AA" w14:textId="77777777" w:rsidR="00E2567A" w:rsidRDefault="00E2567A"/>
  <w:p w14:paraId="56095DF7" w14:textId="77777777" w:rsidR="00E2567A" w:rsidRDefault="00E2567A"/>
  <w:p w14:paraId="43235AEF" w14:textId="77777777" w:rsidR="00E2567A" w:rsidRDefault="00E2567A"/>
  <w:p w14:paraId="232CB344" w14:textId="77777777" w:rsidR="00E2567A" w:rsidRDefault="00E2567A"/>
  <w:p w14:paraId="3703648E" w14:textId="77777777" w:rsidR="00E2567A" w:rsidRDefault="00E2567A"/>
  <w:p w14:paraId="0D8AAC23" w14:textId="77777777" w:rsidR="00E2567A" w:rsidRDefault="00E256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234E68"/>
    <w:multiLevelType w:val="hybridMultilevel"/>
    <w:tmpl w:val="83164168"/>
    <w:lvl w:ilvl="0" w:tplc="B5505E3C">
      <w:start w:val="1"/>
      <w:numFmt w:val="bullet"/>
      <w:lvlText w:val=""/>
      <w:lvlJc w:val="left"/>
      <w:pPr>
        <w:ind w:left="720" w:hanging="360"/>
      </w:pPr>
      <w:rPr>
        <w:rFonts w:ascii="Symbol" w:hAnsi="Symbol"/>
      </w:rPr>
    </w:lvl>
    <w:lvl w:ilvl="1" w:tplc="8534AC26">
      <w:start w:val="1"/>
      <w:numFmt w:val="bullet"/>
      <w:lvlText w:val=""/>
      <w:lvlJc w:val="left"/>
      <w:pPr>
        <w:ind w:left="720" w:hanging="360"/>
      </w:pPr>
      <w:rPr>
        <w:rFonts w:ascii="Symbol" w:hAnsi="Symbol"/>
      </w:rPr>
    </w:lvl>
    <w:lvl w:ilvl="2" w:tplc="A8624AA4">
      <w:start w:val="1"/>
      <w:numFmt w:val="bullet"/>
      <w:lvlText w:val=""/>
      <w:lvlJc w:val="left"/>
      <w:pPr>
        <w:ind w:left="720" w:hanging="360"/>
      </w:pPr>
      <w:rPr>
        <w:rFonts w:ascii="Symbol" w:hAnsi="Symbol"/>
      </w:rPr>
    </w:lvl>
    <w:lvl w:ilvl="3" w:tplc="CC241C3C">
      <w:start w:val="1"/>
      <w:numFmt w:val="bullet"/>
      <w:lvlText w:val=""/>
      <w:lvlJc w:val="left"/>
      <w:pPr>
        <w:ind w:left="720" w:hanging="360"/>
      </w:pPr>
      <w:rPr>
        <w:rFonts w:ascii="Symbol" w:hAnsi="Symbol"/>
      </w:rPr>
    </w:lvl>
    <w:lvl w:ilvl="4" w:tplc="9F7E2C06">
      <w:start w:val="1"/>
      <w:numFmt w:val="bullet"/>
      <w:lvlText w:val=""/>
      <w:lvlJc w:val="left"/>
      <w:pPr>
        <w:ind w:left="720" w:hanging="360"/>
      </w:pPr>
      <w:rPr>
        <w:rFonts w:ascii="Symbol" w:hAnsi="Symbol"/>
      </w:rPr>
    </w:lvl>
    <w:lvl w:ilvl="5" w:tplc="600C05C2">
      <w:start w:val="1"/>
      <w:numFmt w:val="bullet"/>
      <w:lvlText w:val=""/>
      <w:lvlJc w:val="left"/>
      <w:pPr>
        <w:ind w:left="720" w:hanging="360"/>
      </w:pPr>
      <w:rPr>
        <w:rFonts w:ascii="Symbol" w:hAnsi="Symbol"/>
      </w:rPr>
    </w:lvl>
    <w:lvl w:ilvl="6" w:tplc="329297BA">
      <w:start w:val="1"/>
      <w:numFmt w:val="bullet"/>
      <w:lvlText w:val=""/>
      <w:lvlJc w:val="left"/>
      <w:pPr>
        <w:ind w:left="720" w:hanging="360"/>
      </w:pPr>
      <w:rPr>
        <w:rFonts w:ascii="Symbol" w:hAnsi="Symbol"/>
      </w:rPr>
    </w:lvl>
    <w:lvl w:ilvl="7" w:tplc="605E6E24">
      <w:start w:val="1"/>
      <w:numFmt w:val="bullet"/>
      <w:lvlText w:val=""/>
      <w:lvlJc w:val="left"/>
      <w:pPr>
        <w:ind w:left="720" w:hanging="360"/>
      </w:pPr>
      <w:rPr>
        <w:rFonts w:ascii="Symbol" w:hAnsi="Symbol"/>
      </w:rPr>
    </w:lvl>
    <w:lvl w:ilvl="8" w:tplc="ED462C2A">
      <w:start w:val="1"/>
      <w:numFmt w:val="bullet"/>
      <w:lvlText w:val=""/>
      <w:lvlJc w:val="left"/>
      <w:pPr>
        <w:ind w:left="720" w:hanging="360"/>
      </w:pPr>
      <w:rPr>
        <w:rFonts w:ascii="Symbol" w:hAnsi="Symbol"/>
      </w:rPr>
    </w:lvl>
  </w:abstractNum>
  <w:abstractNum w:abstractNumId="4" w15:restartNumberingAfterBreak="0">
    <w:nsid w:val="0ED66AB2"/>
    <w:multiLevelType w:val="hybridMultilevel"/>
    <w:tmpl w:val="ED00D008"/>
    <w:lvl w:ilvl="0" w:tplc="666A6DA4">
      <w:start w:val="1"/>
      <w:numFmt w:val="bullet"/>
      <w:lvlText w:val=""/>
      <w:lvlJc w:val="left"/>
      <w:pPr>
        <w:ind w:left="1440" w:hanging="360"/>
      </w:pPr>
      <w:rPr>
        <w:rFonts w:ascii="Symbol" w:hAnsi="Symbol"/>
      </w:rPr>
    </w:lvl>
    <w:lvl w:ilvl="1" w:tplc="BCEE9C6C">
      <w:start w:val="1"/>
      <w:numFmt w:val="bullet"/>
      <w:lvlText w:val=""/>
      <w:lvlJc w:val="left"/>
      <w:pPr>
        <w:ind w:left="1440" w:hanging="360"/>
      </w:pPr>
      <w:rPr>
        <w:rFonts w:ascii="Symbol" w:hAnsi="Symbol"/>
      </w:rPr>
    </w:lvl>
    <w:lvl w:ilvl="2" w:tplc="6972CCF0">
      <w:start w:val="1"/>
      <w:numFmt w:val="bullet"/>
      <w:lvlText w:val=""/>
      <w:lvlJc w:val="left"/>
      <w:pPr>
        <w:ind w:left="1440" w:hanging="360"/>
      </w:pPr>
      <w:rPr>
        <w:rFonts w:ascii="Symbol" w:hAnsi="Symbol"/>
      </w:rPr>
    </w:lvl>
    <w:lvl w:ilvl="3" w:tplc="A9D6FCBA">
      <w:start w:val="1"/>
      <w:numFmt w:val="bullet"/>
      <w:lvlText w:val=""/>
      <w:lvlJc w:val="left"/>
      <w:pPr>
        <w:ind w:left="1440" w:hanging="360"/>
      </w:pPr>
      <w:rPr>
        <w:rFonts w:ascii="Symbol" w:hAnsi="Symbol"/>
      </w:rPr>
    </w:lvl>
    <w:lvl w:ilvl="4" w:tplc="FEEE7A04">
      <w:start w:val="1"/>
      <w:numFmt w:val="bullet"/>
      <w:lvlText w:val=""/>
      <w:lvlJc w:val="left"/>
      <w:pPr>
        <w:ind w:left="1440" w:hanging="360"/>
      </w:pPr>
      <w:rPr>
        <w:rFonts w:ascii="Symbol" w:hAnsi="Symbol"/>
      </w:rPr>
    </w:lvl>
    <w:lvl w:ilvl="5" w:tplc="4A309F3C">
      <w:start w:val="1"/>
      <w:numFmt w:val="bullet"/>
      <w:lvlText w:val=""/>
      <w:lvlJc w:val="left"/>
      <w:pPr>
        <w:ind w:left="1440" w:hanging="360"/>
      </w:pPr>
      <w:rPr>
        <w:rFonts w:ascii="Symbol" w:hAnsi="Symbol"/>
      </w:rPr>
    </w:lvl>
    <w:lvl w:ilvl="6" w:tplc="3300DF18">
      <w:start w:val="1"/>
      <w:numFmt w:val="bullet"/>
      <w:lvlText w:val=""/>
      <w:lvlJc w:val="left"/>
      <w:pPr>
        <w:ind w:left="1440" w:hanging="360"/>
      </w:pPr>
      <w:rPr>
        <w:rFonts w:ascii="Symbol" w:hAnsi="Symbol"/>
      </w:rPr>
    </w:lvl>
    <w:lvl w:ilvl="7" w:tplc="4622E7D8">
      <w:start w:val="1"/>
      <w:numFmt w:val="bullet"/>
      <w:lvlText w:val=""/>
      <w:lvlJc w:val="left"/>
      <w:pPr>
        <w:ind w:left="1440" w:hanging="360"/>
      </w:pPr>
      <w:rPr>
        <w:rFonts w:ascii="Symbol" w:hAnsi="Symbol"/>
      </w:rPr>
    </w:lvl>
    <w:lvl w:ilvl="8" w:tplc="F41217CE">
      <w:start w:val="1"/>
      <w:numFmt w:val="bullet"/>
      <w:lvlText w:val=""/>
      <w:lvlJc w:val="left"/>
      <w:pPr>
        <w:ind w:left="1440" w:hanging="360"/>
      </w:pPr>
      <w:rPr>
        <w:rFonts w:ascii="Symbol" w:hAnsi="Symbol"/>
      </w:rPr>
    </w:lvl>
  </w:abstractNum>
  <w:abstractNum w:abstractNumId="5" w15:restartNumberingAfterBreak="0">
    <w:nsid w:val="100F3560"/>
    <w:multiLevelType w:val="hybridMultilevel"/>
    <w:tmpl w:val="CC44F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3F1D0E"/>
    <w:multiLevelType w:val="hybridMultilevel"/>
    <w:tmpl w:val="931C28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7925AB"/>
    <w:multiLevelType w:val="hybridMultilevel"/>
    <w:tmpl w:val="A1EC5F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8F1228D"/>
    <w:multiLevelType w:val="hybridMultilevel"/>
    <w:tmpl w:val="66984398"/>
    <w:lvl w:ilvl="0" w:tplc="8A2664A2">
      <w:start w:val="1"/>
      <w:numFmt w:val="bullet"/>
      <w:lvlText w:val=""/>
      <w:lvlJc w:val="left"/>
      <w:pPr>
        <w:ind w:left="720" w:hanging="360"/>
      </w:pPr>
      <w:rPr>
        <w:rFonts w:ascii="Symbol" w:hAnsi="Symbol"/>
      </w:rPr>
    </w:lvl>
    <w:lvl w:ilvl="1" w:tplc="07BE4EF8">
      <w:start w:val="1"/>
      <w:numFmt w:val="bullet"/>
      <w:lvlText w:val=""/>
      <w:lvlJc w:val="left"/>
      <w:pPr>
        <w:ind w:left="720" w:hanging="360"/>
      </w:pPr>
      <w:rPr>
        <w:rFonts w:ascii="Symbol" w:hAnsi="Symbol"/>
      </w:rPr>
    </w:lvl>
    <w:lvl w:ilvl="2" w:tplc="EEDE3E0A">
      <w:start w:val="1"/>
      <w:numFmt w:val="bullet"/>
      <w:lvlText w:val=""/>
      <w:lvlJc w:val="left"/>
      <w:pPr>
        <w:ind w:left="720" w:hanging="360"/>
      </w:pPr>
      <w:rPr>
        <w:rFonts w:ascii="Symbol" w:hAnsi="Symbol"/>
      </w:rPr>
    </w:lvl>
    <w:lvl w:ilvl="3" w:tplc="4F3AFC2E">
      <w:start w:val="1"/>
      <w:numFmt w:val="bullet"/>
      <w:lvlText w:val=""/>
      <w:lvlJc w:val="left"/>
      <w:pPr>
        <w:ind w:left="720" w:hanging="360"/>
      </w:pPr>
      <w:rPr>
        <w:rFonts w:ascii="Symbol" w:hAnsi="Symbol"/>
      </w:rPr>
    </w:lvl>
    <w:lvl w:ilvl="4" w:tplc="1DB4DB2C">
      <w:start w:val="1"/>
      <w:numFmt w:val="bullet"/>
      <w:lvlText w:val=""/>
      <w:lvlJc w:val="left"/>
      <w:pPr>
        <w:ind w:left="720" w:hanging="360"/>
      </w:pPr>
      <w:rPr>
        <w:rFonts w:ascii="Symbol" w:hAnsi="Symbol"/>
      </w:rPr>
    </w:lvl>
    <w:lvl w:ilvl="5" w:tplc="A112BD1C">
      <w:start w:val="1"/>
      <w:numFmt w:val="bullet"/>
      <w:lvlText w:val=""/>
      <w:lvlJc w:val="left"/>
      <w:pPr>
        <w:ind w:left="720" w:hanging="360"/>
      </w:pPr>
      <w:rPr>
        <w:rFonts w:ascii="Symbol" w:hAnsi="Symbol"/>
      </w:rPr>
    </w:lvl>
    <w:lvl w:ilvl="6" w:tplc="7D5A8A1C">
      <w:start w:val="1"/>
      <w:numFmt w:val="bullet"/>
      <w:lvlText w:val=""/>
      <w:lvlJc w:val="left"/>
      <w:pPr>
        <w:ind w:left="720" w:hanging="360"/>
      </w:pPr>
      <w:rPr>
        <w:rFonts w:ascii="Symbol" w:hAnsi="Symbol"/>
      </w:rPr>
    </w:lvl>
    <w:lvl w:ilvl="7" w:tplc="CA7C95D2">
      <w:start w:val="1"/>
      <w:numFmt w:val="bullet"/>
      <w:lvlText w:val=""/>
      <w:lvlJc w:val="left"/>
      <w:pPr>
        <w:ind w:left="720" w:hanging="360"/>
      </w:pPr>
      <w:rPr>
        <w:rFonts w:ascii="Symbol" w:hAnsi="Symbol"/>
      </w:rPr>
    </w:lvl>
    <w:lvl w:ilvl="8" w:tplc="29BC7CBC">
      <w:start w:val="1"/>
      <w:numFmt w:val="bullet"/>
      <w:lvlText w:val=""/>
      <w:lvlJc w:val="left"/>
      <w:pPr>
        <w:ind w:left="720" w:hanging="360"/>
      </w:pPr>
      <w:rPr>
        <w:rFonts w:ascii="Symbol" w:hAnsi="Symbol"/>
      </w:rPr>
    </w:lvl>
  </w:abstractNum>
  <w:abstractNum w:abstractNumId="12" w15:restartNumberingAfterBreak="0">
    <w:nsid w:val="3A2F591C"/>
    <w:multiLevelType w:val="hybridMultilevel"/>
    <w:tmpl w:val="BD609570"/>
    <w:lvl w:ilvl="0" w:tplc="7A383ABE">
      <w:start w:val="1"/>
      <w:numFmt w:val="bullet"/>
      <w:lvlText w:val=""/>
      <w:lvlJc w:val="left"/>
      <w:pPr>
        <w:ind w:left="1440" w:hanging="360"/>
      </w:pPr>
      <w:rPr>
        <w:rFonts w:ascii="Symbol" w:hAnsi="Symbol"/>
      </w:rPr>
    </w:lvl>
    <w:lvl w:ilvl="1" w:tplc="DA7E9F92">
      <w:start w:val="1"/>
      <w:numFmt w:val="bullet"/>
      <w:lvlText w:val=""/>
      <w:lvlJc w:val="left"/>
      <w:pPr>
        <w:ind w:left="1440" w:hanging="360"/>
      </w:pPr>
      <w:rPr>
        <w:rFonts w:ascii="Symbol" w:hAnsi="Symbol"/>
      </w:rPr>
    </w:lvl>
    <w:lvl w:ilvl="2" w:tplc="271CA1C6">
      <w:start w:val="1"/>
      <w:numFmt w:val="bullet"/>
      <w:lvlText w:val=""/>
      <w:lvlJc w:val="left"/>
      <w:pPr>
        <w:ind w:left="1440" w:hanging="360"/>
      </w:pPr>
      <w:rPr>
        <w:rFonts w:ascii="Symbol" w:hAnsi="Symbol"/>
      </w:rPr>
    </w:lvl>
    <w:lvl w:ilvl="3" w:tplc="AE1AB256">
      <w:start w:val="1"/>
      <w:numFmt w:val="bullet"/>
      <w:lvlText w:val=""/>
      <w:lvlJc w:val="left"/>
      <w:pPr>
        <w:ind w:left="1440" w:hanging="360"/>
      </w:pPr>
      <w:rPr>
        <w:rFonts w:ascii="Symbol" w:hAnsi="Symbol"/>
      </w:rPr>
    </w:lvl>
    <w:lvl w:ilvl="4" w:tplc="40EAD832">
      <w:start w:val="1"/>
      <w:numFmt w:val="bullet"/>
      <w:lvlText w:val=""/>
      <w:lvlJc w:val="left"/>
      <w:pPr>
        <w:ind w:left="1440" w:hanging="360"/>
      </w:pPr>
      <w:rPr>
        <w:rFonts w:ascii="Symbol" w:hAnsi="Symbol"/>
      </w:rPr>
    </w:lvl>
    <w:lvl w:ilvl="5" w:tplc="A83C8FCC">
      <w:start w:val="1"/>
      <w:numFmt w:val="bullet"/>
      <w:lvlText w:val=""/>
      <w:lvlJc w:val="left"/>
      <w:pPr>
        <w:ind w:left="1440" w:hanging="360"/>
      </w:pPr>
      <w:rPr>
        <w:rFonts w:ascii="Symbol" w:hAnsi="Symbol"/>
      </w:rPr>
    </w:lvl>
    <w:lvl w:ilvl="6" w:tplc="121034E6">
      <w:start w:val="1"/>
      <w:numFmt w:val="bullet"/>
      <w:lvlText w:val=""/>
      <w:lvlJc w:val="left"/>
      <w:pPr>
        <w:ind w:left="1440" w:hanging="360"/>
      </w:pPr>
      <w:rPr>
        <w:rFonts w:ascii="Symbol" w:hAnsi="Symbol"/>
      </w:rPr>
    </w:lvl>
    <w:lvl w:ilvl="7" w:tplc="DF321038">
      <w:start w:val="1"/>
      <w:numFmt w:val="bullet"/>
      <w:lvlText w:val=""/>
      <w:lvlJc w:val="left"/>
      <w:pPr>
        <w:ind w:left="1440" w:hanging="360"/>
      </w:pPr>
      <w:rPr>
        <w:rFonts w:ascii="Symbol" w:hAnsi="Symbol"/>
      </w:rPr>
    </w:lvl>
    <w:lvl w:ilvl="8" w:tplc="8F84452C">
      <w:start w:val="1"/>
      <w:numFmt w:val="bullet"/>
      <w:lvlText w:val=""/>
      <w:lvlJc w:val="left"/>
      <w:pPr>
        <w:ind w:left="1440" w:hanging="360"/>
      </w:pPr>
      <w:rPr>
        <w:rFonts w:ascii="Symbol" w:hAnsi="Symbol"/>
      </w:rPr>
    </w:lvl>
  </w:abstractNum>
  <w:abstractNum w:abstractNumId="13"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42F6FC1"/>
    <w:multiLevelType w:val="hybridMultilevel"/>
    <w:tmpl w:val="1160F0D4"/>
    <w:lvl w:ilvl="0" w:tplc="7B46C088">
      <w:start w:val="1"/>
      <w:numFmt w:val="bullet"/>
      <w:lvlText w:val=""/>
      <w:lvlJc w:val="left"/>
      <w:pPr>
        <w:ind w:left="720" w:hanging="360"/>
      </w:pPr>
      <w:rPr>
        <w:rFonts w:ascii="Symbol" w:hAnsi="Symbol"/>
      </w:rPr>
    </w:lvl>
    <w:lvl w:ilvl="1" w:tplc="9D763036">
      <w:start w:val="1"/>
      <w:numFmt w:val="bullet"/>
      <w:lvlText w:val=""/>
      <w:lvlJc w:val="left"/>
      <w:pPr>
        <w:ind w:left="720" w:hanging="360"/>
      </w:pPr>
      <w:rPr>
        <w:rFonts w:ascii="Symbol" w:hAnsi="Symbol"/>
      </w:rPr>
    </w:lvl>
    <w:lvl w:ilvl="2" w:tplc="18ACE2CE">
      <w:start w:val="1"/>
      <w:numFmt w:val="bullet"/>
      <w:lvlText w:val=""/>
      <w:lvlJc w:val="left"/>
      <w:pPr>
        <w:ind w:left="720" w:hanging="360"/>
      </w:pPr>
      <w:rPr>
        <w:rFonts w:ascii="Symbol" w:hAnsi="Symbol"/>
      </w:rPr>
    </w:lvl>
    <w:lvl w:ilvl="3" w:tplc="74CC16A2">
      <w:start w:val="1"/>
      <w:numFmt w:val="bullet"/>
      <w:lvlText w:val=""/>
      <w:lvlJc w:val="left"/>
      <w:pPr>
        <w:ind w:left="720" w:hanging="360"/>
      </w:pPr>
      <w:rPr>
        <w:rFonts w:ascii="Symbol" w:hAnsi="Symbol"/>
      </w:rPr>
    </w:lvl>
    <w:lvl w:ilvl="4" w:tplc="C29A04FC">
      <w:start w:val="1"/>
      <w:numFmt w:val="bullet"/>
      <w:lvlText w:val=""/>
      <w:lvlJc w:val="left"/>
      <w:pPr>
        <w:ind w:left="720" w:hanging="360"/>
      </w:pPr>
      <w:rPr>
        <w:rFonts w:ascii="Symbol" w:hAnsi="Symbol"/>
      </w:rPr>
    </w:lvl>
    <w:lvl w:ilvl="5" w:tplc="A15A678A">
      <w:start w:val="1"/>
      <w:numFmt w:val="bullet"/>
      <w:lvlText w:val=""/>
      <w:lvlJc w:val="left"/>
      <w:pPr>
        <w:ind w:left="720" w:hanging="360"/>
      </w:pPr>
      <w:rPr>
        <w:rFonts w:ascii="Symbol" w:hAnsi="Symbol"/>
      </w:rPr>
    </w:lvl>
    <w:lvl w:ilvl="6" w:tplc="A3603642">
      <w:start w:val="1"/>
      <w:numFmt w:val="bullet"/>
      <w:lvlText w:val=""/>
      <w:lvlJc w:val="left"/>
      <w:pPr>
        <w:ind w:left="720" w:hanging="360"/>
      </w:pPr>
      <w:rPr>
        <w:rFonts w:ascii="Symbol" w:hAnsi="Symbol"/>
      </w:rPr>
    </w:lvl>
    <w:lvl w:ilvl="7" w:tplc="0BE22FBC">
      <w:start w:val="1"/>
      <w:numFmt w:val="bullet"/>
      <w:lvlText w:val=""/>
      <w:lvlJc w:val="left"/>
      <w:pPr>
        <w:ind w:left="720" w:hanging="360"/>
      </w:pPr>
      <w:rPr>
        <w:rFonts w:ascii="Symbol" w:hAnsi="Symbol"/>
      </w:rPr>
    </w:lvl>
    <w:lvl w:ilvl="8" w:tplc="AC92EC42">
      <w:start w:val="1"/>
      <w:numFmt w:val="bullet"/>
      <w:lvlText w:val=""/>
      <w:lvlJc w:val="left"/>
      <w:pPr>
        <w:ind w:left="720" w:hanging="360"/>
      </w:pPr>
      <w:rPr>
        <w:rFonts w:ascii="Symbol" w:hAnsi="Symbol"/>
      </w:rPr>
    </w:lvl>
  </w:abstractNum>
  <w:abstractNum w:abstractNumId="15" w15:restartNumberingAfterBreak="0">
    <w:nsid w:val="465560CE"/>
    <w:multiLevelType w:val="hybridMultilevel"/>
    <w:tmpl w:val="F2D44C6C"/>
    <w:lvl w:ilvl="0" w:tplc="2076C466">
      <w:start w:val="1"/>
      <w:numFmt w:val="bullet"/>
      <w:lvlText w:val=""/>
      <w:lvlJc w:val="left"/>
      <w:pPr>
        <w:ind w:left="720" w:hanging="360"/>
      </w:pPr>
      <w:rPr>
        <w:rFonts w:ascii="Symbol" w:hAnsi="Symbol"/>
      </w:rPr>
    </w:lvl>
    <w:lvl w:ilvl="1" w:tplc="054A33CA">
      <w:start w:val="1"/>
      <w:numFmt w:val="bullet"/>
      <w:lvlText w:val=""/>
      <w:lvlJc w:val="left"/>
      <w:pPr>
        <w:ind w:left="720" w:hanging="360"/>
      </w:pPr>
      <w:rPr>
        <w:rFonts w:ascii="Symbol" w:hAnsi="Symbol"/>
      </w:rPr>
    </w:lvl>
    <w:lvl w:ilvl="2" w:tplc="3AC291BC">
      <w:start w:val="1"/>
      <w:numFmt w:val="bullet"/>
      <w:lvlText w:val=""/>
      <w:lvlJc w:val="left"/>
      <w:pPr>
        <w:ind w:left="720" w:hanging="360"/>
      </w:pPr>
      <w:rPr>
        <w:rFonts w:ascii="Symbol" w:hAnsi="Symbol"/>
      </w:rPr>
    </w:lvl>
    <w:lvl w:ilvl="3" w:tplc="51F6AD9E">
      <w:start w:val="1"/>
      <w:numFmt w:val="bullet"/>
      <w:lvlText w:val=""/>
      <w:lvlJc w:val="left"/>
      <w:pPr>
        <w:ind w:left="720" w:hanging="360"/>
      </w:pPr>
      <w:rPr>
        <w:rFonts w:ascii="Symbol" w:hAnsi="Symbol"/>
      </w:rPr>
    </w:lvl>
    <w:lvl w:ilvl="4" w:tplc="F56CDDA6">
      <w:start w:val="1"/>
      <w:numFmt w:val="bullet"/>
      <w:lvlText w:val=""/>
      <w:lvlJc w:val="left"/>
      <w:pPr>
        <w:ind w:left="720" w:hanging="360"/>
      </w:pPr>
      <w:rPr>
        <w:rFonts w:ascii="Symbol" w:hAnsi="Symbol"/>
      </w:rPr>
    </w:lvl>
    <w:lvl w:ilvl="5" w:tplc="E1F658B2">
      <w:start w:val="1"/>
      <w:numFmt w:val="bullet"/>
      <w:lvlText w:val=""/>
      <w:lvlJc w:val="left"/>
      <w:pPr>
        <w:ind w:left="720" w:hanging="360"/>
      </w:pPr>
      <w:rPr>
        <w:rFonts w:ascii="Symbol" w:hAnsi="Symbol"/>
      </w:rPr>
    </w:lvl>
    <w:lvl w:ilvl="6" w:tplc="FC969680">
      <w:start w:val="1"/>
      <w:numFmt w:val="bullet"/>
      <w:lvlText w:val=""/>
      <w:lvlJc w:val="left"/>
      <w:pPr>
        <w:ind w:left="720" w:hanging="360"/>
      </w:pPr>
      <w:rPr>
        <w:rFonts w:ascii="Symbol" w:hAnsi="Symbol"/>
      </w:rPr>
    </w:lvl>
    <w:lvl w:ilvl="7" w:tplc="1CA6501A">
      <w:start w:val="1"/>
      <w:numFmt w:val="bullet"/>
      <w:lvlText w:val=""/>
      <w:lvlJc w:val="left"/>
      <w:pPr>
        <w:ind w:left="720" w:hanging="360"/>
      </w:pPr>
      <w:rPr>
        <w:rFonts w:ascii="Symbol" w:hAnsi="Symbol"/>
      </w:rPr>
    </w:lvl>
    <w:lvl w:ilvl="8" w:tplc="5E240884">
      <w:start w:val="1"/>
      <w:numFmt w:val="bullet"/>
      <w:lvlText w:val=""/>
      <w:lvlJc w:val="left"/>
      <w:pPr>
        <w:ind w:left="720" w:hanging="360"/>
      </w:pPr>
      <w:rPr>
        <w:rFonts w:ascii="Symbol" w:hAnsi="Symbol"/>
      </w:rPr>
    </w:lvl>
  </w:abstractNum>
  <w:abstractNum w:abstractNumId="16" w15:restartNumberingAfterBreak="0">
    <w:nsid w:val="48081834"/>
    <w:multiLevelType w:val="hybridMultilevel"/>
    <w:tmpl w:val="83A26FD8"/>
    <w:lvl w:ilvl="0" w:tplc="17E27856">
      <w:start w:val="1"/>
      <w:numFmt w:val="bullet"/>
      <w:lvlText w:val=""/>
      <w:lvlJc w:val="left"/>
      <w:pPr>
        <w:ind w:left="1440" w:hanging="360"/>
      </w:pPr>
      <w:rPr>
        <w:rFonts w:ascii="Symbol" w:hAnsi="Symbol"/>
      </w:rPr>
    </w:lvl>
    <w:lvl w:ilvl="1" w:tplc="0F80EF16">
      <w:start w:val="1"/>
      <w:numFmt w:val="bullet"/>
      <w:lvlText w:val=""/>
      <w:lvlJc w:val="left"/>
      <w:pPr>
        <w:ind w:left="1440" w:hanging="360"/>
      </w:pPr>
      <w:rPr>
        <w:rFonts w:ascii="Symbol" w:hAnsi="Symbol"/>
      </w:rPr>
    </w:lvl>
    <w:lvl w:ilvl="2" w:tplc="C93C7E92">
      <w:start w:val="1"/>
      <w:numFmt w:val="bullet"/>
      <w:lvlText w:val=""/>
      <w:lvlJc w:val="left"/>
      <w:pPr>
        <w:ind w:left="1440" w:hanging="360"/>
      </w:pPr>
      <w:rPr>
        <w:rFonts w:ascii="Symbol" w:hAnsi="Symbol"/>
      </w:rPr>
    </w:lvl>
    <w:lvl w:ilvl="3" w:tplc="3EE2E5FA">
      <w:start w:val="1"/>
      <w:numFmt w:val="bullet"/>
      <w:lvlText w:val=""/>
      <w:lvlJc w:val="left"/>
      <w:pPr>
        <w:ind w:left="1440" w:hanging="360"/>
      </w:pPr>
      <w:rPr>
        <w:rFonts w:ascii="Symbol" w:hAnsi="Symbol"/>
      </w:rPr>
    </w:lvl>
    <w:lvl w:ilvl="4" w:tplc="591C1680">
      <w:start w:val="1"/>
      <w:numFmt w:val="bullet"/>
      <w:lvlText w:val=""/>
      <w:lvlJc w:val="left"/>
      <w:pPr>
        <w:ind w:left="1440" w:hanging="360"/>
      </w:pPr>
      <w:rPr>
        <w:rFonts w:ascii="Symbol" w:hAnsi="Symbol"/>
      </w:rPr>
    </w:lvl>
    <w:lvl w:ilvl="5" w:tplc="87ECD30E">
      <w:start w:val="1"/>
      <w:numFmt w:val="bullet"/>
      <w:lvlText w:val=""/>
      <w:lvlJc w:val="left"/>
      <w:pPr>
        <w:ind w:left="1440" w:hanging="360"/>
      </w:pPr>
      <w:rPr>
        <w:rFonts w:ascii="Symbol" w:hAnsi="Symbol"/>
      </w:rPr>
    </w:lvl>
    <w:lvl w:ilvl="6" w:tplc="67FEEAE8">
      <w:start w:val="1"/>
      <w:numFmt w:val="bullet"/>
      <w:lvlText w:val=""/>
      <w:lvlJc w:val="left"/>
      <w:pPr>
        <w:ind w:left="1440" w:hanging="360"/>
      </w:pPr>
      <w:rPr>
        <w:rFonts w:ascii="Symbol" w:hAnsi="Symbol"/>
      </w:rPr>
    </w:lvl>
    <w:lvl w:ilvl="7" w:tplc="78A6DB80">
      <w:start w:val="1"/>
      <w:numFmt w:val="bullet"/>
      <w:lvlText w:val=""/>
      <w:lvlJc w:val="left"/>
      <w:pPr>
        <w:ind w:left="1440" w:hanging="360"/>
      </w:pPr>
      <w:rPr>
        <w:rFonts w:ascii="Symbol" w:hAnsi="Symbol"/>
      </w:rPr>
    </w:lvl>
    <w:lvl w:ilvl="8" w:tplc="69EE52BC">
      <w:start w:val="1"/>
      <w:numFmt w:val="bullet"/>
      <w:lvlText w:val=""/>
      <w:lvlJc w:val="left"/>
      <w:pPr>
        <w:ind w:left="1440" w:hanging="360"/>
      </w:pPr>
      <w:rPr>
        <w:rFonts w:ascii="Symbol" w:hAnsi="Symbol"/>
      </w:rPr>
    </w:lvl>
  </w:abstractNum>
  <w:abstractNum w:abstractNumId="1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BA0649"/>
    <w:multiLevelType w:val="hybridMultilevel"/>
    <w:tmpl w:val="AD365D04"/>
    <w:lvl w:ilvl="0" w:tplc="FDAC5C2A">
      <w:start w:val="1"/>
      <w:numFmt w:val="bullet"/>
      <w:lvlText w:val=""/>
      <w:lvlJc w:val="left"/>
      <w:pPr>
        <w:ind w:left="1440" w:hanging="360"/>
      </w:pPr>
      <w:rPr>
        <w:rFonts w:ascii="Symbol" w:hAnsi="Symbol"/>
      </w:rPr>
    </w:lvl>
    <w:lvl w:ilvl="1" w:tplc="0B202054">
      <w:start w:val="1"/>
      <w:numFmt w:val="bullet"/>
      <w:lvlText w:val=""/>
      <w:lvlJc w:val="left"/>
      <w:pPr>
        <w:ind w:left="1440" w:hanging="360"/>
      </w:pPr>
      <w:rPr>
        <w:rFonts w:ascii="Symbol" w:hAnsi="Symbol"/>
      </w:rPr>
    </w:lvl>
    <w:lvl w:ilvl="2" w:tplc="8836262E">
      <w:start w:val="1"/>
      <w:numFmt w:val="bullet"/>
      <w:lvlText w:val=""/>
      <w:lvlJc w:val="left"/>
      <w:pPr>
        <w:ind w:left="1440" w:hanging="360"/>
      </w:pPr>
      <w:rPr>
        <w:rFonts w:ascii="Symbol" w:hAnsi="Symbol"/>
      </w:rPr>
    </w:lvl>
    <w:lvl w:ilvl="3" w:tplc="3E8AABF6">
      <w:start w:val="1"/>
      <w:numFmt w:val="bullet"/>
      <w:lvlText w:val=""/>
      <w:lvlJc w:val="left"/>
      <w:pPr>
        <w:ind w:left="1440" w:hanging="360"/>
      </w:pPr>
      <w:rPr>
        <w:rFonts w:ascii="Symbol" w:hAnsi="Symbol"/>
      </w:rPr>
    </w:lvl>
    <w:lvl w:ilvl="4" w:tplc="6EE4A9C6">
      <w:start w:val="1"/>
      <w:numFmt w:val="bullet"/>
      <w:lvlText w:val=""/>
      <w:lvlJc w:val="left"/>
      <w:pPr>
        <w:ind w:left="1440" w:hanging="360"/>
      </w:pPr>
      <w:rPr>
        <w:rFonts w:ascii="Symbol" w:hAnsi="Symbol"/>
      </w:rPr>
    </w:lvl>
    <w:lvl w:ilvl="5" w:tplc="C5B68E62">
      <w:start w:val="1"/>
      <w:numFmt w:val="bullet"/>
      <w:lvlText w:val=""/>
      <w:lvlJc w:val="left"/>
      <w:pPr>
        <w:ind w:left="1440" w:hanging="360"/>
      </w:pPr>
      <w:rPr>
        <w:rFonts w:ascii="Symbol" w:hAnsi="Symbol"/>
      </w:rPr>
    </w:lvl>
    <w:lvl w:ilvl="6" w:tplc="D73A8C22">
      <w:start w:val="1"/>
      <w:numFmt w:val="bullet"/>
      <w:lvlText w:val=""/>
      <w:lvlJc w:val="left"/>
      <w:pPr>
        <w:ind w:left="1440" w:hanging="360"/>
      </w:pPr>
      <w:rPr>
        <w:rFonts w:ascii="Symbol" w:hAnsi="Symbol"/>
      </w:rPr>
    </w:lvl>
    <w:lvl w:ilvl="7" w:tplc="620260DC">
      <w:start w:val="1"/>
      <w:numFmt w:val="bullet"/>
      <w:lvlText w:val=""/>
      <w:lvlJc w:val="left"/>
      <w:pPr>
        <w:ind w:left="1440" w:hanging="360"/>
      </w:pPr>
      <w:rPr>
        <w:rFonts w:ascii="Symbol" w:hAnsi="Symbol"/>
      </w:rPr>
    </w:lvl>
    <w:lvl w:ilvl="8" w:tplc="36AA6932">
      <w:start w:val="1"/>
      <w:numFmt w:val="bullet"/>
      <w:lvlText w:val=""/>
      <w:lvlJc w:val="left"/>
      <w:pPr>
        <w:ind w:left="1440" w:hanging="360"/>
      </w:pPr>
      <w:rPr>
        <w:rFonts w:ascii="Symbol" w:hAnsi="Symbol"/>
      </w:rPr>
    </w:lvl>
  </w:abstractNum>
  <w:abstractNum w:abstractNumId="1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C47B94"/>
    <w:multiLevelType w:val="hybridMultilevel"/>
    <w:tmpl w:val="51324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035CE9"/>
    <w:multiLevelType w:val="hybridMultilevel"/>
    <w:tmpl w:val="2B40A652"/>
    <w:lvl w:ilvl="0" w:tplc="18FCDAF0">
      <w:start w:val="1"/>
      <w:numFmt w:val="bullet"/>
      <w:lvlText w:val=""/>
      <w:lvlJc w:val="left"/>
      <w:pPr>
        <w:ind w:left="1440" w:hanging="360"/>
      </w:pPr>
      <w:rPr>
        <w:rFonts w:ascii="Symbol" w:hAnsi="Symbol"/>
      </w:rPr>
    </w:lvl>
    <w:lvl w:ilvl="1" w:tplc="D59429DE">
      <w:start w:val="1"/>
      <w:numFmt w:val="bullet"/>
      <w:lvlText w:val=""/>
      <w:lvlJc w:val="left"/>
      <w:pPr>
        <w:ind w:left="1440" w:hanging="360"/>
      </w:pPr>
      <w:rPr>
        <w:rFonts w:ascii="Symbol" w:hAnsi="Symbol"/>
      </w:rPr>
    </w:lvl>
    <w:lvl w:ilvl="2" w:tplc="A6604F12">
      <w:start w:val="1"/>
      <w:numFmt w:val="bullet"/>
      <w:lvlText w:val=""/>
      <w:lvlJc w:val="left"/>
      <w:pPr>
        <w:ind w:left="1440" w:hanging="360"/>
      </w:pPr>
      <w:rPr>
        <w:rFonts w:ascii="Symbol" w:hAnsi="Symbol"/>
      </w:rPr>
    </w:lvl>
    <w:lvl w:ilvl="3" w:tplc="D6FACA26">
      <w:start w:val="1"/>
      <w:numFmt w:val="bullet"/>
      <w:lvlText w:val=""/>
      <w:lvlJc w:val="left"/>
      <w:pPr>
        <w:ind w:left="1440" w:hanging="360"/>
      </w:pPr>
      <w:rPr>
        <w:rFonts w:ascii="Symbol" w:hAnsi="Symbol"/>
      </w:rPr>
    </w:lvl>
    <w:lvl w:ilvl="4" w:tplc="D2EE8A56">
      <w:start w:val="1"/>
      <w:numFmt w:val="bullet"/>
      <w:lvlText w:val=""/>
      <w:lvlJc w:val="left"/>
      <w:pPr>
        <w:ind w:left="1440" w:hanging="360"/>
      </w:pPr>
      <w:rPr>
        <w:rFonts w:ascii="Symbol" w:hAnsi="Symbol"/>
      </w:rPr>
    </w:lvl>
    <w:lvl w:ilvl="5" w:tplc="996E9EE0">
      <w:start w:val="1"/>
      <w:numFmt w:val="bullet"/>
      <w:lvlText w:val=""/>
      <w:lvlJc w:val="left"/>
      <w:pPr>
        <w:ind w:left="1440" w:hanging="360"/>
      </w:pPr>
      <w:rPr>
        <w:rFonts w:ascii="Symbol" w:hAnsi="Symbol"/>
      </w:rPr>
    </w:lvl>
    <w:lvl w:ilvl="6" w:tplc="8B84B19A">
      <w:start w:val="1"/>
      <w:numFmt w:val="bullet"/>
      <w:lvlText w:val=""/>
      <w:lvlJc w:val="left"/>
      <w:pPr>
        <w:ind w:left="1440" w:hanging="360"/>
      </w:pPr>
      <w:rPr>
        <w:rFonts w:ascii="Symbol" w:hAnsi="Symbol"/>
      </w:rPr>
    </w:lvl>
    <w:lvl w:ilvl="7" w:tplc="ED5A5230">
      <w:start w:val="1"/>
      <w:numFmt w:val="bullet"/>
      <w:lvlText w:val=""/>
      <w:lvlJc w:val="left"/>
      <w:pPr>
        <w:ind w:left="1440" w:hanging="360"/>
      </w:pPr>
      <w:rPr>
        <w:rFonts w:ascii="Symbol" w:hAnsi="Symbol"/>
      </w:rPr>
    </w:lvl>
    <w:lvl w:ilvl="8" w:tplc="6C903392">
      <w:start w:val="1"/>
      <w:numFmt w:val="bullet"/>
      <w:lvlText w:val=""/>
      <w:lvlJc w:val="left"/>
      <w:pPr>
        <w:ind w:left="1440" w:hanging="360"/>
      </w:pPr>
      <w:rPr>
        <w:rFonts w:ascii="Symbol" w:hAnsi="Symbol"/>
      </w:rPr>
    </w:lvl>
  </w:abstractNum>
  <w:abstractNum w:abstractNumId="22" w15:restartNumberingAfterBreak="0">
    <w:nsid w:val="5F9343B7"/>
    <w:multiLevelType w:val="hybridMultilevel"/>
    <w:tmpl w:val="28F0D400"/>
    <w:lvl w:ilvl="0" w:tplc="AD728E6A">
      <w:start w:val="1"/>
      <w:numFmt w:val="bullet"/>
      <w:lvlText w:val=""/>
      <w:lvlJc w:val="left"/>
      <w:pPr>
        <w:ind w:left="1440" w:hanging="360"/>
      </w:pPr>
      <w:rPr>
        <w:rFonts w:ascii="Symbol" w:hAnsi="Symbol"/>
      </w:rPr>
    </w:lvl>
    <w:lvl w:ilvl="1" w:tplc="22821600">
      <w:start w:val="1"/>
      <w:numFmt w:val="bullet"/>
      <w:lvlText w:val=""/>
      <w:lvlJc w:val="left"/>
      <w:pPr>
        <w:ind w:left="1440" w:hanging="360"/>
      </w:pPr>
      <w:rPr>
        <w:rFonts w:ascii="Symbol" w:hAnsi="Symbol"/>
      </w:rPr>
    </w:lvl>
    <w:lvl w:ilvl="2" w:tplc="75DC0916">
      <w:start w:val="1"/>
      <w:numFmt w:val="bullet"/>
      <w:lvlText w:val=""/>
      <w:lvlJc w:val="left"/>
      <w:pPr>
        <w:ind w:left="1440" w:hanging="360"/>
      </w:pPr>
      <w:rPr>
        <w:rFonts w:ascii="Symbol" w:hAnsi="Symbol"/>
      </w:rPr>
    </w:lvl>
    <w:lvl w:ilvl="3" w:tplc="DAFA49AC">
      <w:start w:val="1"/>
      <w:numFmt w:val="bullet"/>
      <w:lvlText w:val=""/>
      <w:lvlJc w:val="left"/>
      <w:pPr>
        <w:ind w:left="1440" w:hanging="360"/>
      </w:pPr>
      <w:rPr>
        <w:rFonts w:ascii="Symbol" w:hAnsi="Symbol"/>
      </w:rPr>
    </w:lvl>
    <w:lvl w:ilvl="4" w:tplc="B59E265A">
      <w:start w:val="1"/>
      <w:numFmt w:val="bullet"/>
      <w:lvlText w:val=""/>
      <w:lvlJc w:val="left"/>
      <w:pPr>
        <w:ind w:left="1440" w:hanging="360"/>
      </w:pPr>
      <w:rPr>
        <w:rFonts w:ascii="Symbol" w:hAnsi="Symbol"/>
      </w:rPr>
    </w:lvl>
    <w:lvl w:ilvl="5" w:tplc="98CE8112">
      <w:start w:val="1"/>
      <w:numFmt w:val="bullet"/>
      <w:lvlText w:val=""/>
      <w:lvlJc w:val="left"/>
      <w:pPr>
        <w:ind w:left="1440" w:hanging="360"/>
      </w:pPr>
      <w:rPr>
        <w:rFonts w:ascii="Symbol" w:hAnsi="Symbol"/>
      </w:rPr>
    </w:lvl>
    <w:lvl w:ilvl="6" w:tplc="0F046A7C">
      <w:start w:val="1"/>
      <w:numFmt w:val="bullet"/>
      <w:lvlText w:val=""/>
      <w:lvlJc w:val="left"/>
      <w:pPr>
        <w:ind w:left="1440" w:hanging="360"/>
      </w:pPr>
      <w:rPr>
        <w:rFonts w:ascii="Symbol" w:hAnsi="Symbol"/>
      </w:rPr>
    </w:lvl>
    <w:lvl w:ilvl="7" w:tplc="6D1A1124">
      <w:start w:val="1"/>
      <w:numFmt w:val="bullet"/>
      <w:lvlText w:val=""/>
      <w:lvlJc w:val="left"/>
      <w:pPr>
        <w:ind w:left="1440" w:hanging="360"/>
      </w:pPr>
      <w:rPr>
        <w:rFonts w:ascii="Symbol" w:hAnsi="Symbol"/>
      </w:rPr>
    </w:lvl>
    <w:lvl w:ilvl="8" w:tplc="D8362FA4">
      <w:start w:val="1"/>
      <w:numFmt w:val="bullet"/>
      <w:lvlText w:val=""/>
      <w:lvlJc w:val="left"/>
      <w:pPr>
        <w:ind w:left="1440" w:hanging="360"/>
      </w:pPr>
      <w:rPr>
        <w:rFonts w:ascii="Symbol" w:hAnsi="Symbol"/>
      </w:rPr>
    </w:lvl>
  </w:abstractNum>
  <w:abstractNum w:abstractNumId="23" w15:restartNumberingAfterBreak="0">
    <w:nsid w:val="606B4290"/>
    <w:multiLevelType w:val="hybridMultilevel"/>
    <w:tmpl w:val="AFFE35BA"/>
    <w:lvl w:ilvl="0" w:tplc="A1B6673C">
      <w:start w:val="1"/>
      <w:numFmt w:val="bullet"/>
      <w:lvlText w:val=""/>
      <w:lvlJc w:val="left"/>
      <w:pPr>
        <w:ind w:left="1440" w:hanging="360"/>
      </w:pPr>
      <w:rPr>
        <w:rFonts w:ascii="Symbol" w:hAnsi="Symbol"/>
      </w:rPr>
    </w:lvl>
    <w:lvl w:ilvl="1" w:tplc="F196B37A">
      <w:start w:val="1"/>
      <w:numFmt w:val="bullet"/>
      <w:lvlText w:val=""/>
      <w:lvlJc w:val="left"/>
      <w:pPr>
        <w:ind w:left="1440" w:hanging="360"/>
      </w:pPr>
      <w:rPr>
        <w:rFonts w:ascii="Symbol" w:hAnsi="Symbol"/>
      </w:rPr>
    </w:lvl>
    <w:lvl w:ilvl="2" w:tplc="CA943A04">
      <w:start w:val="1"/>
      <w:numFmt w:val="bullet"/>
      <w:lvlText w:val=""/>
      <w:lvlJc w:val="left"/>
      <w:pPr>
        <w:ind w:left="1440" w:hanging="360"/>
      </w:pPr>
      <w:rPr>
        <w:rFonts w:ascii="Symbol" w:hAnsi="Symbol"/>
      </w:rPr>
    </w:lvl>
    <w:lvl w:ilvl="3" w:tplc="2D767070">
      <w:start w:val="1"/>
      <w:numFmt w:val="bullet"/>
      <w:lvlText w:val=""/>
      <w:lvlJc w:val="left"/>
      <w:pPr>
        <w:ind w:left="1440" w:hanging="360"/>
      </w:pPr>
      <w:rPr>
        <w:rFonts w:ascii="Symbol" w:hAnsi="Symbol"/>
      </w:rPr>
    </w:lvl>
    <w:lvl w:ilvl="4" w:tplc="F8325E8A">
      <w:start w:val="1"/>
      <w:numFmt w:val="bullet"/>
      <w:lvlText w:val=""/>
      <w:lvlJc w:val="left"/>
      <w:pPr>
        <w:ind w:left="1440" w:hanging="360"/>
      </w:pPr>
      <w:rPr>
        <w:rFonts w:ascii="Symbol" w:hAnsi="Symbol"/>
      </w:rPr>
    </w:lvl>
    <w:lvl w:ilvl="5" w:tplc="4D007626">
      <w:start w:val="1"/>
      <w:numFmt w:val="bullet"/>
      <w:lvlText w:val=""/>
      <w:lvlJc w:val="left"/>
      <w:pPr>
        <w:ind w:left="1440" w:hanging="360"/>
      </w:pPr>
      <w:rPr>
        <w:rFonts w:ascii="Symbol" w:hAnsi="Symbol"/>
      </w:rPr>
    </w:lvl>
    <w:lvl w:ilvl="6" w:tplc="1ECA8AAC">
      <w:start w:val="1"/>
      <w:numFmt w:val="bullet"/>
      <w:lvlText w:val=""/>
      <w:lvlJc w:val="left"/>
      <w:pPr>
        <w:ind w:left="1440" w:hanging="360"/>
      </w:pPr>
      <w:rPr>
        <w:rFonts w:ascii="Symbol" w:hAnsi="Symbol"/>
      </w:rPr>
    </w:lvl>
    <w:lvl w:ilvl="7" w:tplc="815C1B52">
      <w:start w:val="1"/>
      <w:numFmt w:val="bullet"/>
      <w:lvlText w:val=""/>
      <w:lvlJc w:val="left"/>
      <w:pPr>
        <w:ind w:left="1440" w:hanging="360"/>
      </w:pPr>
      <w:rPr>
        <w:rFonts w:ascii="Symbol" w:hAnsi="Symbol"/>
      </w:rPr>
    </w:lvl>
    <w:lvl w:ilvl="8" w:tplc="70C0F2DE">
      <w:start w:val="1"/>
      <w:numFmt w:val="bullet"/>
      <w:lvlText w:val=""/>
      <w:lvlJc w:val="left"/>
      <w:pPr>
        <w:ind w:left="1440" w:hanging="360"/>
      </w:pPr>
      <w:rPr>
        <w:rFonts w:ascii="Symbol" w:hAnsi="Symbol"/>
      </w:rPr>
    </w:lvl>
  </w:abstractNum>
  <w:abstractNum w:abstractNumId="24" w15:restartNumberingAfterBreak="0">
    <w:nsid w:val="61D021BA"/>
    <w:multiLevelType w:val="hybridMultilevel"/>
    <w:tmpl w:val="3ECA57D2"/>
    <w:lvl w:ilvl="0" w:tplc="A650E4C0">
      <w:start w:val="1"/>
      <w:numFmt w:val="bullet"/>
      <w:lvlText w:val=""/>
      <w:lvlJc w:val="left"/>
      <w:pPr>
        <w:ind w:left="1440" w:hanging="360"/>
      </w:pPr>
      <w:rPr>
        <w:rFonts w:ascii="Symbol" w:hAnsi="Symbol"/>
      </w:rPr>
    </w:lvl>
    <w:lvl w:ilvl="1" w:tplc="56D0DE24">
      <w:start w:val="1"/>
      <w:numFmt w:val="bullet"/>
      <w:lvlText w:val=""/>
      <w:lvlJc w:val="left"/>
      <w:pPr>
        <w:ind w:left="1440" w:hanging="360"/>
      </w:pPr>
      <w:rPr>
        <w:rFonts w:ascii="Symbol" w:hAnsi="Symbol"/>
      </w:rPr>
    </w:lvl>
    <w:lvl w:ilvl="2" w:tplc="C87EFC0A">
      <w:start w:val="1"/>
      <w:numFmt w:val="bullet"/>
      <w:lvlText w:val=""/>
      <w:lvlJc w:val="left"/>
      <w:pPr>
        <w:ind w:left="1440" w:hanging="360"/>
      </w:pPr>
      <w:rPr>
        <w:rFonts w:ascii="Symbol" w:hAnsi="Symbol"/>
      </w:rPr>
    </w:lvl>
    <w:lvl w:ilvl="3" w:tplc="C002ACDE">
      <w:start w:val="1"/>
      <w:numFmt w:val="bullet"/>
      <w:lvlText w:val=""/>
      <w:lvlJc w:val="left"/>
      <w:pPr>
        <w:ind w:left="1440" w:hanging="360"/>
      </w:pPr>
      <w:rPr>
        <w:rFonts w:ascii="Symbol" w:hAnsi="Symbol"/>
      </w:rPr>
    </w:lvl>
    <w:lvl w:ilvl="4" w:tplc="4A6C8468">
      <w:start w:val="1"/>
      <w:numFmt w:val="bullet"/>
      <w:lvlText w:val=""/>
      <w:lvlJc w:val="left"/>
      <w:pPr>
        <w:ind w:left="1440" w:hanging="360"/>
      </w:pPr>
      <w:rPr>
        <w:rFonts w:ascii="Symbol" w:hAnsi="Symbol"/>
      </w:rPr>
    </w:lvl>
    <w:lvl w:ilvl="5" w:tplc="2F704B2A">
      <w:start w:val="1"/>
      <w:numFmt w:val="bullet"/>
      <w:lvlText w:val=""/>
      <w:lvlJc w:val="left"/>
      <w:pPr>
        <w:ind w:left="1440" w:hanging="360"/>
      </w:pPr>
      <w:rPr>
        <w:rFonts w:ascii="Symbol" w:hAnsi="Symbol"/>
      </w:rPr>
    </w:lvl>
    <w:lvl w:ilvl="6" w:tplc="1D3008B4">
      <w:start w:val="1"/>
      <w:numFmt w:val="bullet"/>
      <w:lvlText w:val=""/>
      <w:lvlJc w:val="left"/>
      <w:pPr>
        <w:ind w:left="1440" w:hanging="360"/>
      </w:pPr>
      <w:rPr>
        <w:rFonts w:ascii="Symbol" w:hAnsi="Symbol"/>
      </w:rPr>
    </w:lvl>
    <w:lvl w:ilvl="7" w:tplc="5DE8FEDA">
      <w:start w:val="1"/>
      <w:numFmt w:val="bullet"/>
      <w:lvlText w:val=""/>
      <w:lvlJc w:val="left"/>
      <w:pPr>
        <w:ind w:left="1440" w:hanging="360"/>
      </w:pPr>
      <w:rPr>
        <w:rFonts w:ascii="Symbol" w:hAnsi="Symbol"/>
      </w:rPr>
    </w:lvl>
    <w:lvl w:ilvl="8" w:tplc="ADDEB82E">
      <w:start w:val="1"/>
      <w:numFmt w:val="bullet"/>
      <w:lvlText w:val=""/>
      <w:lvlJc w:val="left"/>
      <w:pPr>
        <w:ind w:left="1440" w:hanging="360"/>
      </w:pPr>
      <w:rPr>
        <w:rFonts w:ascii="Symbol" w:hAnsi="Symbol"/>
      </w:rPr>
    </w:lvl>
  </w:abstractNum>
  <w:abstractNum w:abstractNumId="2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1B37DF"/>
    <w:multiLevelType w:val="hybridMultilevel"/>
    <w:tmpl w:val="1FDED7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F753930"/>
    <w:multiLevelType w:val="hybridMultilevel"/>
    <w:tmpl w:val="56A463F6"/>
    <w:lvl w:ilvl="0" w:tplc="4BEA9DCE">
      <w:start w:val="1"/>
      <w:numFmt w:val="bullet"/>
      <w:lvlText w:val=""/>
      <w:lvlJc w:val="left"/>
      <w:pPr>
        <w:ind w:left="720" w:hanging="360"/>
      </w:pPr>
      <w:rPr>
        <w:rFonts w:ascii="Symbol" w:hAnsi="Symbol"/>
      </w:rPr>
    </w:lvl>
    <w:lvl w:ilvl="1" w:tplc="77766EFE">
      <w:start w:val="1"/>
      <w:numFmt w:val="bullet"/>
      <w:lvlText w:val=""/>
      <w:lvlJc w:val="left"/>
      <w:pPr>
        <w:ind w:left="720" w:hanging="360"/>
      </w:pPr>
      <w:rPr>
        <w:rFonts w:ascii="Symbol" w:hAnsi="Symbol"/>
      </w:rPr>
    </w:lvl>
    <w:lvl w:ilvl="2" w:tplc="94F63B62">
      <w:start w:val="1"/>
      <w:numFmt w:val="bullet"/>
      <w:lvlText w:val=""/>
      <w:lvlJc w:val="left"/>
      <w:pPr>
        <w:ind w:left="720" w:hanging="360"/>
      </w:pPr>
      <w:rPr>
        <w:rFonts w:ascii="Symbol" w:hAnsi="Symbol"/>
      </w:rPr>
    </w:lvl>
    <w:lvl w:ilvl="3" w:tplc="7F3A45CA">
      <w:start w:val="1"/>
      <w:numFmt w:val="bullet"/>
      <w:lvlText w:val=""/>
      <w:lvlJc w:val="left"/>
      <w:pPr>
        <w:ind w:left="720" w:hanging="360"/>
      </w:pPr>
      <w:rPr>
        <w:rFonts w:ascii="Symbol" w:hAnsi="Symbol"/>
      </w:rPr>
    </w:lvl>
    <w:lvl w:ilvl="4" w:tplc="C096BCF6">
      <w:start w:val="1"/>
      <w:numFmt w:val="bullet"/>
      <w:lvlText w:val=""/>
      <w:lvlJc w:val="left"/>
      <w:pPr>
        <w:ind w:left="720" w:hanging="360"/>
      </w:pPr>
      <w:rPr>
        <w:rFonts w:ascii="Symbol" w:hAnsi="Symbol"/>
      </w:rPr>
    </w:lvl>
    <w:lvl w:ilvl="5" w:tplc="AAD05880">
      <w:start w:val="1"/>
      <w:numFmt w:val="bullet"/>
      <w:lvlText w:val=""/>
      <w:lvlJc w:val="left"/>
      <w:pPr>
        <w:ind w:left="720" w:hanging="360"/>
      </w:pPr>
      <w:rPr>
        <w:rFonts w:ascii="Symbol" w:hAnsi="Symbol"/>
      </w:rPr>
    </w:lvl>
    <w:lvl w:ilvl="6" w:tplc="7D3CF114">
      <w:start w:val="1"/>
      <w:numFmt w:val="bullet"/>
      <w:lvlText w:val=""/>
      <w:lvlJc w:val="left"/>
      <w:pPr>
        <w:ind w:left="720" w:hanging="360"/>
      </w:pPr>
      <w:rPr>
        <w:rFonts w:ascii="Symbol" w:hAnsi="Symbol"/>
      </w:rPr>
    </w:lvl>
    <w:lvl w:ilvl="7" w:tplc="346C6214">
      <w:start w:val="1"/>
      <w:numFmt w:val="bullet"/>
      <w:lvlText w:val=""/>
      <w:lvlJc w:val="left"/>
      <w:pPr>
        <w:ind w:left="720" w:hanging="360"/>
      </w:pPr>
      <w:rPr>
        <w:rFonts w:ascii="Symbol" w:hAnsi="Symbol"/>
      </w:rPr>
    </w:lvl>
    <w:lvl w:ilvl="8" w:tplc="2F541762">
      <w:start w:val="1"/>
      <w:numFmt w:val="bullet"/>
      <w:lvlText w:val=""/>
      <w:lvlJc w:val="left"/>
      <w:pPr>
        <w:ind w:left="720" w:hanging="360"/>
      </w:pPr>
      <w:rPr>
        <w:rFonts w:ascii="Symbol" w:hAnsi="Symbol"/>
      </w:rPr>
    </w:lvl>
  </w:abstractNum>
  <w:abstractNum w:abstractNumId="30" w15:restartNumberingAfterBreak="0">
    <w:nsid w:val="71BF719A"/>
    <w:multiLevelType w:val="hybridMultilevel"/>
    <w:tmpl w:val="CFD83A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33749C0"/>
    <w:multiLevelType w:val="hybridMultilevel"/>
    <w:tmpl w:val="2EF25FD0"/>
    <w:lvl w:ilvl="0" w:tplc="2098B086">
      <w:start w:val="1"/>
      <w:numFmt w:val="bullet"/>
      <w:lvlText w:val=""/>
      <w:lvlJc w:val="left"/>
      <w:pPr>
        <w:ind w:left="1440" w:hanging="360"/>
      </w:pPr>
      <w:rPr>
        <w:rFonts w:ascii="Symbol" w:hAnsi="Symbol"/>
      </w:rPr>
    </w:lvl>
    <w:lvl w:ilvl="1" w:tplc="79BEF696">
      <w:start w:val="1"/>
      <w:numFmt w:val="bullet"/>
      <w:lvlText w:val=""/>
      <w:lvlJc w:val="left"/>
      <w:pPr>
        <w:ind w:left="1440" w:hanging="360"/>
      </w:pPr>
      <w:rPr>
        <w:rFonts w:ascii="Symbol" w:hAnsi="Symbol"/>
      </w:rPr>
    </w:lvl>
    <w:lvl w:ilvl="2" w:tplc="7EB6A8A4">
      <w:start w:val="1"/>
      <w:numFmt w:val="bullet"/>
      <w:lvlText w:val=""/>
      <w:lvlJc w:val="left"/>
      <w:pPr>
        <w:ind w:left="1440" w:hanging="360"/>
      </w:pPr>
      <w:rPr>
        <w:rFonts w:ascii="Symbol" w:hAnsi="Symbol"/>
      </w:rPr>
    </w:lvl>
    <w:lvl w:ilvl="3" w:tplc="0F14B668">
      <w:start w:val="1"/>
      <w:numFmt w:val="bullet"/>
      <w:lvlText w:val=""/>
      <w:lvlJc w:val="left"/>
      <w:pPr>
        <w:ind w:left="1440" w:hanging="360"/>
      </w:pPr>
      <w:rPr>
        <w:rFonts w:ascii="Symbol" w:hAnsi="Symbol"/>
      </w:rPr>
    </w:lvl>
    <w:lvl w:ilvl="4" w:tplc="3C5616C8">
      <w:start w:val="1"/>
      <w:numFmt w:val="bullet"/>
      <w:lvlText w:val=""/>
      <w:lvlJc w:val="left"/>
      <w:pPr>
        <w:ind w:left="1440" w:hanging="360"/>
      </w:pPr>
      <w:rPr>
        <w:rFonts w:ascii="Symbol" w:hAnsi="Symbol"/>
      </w:rPr>
    </w:lvl>
    <w:lvl w:ilvl="5" w:tplc="50E606A6">
      <w:start w:val="1"/>
      <w:numFmt w:val="bullet"/>
      <w:lvlText w:val=""/>
      <w:lvlJc w:val="left"/>
      <w:pPr>
        <w:ind w:left="1440" w:hanging="360"/>
      </w:pPr>
      <w:rPr>
        <w:rFonts w:ascii="Symbol" w:hAnsi="Symbol"/>
      </w:rPr>
    </w:lvl>
    <w:lvl w:ilvl="6" w:tplc="6270E2A8">
      <w:start w:val="1"/>
      <w:numFmt w:val="bullet"/>
      <w:lvlText w:val=""/>
      <w:lvlJc w:val="left"/>
      <w:pPr>
        <w:ind w:left="1440" w:hanging="360"/>
      </w:pPr>
      <w:rPr>
        <w:rFonts w:ascii="Symbol" w:hAnsi="Symbol"/>
      </w:rPr>
    </w:lvl>
    <w:lvl w:ilvl="7" w:tplc="0B10E5A4">
      <w:start w:val="1"/>
      <w:numFmt w:val="bullet"/>
      <w:lvlText w:val=""/>
      <w:lvlJc w:val="left"/>
      <w:pPr>
        <w:ind w:left="1440" w:hanging="360"/>
      </w:pPr>
      <w:rPr>
        <w:rFonts w:ascii="Symbol" w:hAnsi="Symbol"/>
      </w:rPr>
    </w:lvl>
    <w:lvl w:ilvl="8" w:tplc="82DCAD62">
      <w:start w:val="1"/>
      <w:numFmt w:val="bullet"/>
      <w:lvlText w:val=""/>
      <w:lvlJc w:val="left"/>
      <w:pPr>
        <w:ind w:left="1440" w:hanging="360"/>
      </w:pPr>
      <w:rPr>
        <w:rFonts w:ascii="Symbol" w:hAnsi="Symbol"/>
      </w:rPr>
    </w:lvl>
  </w:abstractNum>
  <w:abstractNum w:abstractNumId="32" w15:restartNumberingAfterBreak="0">
    <w:nsid w:val="73B23AA5"/>
    <w:multiLevelType w:val="hybridMultilevel"/>
    <w:tmpl w:val="E782159A"/>
    <w:lvl w:ilvl="0" w:tplc="43C44B22">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26"/>
  </w:num>
  <w:num w:numId="4" w16cid:durableId="368264326">
    <w:abstractNumId w:val="25"/>
  </w:num>
  <w:num w:numId="5" w16cid:durableId="506211007">
    <w:abstractNumId w:val="34"/>
  </w:num>
  <w:num w:numId="6" w16cid:durableId="620110447">
    <w:abstractNumId w:val="13"/>
  </w:num>
  <w:num w:numId="7" w16cid:durableId="480537263">
    <w:abstractNumId w:val="10"/>
  </w:num>
  <w:num w:numId="8" w16cid:durableId="374281901">
    <w:abstractNumId w:val="2"/>
  </w:num>
  <w:num w:numId="9" w16cid:durableId="849225214">
    <w:abstractNumId w:val="19"/>
  </w:num>
  <w:num w:numId="10" w16cid:durableId="703213305">
    <w:abstractNumId w:val="28"/>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1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17"/>
  </w:num>
  <w:num w:numId="14" w16cid:durableId="1162626904">
    <w:abstractNumId w:val="8"/>
  </w:num>
  <w:num w:numId="15" w16cid:durableId="26954182">
    <w:abstractNumId w:val="1"/>
  </w:num>
  <w:num w:numId="16" w16cid:durableId="1622305112">
    <w:abstractNumId w:val="9"/>
  </w:num>
  <w:num w:numId="17" w16cid:durableId="1758555313">
    <w:abstractNumId w:val="27"/>
  </w:num>
  <w:num w:numId="18" w16cid:durableId="954554854">
    <w:abstractNumId w:val="20"/>
  </w:num>
  <w:num w:numId="19" w16cid:durableId="42565304">
    <w:abstractNumId w:val="6"/>
  </w:num>
  <w:num w:numId="20" w16cid:durableId="2130472916">
    <w:abstractNumId w:val="30"/>
  </w:num>
  <w:num w:numId="21" w16cid:durableId="997727808">
    <w:abstractNumId w:val="7"/>
  </w:num>
  <w:num w:numId="22" w16cid:durableId="2000033783">
    <w:abstractNumId w:val="5"/>
  </w:num>
  <w:num w:numId="23" w16cid:durableId="387340104">
    <w:abstractNumId w:val="32"/>
  </w:num>
  <w:num w:numId="24" w16cid:durableId="395978897">
    <w:abstractNumId w:val="18"/>
  </w:num>
  <w:num w:numId="25" w16cid:durableId="1624769654">
    <w:abstractNumId w:val="4"/>
  </w:num>
  <w:num w:numId="26" w16cid:durableId="323438589">
    <w:abstractNumId w:val="31"/>
  </w:num>
  <w:num w:numId="27" w16cid:durableId="1778527688">
    <w:abstractNumId w:val="21"/>
  </w:num>
  <w:num w:numId="28" w16cid:durableId="1239631031">
    <w:abstractNumId w:val="29"/>
  </w:num>
  <w:num w:numId="29" w16cid:durableId="2004120320">
    <w:abstractNumId w:val="22"/>
  </w:num>
  <w:num w:numId="30" w16cid:durableId="240868247">
    <w:abstractNumId w:val="15"/>
  </w:num>
  <w:num w:numId="31" w16cid:durableId="1065689343">
    <w:abstractNumId w:val="16"/>
  </w:num>
  <w:num w:numId="32" w16cid:durableId="1568833185">
    <w:abstractNumId w:val="3"/>
  </w:num>
  <w:num w:numId="33" w16cid:durableId="285551597">
    <w:abstractNumId w:val="12"/>
  </w:num>
  <w:num w:numId="34" w16cid:durableId="989745204">
    <w:abstractNumId w:val="24"/>
  </w:num>
  <w:num w:numId="35" w16cid:durableId="857620547">
    <w:abstractNumId w:val="14"/>
  </w:num>
  <w:num w:numId="36" w16cid:durableId="1330327080">
    <w:abstractNumId w:val="11"/>
  </w:num>
  <w:num w:numId="37" w16cid:durableId="168270491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2557"/>
    <w:rsid w:val="0000301F"/>
    <w:rsid w:val="00003712"/>
    <w:rsid w:val="00003B87"/>
    <w:rsid w:val="00005D73"/>
    <w:rsid w:val="00006C96"/>
    <w:rsid w:val="000075EC"/>
    <w:rsid w:val="00010325"/>
    <w:rsid w:val="00010FBC"/>
    <w:rsid w:val="00012F05"/>
    <w:rsid w:val="0001437F"/>
    <w:rsid w:val="00014427"/>
    <w:rsid w:val="00014925"/>
    <w:rsid w:val="000169C2"/>
    <w:rsid w:val="00016C65"/>
    <w:rsid w:val="0001751A"/>
    <w:rsid w:val="000202AB"/>
    <w:rsid w:val="0002164B"/>
    <w:rsid w:val="0002172C"/>
    <w:rsid w:val="00022093"/>
    <w:rsid w:val="00022163"/>
    <w:rsid w:val="00024443"/>
    <w:rsid w:val="00025142"/>
    <w:rsid w:val="0002524E"/>
    <w:rsid w:val="00026C8F"/>
    <w:rsid w:val="00026CC9"/>
    <w:rsid w:val="00026D9E"/>
    <w:rsid w:val="00030649"/>
    <w:rsid w:val="00031028"/>
    <w:rsid w:val="00032531"/>
    <w:rsid w:val="00034351"/>
    <w:rsid w:val="00034FC9"/>
    <w:rsid w:val="0003523F"/>
    <w:rsid w:val="000369A2"/>
    <w:rsid w:val="000434DB"/>
    <w:rsid w:val="000437BA"/>
    <w:rsid w:val="0004395E"/>
    <w:rsid w:val="000503AB"/>
    <w:rsid w:val="00052406"/>
    <w:rsid w:val="00054CA0"/>
    <w:rsid w:val="00054E3C"/>
    <w:rsid w:val="00057A79"/>
    <w:rsid w:val="000607B2"/>
    <w:rsid w:val="000610C1"/>
    <w:rsid w:val="00061657"/>
    <w:rsid w:val="00061B86"/>
    <w:rsid w:val="00062793"/>
    <w:rsid w:val="00062BC9"/>
    <w:rsid w:val="00063C23"/>
    <w:rsid w:val="00063F7B"/>
    <w:rsid w:val="0006417F"/>
    <w:rsid w:val="0006448C"/>
    <w:rsid w:val="00064EDD"/>
    <w:rsid w:val="00065A2A"/>
    <w:rsid w:val="00065C16"/>
    <w:rsid w:val="00066706"/>
    <w:rsid w:val="00067015"/>
    <w:rsid w:val="000675CE"/>
    <w:rsid w:val="0007130F"/>
    <w:rsid w:val="00073441"/>
    <w:rsid w:val="00074CCB"/>
    <w:rsid w:val="000759B8"/>
    <w:rsid w:val="00076564"/>
    <w:rsid w:val="000765D1"/>
    <w:rsid w:val="000773B9"/>
    <w:rsid w:val="0007742F"/>
    <w:rsid w:val="00080A6C"/>
    <w:rsid w:val="00082026"/>
    <w:rsid w:val="00082F60"/>
    <w:rsid w:val="000841EF"/>
    <w:rsid w:val="000862E1"/>
    <w:rsid w:val="0008781D"/>
    <w:rsid w:val="00087D5A"/>
    <w:rsid w:val="00087F1B"/>
    <w:rsid w:val="00087FD1"/>
    <w:rsid w:val="00090134"/>
    <w:rsid w:val="0009055C"/>
    <w:rsid w:val="0009097E"/>
    <w:rsid w:val="00090CD0"/>
    <w:rsid w:val="00092F5F"/>
    <w:rsid w:val="0009315E"/>
    <w:rsid w:val="00094527"/>
    <w:rsid w:val="00095537"/>
    <w:rsid w:val="000A0550"/>
    <w:rsid w:val="000A1219"/>
    <w:rsid w:val="000A1C98"/>
    <w:rsid w:val="000A2D3E"/>
    <w:rsid w:val="000A302F"/>
    <w:rsid w:val="000A3D6D"/>
    <w:rsid w:val="000A3D8E"/>
    <w:rsid w:val="000A3E8F"/>
    <w:rsid w:val="000A46E2"/>
    <w:rsid w:val="000A7B3E"/>
    <w:rsid w:val="000B0B08"/>
    <w:rsid w:val="000B0DDC"/>
    <w:rsid w:val="000B15C2"/>
    <w:rsid w:val="000B17E8"/>
    <w:rsid w:val="000B2AF0"/>
    <w:rsid w:val="000B35D2"/>
    <w:rsid w:val="000B36D2"/>
    <w:rsid w:val="000B3835"/>
    <w:rsid w:val="000B3ABD"/>
    <w:rsid w:val="000B3DF6"/>
    <w:rsid w:val="000B4824"/>
    <w:rsid w:val="000B7FF2"/>
    <w:rsid w:val="000C062F"/>
    <w:rsid w:val="000C098E"/>
    <w:rsid w:val="000C0E4F"/>
    <w:rsid w:val="000C2998"/>
    <w:rsid w:val="000C4936"/>
    <w:rsid w:val="000C4C4A"/>
    <w:rsid w:val="000C520B"/>
    <w:rsid w:val="000C57FC"/>
    <w:rsid w:val="000C58BC"/>
    <w:rsid w:val="000C5AC2"/>
    <w:rsid w:val="000C5CE9"/>
    <w:rsid w:val="000C6404"/>
    <w:rsid w:val="000C6E45"/>
    <w:rsid w:val="000D01AD"/>
    <w:rsid w:val="000D2C35"/>
    <w:rsid w:val="000D2DEE"/>
    <w:rsid w:val="000D3D44"/>
    <w:rsid w:val="000D4BE1"/>
    <w:rsid w:val="000D6F97"/>
    <w:rsid w:val="000E0443"/>
    <w:rsid w:val="000E0669"/>
    <w:rsid w:val="000E17D5"/>
    <w:rsid w:val="000E1938"/>
    <w:rsid w:val="000E4550"/>
    <w:rsid w:val="000E70D3"/>
    <w:rsid w:val="000E74D2"/>
    <w:rsid w:val="000E7D54"/>
    <w:rsid w:val="000F1B7B"/>
    <w:rsid w:val="000F45F9"/>
    <w:rsid w:val="000F4FD8"/>
    <w:rsid w:val="000F53B6"/>
    <w:rsid w:val="000F5777"/>
    <w:rsid w:val="000F6A5D"/>
    <w:rsid w:val="000F6FE3"/>
    <w:rsid w:val="000F74FA"/>
    <w:rsid w:val="000F768B"/>
    <w:rsid w:val="000F7AC7"/>
    <w:rsid w:val="000F7B38"/>
    <w:rsid w:val="00100C45"/>
    <w:rsid w:val="001018FC"/>
    <w:rsid w:val="00101C59"/>
    <w:rsid w:val="00102288"/>
    <w:rsid w:val="00102BFB"/>
    <w:rsid w:val="00103137"/>
    <w:rsid w:val="001044C0"/>
    <w:rsid w:val="00104A00"/>
    <w:rsid w:val="001052B3"/>
    <w:rsid w:val="001052BA"/>
    <w:rsid w:val="0011046C"/>
    <w:rsid w:val="001109EC"/>
    <w:rsid w:val="00110ED7"/>
    <w:rsid w:val="00114072"/>
    <w:rsid w:val="00114A49"/>
    <w:rsid w:val="0011548B"/>
    <w:rsid w:val="001156CC"/>
    <w:rsid w:val="00115A48"/>
    <w:rsid w:val="00115CE4"/>
    <w:rsid w:val="00117AB7"/>
    <w:rsid w:val="00117E13"/>
    <w:rsid w:val="001212D3"/>
    <w:rsid w:val="00121C1B"/>
    <w:rsid w:val="00121D64"/>
    <w:rsid w:val="00122332"/>
    <w:rsid w:val="0012322C"/>
    <w:rsid w:val="001232B3"/>
    <w:rsid w:val="00123E3A"/>
    <w:rsid w:val="00125C35"/>
    <w:rsid w:val="00126E5A"/>
    <w:rsid w:val="001308CF"/>
    <w:rsid w:val="00131E07"/>
    <w:rsid w:val="0013346B"/>
    <w:rsid w:val="0013502F"/>
    <w:rsid w:val="001352A5"/>
    <w:rsid w:val="001366DE"/>
    <w:rsid w:val="001378FF"/>
    <w:rsid w:val="0014120F"/>
    <w:rsid w:val="0014199E"/>
    <w:rsid w:val="001443FE"/>
    <w:rsid w:val="00144E26"/>
    <w:rsid w:val="001450D0"/>
    <w:rsid w:val="00146025"/>
    <w:rsid w:val="001461F3"/>
    <w:rsid w:val="00146574"/>
    <w:rsid w:val="00146F89"/>
    <w:rsid w:val="00147C7C"/>
    <w:rsid w:val="00150BBE"/>
    <w:rsid w:val="001515C9"/>
    <w:rsid w:val="00153250"/>
    <w:rsid w:val="00156256"/>
    <w:rsid w:val="00157C7E"/>
    <w:rsid w:val="00160B85"/>
    <w:rsid w:val="00160D7C"/>
    <w:rsid w:val="00161EE8"/>
    <w:rsid w:val="00163A06"/>
    <w:rsid w:val="00165ED2"/>
    <w:rsid w:val="00166CBF"/>
    <w:rsid w:val="001703FE"/>
    <w:rsid w:val="0017062D"/>
    <w:rsid w:val="00171CC6"/>
    <w:rsid w:val="00172495"/>
    <w:rsid w:val="001724D0"/>
    <w:rsid w:val="0017270E"/>
    <w:rsid w:val="00174363"/>
    <w:rsid w:val="001745B1"/>
    <w:rsid w:val="00174A3F"/>
    <w:rsid w:val="00176F4D"/>
    <w:rsid w:val="00177056"/>
    <w:rsid w:val="00177E16"/>
    <w:rsid w:val="0018055B"/>
    <w:rsid w:val="00180850"/>
    <w:rsid w:val="00182CED"/>
    <w:rsid w:val="00183FF6"/>
    <w:rsid w:val="00184467"/>
    <w:rsid w:val="00184489"/>
    <w:rsid w:val="0018474E"/>
    <w:rsid w:val="00184EA4"/>
    <w:rsid w:val="001850C5"/>
    <w:rsid w:val="00185EAE"/>
    <w:rsid w:val="00192973"/>
    <w:rsid w:val="00195025"/>
    <w:rsid w:val="00195472"/>
    <w:rsid w:val="00195B50"/>
    <w:rsid w:val="001A049B"/>
    <w:rsid w:val="001A189C"/>
    <w:rsid w:val="001A258C"/>
    <w:rsid w:val="001A45C8"/>
    <w:rsid w:val="001A556A"/>
    <w:rsid w:val="001A65E6"/>
    <w:rsid w:val="001A7738"/>
    <w:rsid w:val="001B29F2"/>
    <w:rsid w:val="001B31EB"/>
    <w:rsid w:val="001B3242"/>
    <w:rsid w:val="001B35C1"/>
    <w:rsid w:val="001B6003"/>
    <w:rsid w:val="001B75E8"/>
    <w:rsid w:val="001C1802"/>
    <w:rsid w:val="001C1C8A"/>
    <w:rsid w:val="001C37BE"/>
    <w:rsid w:val="001C6C55"/>
    <w:rsid w:val="001C76B0"/>
    <w:rsid w:val="001C7A13"/>
    <w:rsid w:val="001D0773"/>
    <w:rsid w:val="001D1714"/>
    <w:rsid w:val="001D3706"/>
    <w:rsid w:val="001D3872"/>
    <w:rsid w:val="001D695A"/>
    <w:rsid w:val="001E1405"/>
    <w:rsid w:val="001E249E"/>
    <w:rsid w:val="001E33A8"/>
    <w:rsid w:val="001E3FD7"/>
    <w:rsid w:val="001E5E8C"/>
    <w:rsid w:val="001E5F6D"/>
    <w:rsid w:val="001E79CD"/>
    <w:rsid w:val="001E7F04"/>
    <w:rsid w:val="001F04B0"/>
    <w:rsid w:val="001F0E50"/>
    <w:rsid w:val="001F22B7"/>
    <w:rsid w:val="001F364E"/>
    <w:rsid w:val="001F3B5F"/>
    <w:rsid w:val="001F4FAA"/>
    <w:rsid w:val="001F6A5B"/>
    <w:rsid w:val="002008B1"/>
    <w:rsid w:val="00203AAD"/>
    <w:rsid w:val="002051C9"/>
    <w:rsid w:val="00205280"/>
    <w:rsid w:val="002054F2"/>
    <w:rsid w:val="00205F70"/>
    <w:rsid w:val="0020672E"/>
    <w:rsid w:val="00207122"/>
    <w:rsid w:val="002072A8"/>
    <w:rsid w:val="00210069"/>
    <w:rsid w:val="0021016D"/>
    <w:rsid w:val="002106B2"/>
    <w:rsid w:val="00214DE1"/>
    <w:rsid w:val="002158F6"/>
    <w:rsid w:val="00215BFE"/>
    <w:rsid w:val="00217208"/>
    <w:rsid w:val="0021725A"/>
    <w:rsid w:val="00217871"/>
    <w:rsid w:val="0022101B"/>
    <w:rsid w:val="00221FCA"/>
    <w:rsid w:val="00221FDB"/>
    <w:rsid w:val="0022361C"/>
    <w:rsid w:val="00223E06"/>
    <w:rsid w:val="00223FB2"/>
    <w:rsid w:val="002262B5"/>
    <w:rsid w:val="00226993"/>
    <w:rsid w:val="00230507"/>
    <w:rsid w:val="002317E9"/>
    <w:rsid w:val="00232F2D"/>
    <w:rsid w:val="00233BD6"/>
    <w:rsid w:val="0023429A"/>
    <w:rsid w:val="00234D08"/>
    <w:rsid w:val="00235880"/>
    <w:rsid w:val="00236833"/>
    <w:rsid w:val="00240647"/>
    <w:rsid w:val="00241131"/>
    <w:rsid w:val="00242AC1"/>
    <w:rsid w:val="00243251"/>
    <w:rsid w:val="002436D5"/>
    <w:rsid w:val="002441D6"/>
    <w:rsid w:val="002441F7"/>
    <w:rsid w:val="00244A7E"/>
    <w:rsid w:val="0024559D"/>
    <w:rsid w:val="00246084"/>
    <w:rsid w:val="00247BAB"/>
    <w:rsid w:val="00250CAC"/>
    <w:rsid w:val="00251887"/>
    <w:rsid w:val="00251EF0"/>
    <w:rsid w:val="00254030"/>
    <w:rsid w:val="00254565"/>
    <w:rsid w:val="00254A1D"/>
    <w:rsid w:val="00255CAC"/>
    <w:rsid w:val="0025680A"/>
    <w:rsid w:val="00261762"/>
    <w:rsid w:val="0026438F"/>
    <w:rsid w:val="00266142"/>
    <w:rsid w:val="00267581"/>
    <w:rsid w:val="00270524"/>
    <w:rsid w:val="00271333"/>
    <w:rsid w:val="0027157C"/>
    <w:rsid w:val="00271978"/>
    <w:rsid w:val="00272311"/>
    <w:rsid w:val="0027287F"/>
    <w:rsid w:val="00272896"/>
    <w:rsid w:val="002729FD"/>
    <w:rsid w:val="00272DD6"/>
    <w:rsid w:val="00272F0A"/>
    <w:rsid w:val="002730A5"/>
    <w:rsid w:val="002730D2"/>
    <w:rsid w:val="00273929"/>
    <w:rsid w:val="002740A8"/>
    <w:rsid w:val="002802A5"/>
    <w:rsid w:val="0028097B"/>
    <w:rsid w:val="00280E5B"/>
    <w:rsid w:val="00281CFD"/>
    <w:rsid w:val="00282F36"/>
    <w:rsid w:val="00283585"/>
    <w:rsid w:val="00285232"/>
    <w:rsid w:val="002855C1"/>
    <w:rsid w:val="00285FA5"/>
    <w:rsid w:val="002910E8"/>
    <w:rsid w:val="00291CF5"/>
    <w:rsid w:val="002924FC"/>
    <w:rsid w:val="00292DEE"/>
    <w:rsid w:val="00293DD2"/>
    <w:rsid w:val="00293F22"/>
    <w:rsid w:val="00295281"/>
    <w:rsid w:val="002954F8"/>
    <w:rsid w:val="00295A08"/>
    <w:rsid w:val="002963EE"/>
    <w:rsid w:val="0029762A"/>
    <w:rsid w:val="002A132A"/>
    <w:rsid w:val="002A2364"/>
    <w:rsid w:val="002A262A"/>
    <w:rsid w:val="002A2E2A"/>
    <w:rsid w:val="002A4DC8"/>
    <w:rsid w:val="002A52A4"/>
    <w:rsid w:val="002B14C0"/>
    <w:rsid w:val="002B1630"/>
    <w:rsid w:val="002B30E5"/>
    <w:rsid w:val="002B4B5B"/>
    <w:rsid w:val="002B4DC1"/>
    <w:rsid w:val="002B50D7"/>
    <w:rsid w:val="002B55D3"/>
    <w:rsid w:val="002B744B"/>
    <w:rsid w:val="002B74A6"/>
    <w:rsid w:val="002B7C09"/>
    <w:rsid w:val="002C246B"/>
    <w:rsid w:val="002C4DAD"/>
    <w:rsid w:val="002C530D"/>
    <w:rsid w:val="002C64DD"/>
    <w:rsid w:val="002C7D43"/>
    <w:rsid w:val="002D0BE0"/>
    <w:rsid w:val="002D0C8F"/>
    <w:rsid w:val="002D0E4B"/>
    <w:rsid w:val="002D26C3"/>
    <w:rsid w:val="002D569B"/>
    <w:rsid w:val="002D75C9"/>
    <w:rsid w:val="002D7A11"/>
    <w:rsid w:val="002E01C6"/>
    <w:rsid w:val="002E031B"/>
    <w:rsid w:val="002E12A5"/>
    <w:rsid w:val="002E1735"/>
    <w:rsid w:val="002E1ABC"/>
    <w:rsid w:val="002E25E8"/>
    <w:rsid w:val="002E2AEB"/>
    <w:rsid w:val="002E354A"/>
    <w:rsid w:val="002E5B21"/>
    <w:rsid w:val="002F1571"/>
    <w:rsid w:val="002F259D"/>
    <w:rsid w:val="002F25AE"/>
    <w:rsid w:val="002F5603"/>
    <w:rsid w:val="002F5897"/>
    <w:rsid w:val="002F58AD"/>
    <w:rsid w:val="00300C98"/>
    <w:rsid w:val="00300D57"/>
    <w:rsid w:val="00302232"/>
    <w:rsid w:val="0030301B"/>
    <w:rsid w:val="00303A67"/>
    <w:rsid w:val="003042EE"/>
    <w:rsid w:val="0030435A"/>
    <w:rsid w:val="0030577F"/>
    <w:rsid w:val="0030590B"/>
    <w:rsid w:val="00305AEF"/>
    <w:rsid w:val="00306BB4"/>
    <w:rsid w:val="0031170E"/>
    <w:rsid w:val="00311E96"/>
    <w:rsid w:val="00312F6B"/>
    <w:rsid w:val="00313470"/>
    <w:rsid w:val="00313594"/>
    <w:rsid w:val="00314A05"/>
    <w:rsid w:val="00315282"/>
    <w:rsid w:val="00320232"/>
    <w:rsid w:val="00320FB0"/>
    <w:rsid w:val="00322785"/>
    <w:rsid w:val="003227EA"/>
    <w:rsid w:val="003231C1"/>
    <w:rsid w:val="00323F86"/>
    <w:rsid w:val="00325459"/>
    <w:rsid w:val="00326290"/>
    <w:rsid w:val="003268FE"/>
    <w:rsid w:val="00326AB0"/>
    <w:rsid w:val="00331660"/>
    <w:rsid w:val="003325B0"/>
    <w:rsid w:val="00333E78"/>
    <w:rsid w:val="00334403"/>
    <w:rsid w:val="00334422"/>
    <w:rsid w:val="00334526"/>
    <w:rsid w:val="0033482C"/>
    <w:rsid w:val="003359FC"/>
    <w:rsid w:val="00337097"/>
    <w:rsid w:val="0033726A"/>
    <w:rsid w:val="00342292"/>
    <w:rsid w:val="0034258F"/>
    <w:rsid w:val="00342A6C"/>
    <w:rsid w:val="00344015"/>
    <w:rsid w:val="003445CF"/>
    <w:rsid w:val="003449C8"/>
    <w:rsid w:val="0034593C"/>
    <w:rsid w:val="00345AEF"/>
    <w:rsid w:val="00350345"/>
    <w:rsid w:val="003521D6"/>
    <w:rsid w:val="003528FA"/>
    <w:rsid w:val="00353FF0"/>
    <w:rsid w:val="00356228"/>
    <w:rsid w:val="003565A9"/>
    <w:rsid w:val="003570BA"/>
    <w:rsid w:val="00357715"/>
    <w:rsid w:val="00357C3C"/>
    <w:rsid w:val="0036159E"/>
    <w:rsid w:val="00363838"/>
    <w:rsid w:val="00363B06"/>
    <w:rsid w:val="003640CA"/>
    <w:rsid w:val="00365040"/>
    <w:rsid w:val="0036543A"/>
    <w:rsid w:val="00365DCF"/>
    <w:rsid w:val="00365FAD"/>
    <w:rsid w:val="00366BAB"/>
    <w:rsid w:val="003670EF"/>
    <w:rsid w:val="00370A7F"/>
    <w:rsid w:val="00371A42"/>
    <w:rsid w:val="00373748"/>
    <w:rsid w:val="00374198"/>
    <w:rsid w:val="00374A0F"/>
    <w:rsid w:val="0037623F"/>
    <w:rsid w:val="00377E5B"/>
    <w:rsid w:val="0038061F"/>
    <w:rsid w:val="00383987"/>
    <w:rsid w:val="00384111"/>
    <w:rsid w:val="003843F6"/>
    <w:rsid w:val="00386288"/>
    <w:rsid w:val="00386364"/>
    <w:rsid w:val="003863A3"/>
    <w:rsid w:val="003866F1"/>
    <w:rsid w:val="003872DB"/>
    <w:rsid w:val="00393150"/>
    <w:rsid w:val="00395835"/>
    <w:rsid w:val="00395DD3"/>
    <w:rsid w:val="00395FD6"/>
    <w:rsid w:val="00396365"/>
    <w:rsid w:val="003963A6"/>
    <w:rsid w:val="00396B54"/>
    <w:rsid w:val="003A2702"/>
    <w:rsid w:val="003A2FD2"/>
    <w:rsid w:val="003A3533"/>
    <w:rsid w:val="003A4CD6"/>
    <w:rsid w:val="003A5CF2"/>
    <w:rsid w:val="003A5DCF"/>
    <w:rsid w:val="003A627B"/>
    <w:rsid w:val="003A7993"/>
    <w:rsid w:val="003B075A"/>
    <w:rsid w:val="003B0C55"/>
    <w:rsid w:val="003B1BC0"/>
    <w:rsid w:val="003B1FE3"/>
    <w:rsid w:val="003B233D"/>
    <w:rsid w:val="003B3C8A"/>
    <w:rsid w:val="003B475C"/>
    <w:rsid w:val="003B4F61"/>
    <w:rsid w:val="003B5C4A"/>
    <w:rsid w:val="003B76D9"/>
    <w:rsid w:val="003B7E4A"/>
    <w:rsid w:val="003C0AD5"/>
    <w:rsid w:val="003C15B6"/>
    <w:rsid w:val="003C1B65"/>
    <w:rsid w:val="003C379E"/>
    <w:rsid w:val="003C3E28"/>
    <w:rsid w:val="003C4182"/>
    <w:rsid w:val="003C41E5"/>
    <w:rsid w:val="003C4E37"/>
    <w:rsid w:val="003C63D6"/>
    <w:rsid w:val="003C6A60"/>
    <w:rsid w:val="003D0413"/>
    <w:rsid w:val="003D0B40"/>
    <w:rsid w:val="003D1A16"/>
    <w:rsid w:val="003D3B26"/>
    <w:rsid w:val="003D3DD3"/>
    <w:rsid w:val="003D4D00"/>
    <w:rsid w:val="003D508F"/>
    <w:rsid w:val="003D559B"/>
    <w:rsid w:val="003D6C0F"/>
    <w:rsid w:val="003D6D98"/>
    <w:rsid w:val="003D71D4"/>
    <w:rsid w:val="003D763E"/>
    <w:rsid w:val="003D792A"/>
    <w:rsid w:val="003E0133"/>
    <w:rsid w:val="003E38D6"/>
    <w:rsid w:val="003E4114"/>
    <w:rsid w:val="003E41E6"/>
    <w:rsid w:val="003E4511"/>
    <w:rsid w:val="003E4E0E"/>
    <w:rsid w:val="003E561F"/>
    <w:rsid w:val="003F15B4"/>
    <w:rsid w:val="003F2AC3"/>
    <w:rsid w:val="003F34AA"/>
    <w:rsid w:val="003F46B0"/>
    <w:rsid w:val="003F50F3"/>
    <w:rsid w:val="003F5CDE"/>
    <w:rsid w:val="003F5F26"/>
    <w:rsid w:val="003F7619"/>
    <w:rsid w:val="003F79B6"/>
    <w:rsid w:val="003F7E0F"/>
    <w:rsid w:val="004021C6"/>
    <w:rsid w:val="0040357F"/>
    <w:rsid w:val="00404449"/>
    <w:rsid w:val="004054CF"/>
    <w:rsid w:val="004057A4"/>
    <w:rsid w:val="00405DAD"/>
    <w:rsid w:val="00411023"/>
    <w:rsid w:val="00411C72"/>
    <w:rsid w:val="004128D8"/>
    <w:rsid w:val="004129E1"/>
    <w:rsid w:val="004131CA"/>
    <w:rsid w:val="00413A61"/>
    <w:rsid w:val="004141C5"/>
    <w:rsid w:val="0041537D"/>
    <w:rsid w:val="004162BF"/>
    <w:rsid w:val="0041708D"/>
    <w:rsid w:val="004177E4"/>
    <w:rsid w:val="00421018"/>
    <w:rsid w:val="0042113C"/>
    <w:rsid w:val="00421C69"/>
    <w:rsid w:val="00422106"/>
    <w:rsid w:val="00422153"/>
    <w:rsid w:val="00422666"/>
    <w:rsid w:val="00423AD7"/>
    <w:rsid w:val="004253EA"/>
    <w:rsid w:val="00425B47"/>
    <w:rsid w:val="004264A6"/>
    <w:rsid w:val="00426557"/>
    <w:rsid w:val="004270A0"/>
    <w:rsid w:val="004276C8"/>
    <w:rsid w:val="004300F8"/>
    <w:rsid w:val="00431F6D"/>
    <w:rsid w:val="00432DEF"/>
    <w:rsid w:val="00432F45"/>
    <w:rsid w:val="00433C66"/>
    <w:rsid w:val="00434C15"/>
    <w:rsid w:val="0043564D"/>
    <w:rsid w:val="00435FFA"/>
    <w:rsid w:val="00437182"/>
    <w:rsid w:val="0043797A"/>
    <w:rsid w:val="00441382"/>
    <w:rsid w:val="00441716"/>
    <w:rsid w:val="00441CE0"/>
    <w:rsid w:val="00441FA3"/>
    <w:rsid w:val="0044583D"/>
    <w:rsid w:val="004507C8"/>
    <w:rsid w:val="00452580"/>
    <w:rsid w:val="00453204"/>
    <w:rsid w:val="0045356A"/>
    <w:rsid w:val="00453E07"/>
    <w:rsid w:val="004567D2"/>
    <w:rsid w:val="004569BD"/>
    <w:rsid w:val="00457A8E"/>
    <w:rsid w:val="00461E4E"/>
    <w:rsid w:val="004625F7"/>
    <w:rsid w:val="00462BAE"/>
    <w:rsid w:val="00464201"/>
    <w:rsid w:val="00470CAF"/>
    <w:rsid w:val="00470E02"/>
    <w:rsid w:val="0047197B"/>
    <w:rsid w:val="004723FB"/>
    <w:rsid w:val="00472421"/>
    <w:rsid w:val="00472521"/>
    <w:rsid w:val="004728AC"/>
    <w:rsid w:val="00473BB1"/>
    <w:rsid w:val="00476545"/>
    <w:rsid w:val="00476C5E"/>
    <w:rsid w:val="00477D7B"/>
    <w:rsid w:val="00477FD3"/>
    <w:rsid w:val="00481B11"/>
    <w:rsid w:val="00482BB0"/>
    <w:rsid w:val="004836F7"/>
    <w:rsid w:val="00483944"/>
    <w:rsid w:val="004839AA"/>
    <w:rsid w:val="004840F8"/>
    <w:rsid w:val="00484ECF"/>
    <w:rsid w:val="00486807"/>
    <w:rsid w:val="00487C2D"/>
    <w:rsid w:val="00487C4D"/>
    <w:rsid w:val="004920E4"/>
    <w:rsid w:val="00492A68"/>
    <w:rsid w:val="00496843"/>
    <w:rsid w:val="00496BF1"/>
    <w:rsid w:val="004A079D"/>
    <w:rsid w:val="004A0882"/>
    <w:rsid w:val="004A0F83"/>
    <w:rsid w:val="004A22CC"/>
    <w:rsid w:val="004A2EF9"/>
    <w:rsid w:val="004A40A4"/>
    <w:rsid w:val="004A46EC"/>
    <w:rsid w:val="004A5BFE"/>
    <w:rsid w:val="004A5F03"/>
    <w:rsid w:val="004B0EBD"/>
    <w:rsid w:val="004B1426"/>
    <w:rsid w:val="004B18B6"/>
    <w:rsid w:val="004B25F3"/>
    <w:rsid w:val="004B294F"/>
    <w:rsid w:val="004B2A83"/>
    <w:rsid w:val="004B398C"/>
    <w:rsid w:val="004B4688"/>
    <w:rsid w:val="004C0B61"/>
    <w:rsid w:val="004C0D40"/>
    <w:rsid w:val="004C2741"/>
    <w:rsid w:val="004C2B8C"/>
    <w:rsid w:val="004C2EEF"/>
    <w:rsid w:val="004C31CA"/>
    <w:rsid w:val="004C33CB"/>
    <w:rsid w:val="004C3C99"/>
    <w:rsid w:val="004C453B"/>
    <w:rsid w:val="004C46A6"/>
    <w:rsid w:val="004C6858"/>
    <w:rsid w:val="004C6E52"/>
    <w:rsid w:val="004D0375"/>
    <w:rsid w:val="004D0A15"/>
    <w:rsid w:val="004D1185"/>
    <w:rsid w:val="004D1A59"/>
    <w:rsid w:val="004D31E9"/>
    <w:rsid w:val="004D35DF"/>
    <w:rsid w:val="004D5372"/>
    <w:rsid w:val="004D5EEE"/>
    <w:rsid w:val="004D67B4"/>
    <w:rsid w:val="004D7480"/>
    <w:rsid w:val="004E0D02"/>
    <w:rsid w:val="004E1D4D"/>
    <w:rsid w:val="004E1EDA"/>
    <w:rsid w:val="004E21B1"/>
    <w:rsid w:val="004E30B5"/>
    <w:rsid w:val="004E3F36"/>
    <w:rsid w:val="004E45C7"/>
    <w:rsid w:val="004E48F0"/>
    <w:rsid w:val="004E4BA3"/>
    <w:rsid w:val="004E5507"/>
    <w:rsid w:val="004E5DB6"/>
    <w:rsid w:val="004E6267"/>
    <w:rsid w:val="004E7D7D"/>
    <w:rsid w:val="004F1607"/>
    <w:rsid w:val="004F1CB8"/>
    <w:rsid w:val="004F2629"/>
    <w:rsid w:val="004F266A"/>
    <w:rsid w:val="004F3705"/>
    <w:rsid w:val="004F6155"/>
    <w:rsid w:val="004F6E75"/>
    <w:rsid w:val="004F7158"/>
    <w:rsid w:val="005011F4"/>
    <w:rsid w:val="00501DB7"/>
    <w:rsid w:val="0050292F"/>
    <w:rsid w:val="0050341E"/>
    <w:rsid w:val="00503579"/>
    <w:rsid w:val="0050367D"/>
    <w:rsid w:val="00505C7E"/>
    <w:rsid w:val="00507F99"/>
    <w:rsid w:val="00510075"/>
    <w:rsid w:val="005113FD"/>
    <w:rsid w:val="005115E4"/>
    <w:rsid w:val="00511947"/>
    <w:rsid w:val="00513F2F"/>
    <w:rsid w:val="00515365"/>
    <w:rsid w:val="00515E1F"/>
    <w:rsid w:val="005205E3"/>
    <w:rsid w:val="0052160F"/>
    <w:rsid w:val="0052423F"/>
    <w:rsid w:val="005242E3"/>
    <w:rsid w:val="0052638F"/>
    <w:rsid w:val="005269F8"/>
    <w:rsid w:val="00527F7B"/>
    <w:rsid w:val="0053066B"/>
    <w:rsid w:val="00531591"/>
    <w:rsid w:val="00533791"/>
    <w:rsid w:val="00533FDF"/>
    <w:rsid w:val="0053486B"/>
    <w:rsid w:val="005353EB"/>
    <w:rsid w:val="0053580D"/>
    <w:rsid w:val="0053675A"/>
    <w:rsid w:val="005428B6"/>
    <w:rsid w:val="00542FF3"/>
    <w:rsid w:val="0054332F"/>
    <w:rsid w:val="00543707"/>
    <w:rsid w:val="00544741"/>
    <w:rsid w:val="00544B7E"/>
    <w:rsid w:val="005457AF"/>
    <w:rsid w:val="00545950"/>
    <w:rsid w:val="00546134"/>
    <w:rsid w:val="00546359"/>
    <w:rsid w:val="0054698E"/>
    <w:rsid w:val="00546F67"/>
    <w:rsid w:val="00546FFF"/>
    <w:rsid w:val="00550CC5"/>
    <w:rsid w:val="00551443"/>
    <w:rsid w:val="00552EF7"/>
    <w:rsid w:val="00553431"/>
    <w:rsid w:val="00554623"/>
    <w:rsid w:val="00555237"/>
    <w:rsid w:val="00555895"/>
    <w:rsid w:val="005561D8"/>
    <w:rsid w:val="00556771"/>
    <w:rsid w:val="00561D42"/>
    <w:rsid w:val="00562537"/>
    <w:rsid w:val="0056279D"/>
    <w:rsid w:val="00563203"/>
    <w:rsid w:val="005639D6"/>
    <w:rsid w:val="00563ED1"/>
    <w:rsid w:val="00566104"/>
    <w:rsid w:val="00566E74"/>
    <w:rsid w:val="005702EE"/>
    <w:rsid w:val="00570823"/>
    <w:rsid w:val="00572727"/>
    <w:rsid w:val="005742D9"/>
    <w:rsid w:val="00574481"/>
    <w:rsid w:val="00574DB6"/>
    <w:rsid w:val="005761A0"/>
    <w:rsid w:val="00576AC2"/>
    <w:rsid w:val="005770E6"/>
    <w:rsid w:val="00580AC4"/>
    <w:rsid w:val="00583533"/>
    <w:rsid w:val="00586453"/>
    <w:rsid w:val="00586654"/>
    <w:rsid w:val="00590D40"/>
    <w:rsid w:val="00591921"/>
    <w:rsid w:val="00593A60"/>
    <w:rsid w:val="00595041"/>
    <w:rsid w:val="00595D3F"/>
    <w:rsid w:val="00596CB0"/>
    <w:rsid w:val="00597CD4"/>
    <w:rsid w:val="00597DD7"/>
    <w:rsid w:val="005A1284"/>
    <w:rsid w:val="005A4D61"/>
    <w:rsid w:val="005A4DB8"/>
    <w:rsid w:val="005A73DF"/>
    <w:rsid w:val="005A754D"/>
    <w:rsid w:val="005B0792"/>
    <w:rsid w:val="005B2720"/>
    <w:rsid w:val="005B38F7"/>
    <w:rsid w:val="005B3E6E"/>
    <w:rsid w:val="005B5417"/>
    <w:rsid w:val="005B6063"/>
    <w:rsid w:val="005B62D0"/>
    <w:rsid w:val="005B6644"/>
    <w:rsid w:val="005B66FE"/>
    <w:rsid w:val="005C1329"/>
    <w:rsid w:val="005C16B8"/>
    <w:rsid w:val="005C22C5"/>
    <w:rsid w:val="005C6504"/>
    <w:rsid w:val="005C698A"/>
    <w:rsid w:val="005C6A43"/>
    <w:rsid w:val="005C6ED3"/>
    <w:rsid w:val="005D05A6"/>
    <w:rsid w:val="005D1791"/>
    <w:rsid w:val="005D189E"/>
    <w:rsid w:val="005D1B4D"/>
    <w:rsid w:val="005D1B99"/>
    <w:rsid w:val="005D2419"/>
    <w:rsid w:val="005D3DE8"/>
    <w:rsid w:val="005D3E97"/>
    <w:rsid w:val="005D4E37"/>
    <w:rsid w:val="005D55BE"/>
    <w:rsid w:val="005E2495"/>
    <w:rsid w:val="005E3F59"/>
    <w:rsid w:val="005E429D"/>
    <w:rsid w:val="005E4570"/>
    <w:rsid w:val="005E4851"/>
    <w:rsid w:val="005E4E55"/>
    <w:rsid w:val="005E67E8"/>
    <w:rsid w:val="005E7110"/>
    <w:rsid w:val="005E7883"/>
    <w:rsid w:val="005F0163"/>
    <w:rsid w:val="005F167A"/>
    <w:rsid w:val="005F5CA6"/>
    <w:rsid w:val="005F6D95"/>
    <w:rsid w:val="005F7A68"/>
    <w:rsid w:val="005F7B86"/>
    <w:rsid w:val="00600207"/>
    <w:rsid w:val="006008CF"/>
    <w:rsid w:val="00600E47"/>
    <w:rsid w:val="00601795"/>
    <w:rsid w:val="006017D0"/>
    <w:rsid w:val="0060273A"/>
    <w:rsid w:val="00606C0E"/>
    <w:rsid w:val="00606CE1"/>
    <w:rsid w:val="006136FB"/>
    <w:rsid w:val="00613720"/>
    <w:rsid w:val="0061381E"/>
    <w:rsid w:val="00615BF0"/>
    <w:rsid w:val="0061790C"/>
    <w:rsid w:val="006216F2"/>
    <w:rsid w:val="006218E7"/>
    <w:rsid w:val="0062279E"/>
    <w:rsid w:val="00622DAF"/>
    <w:rsid w:val="0062478E"/>
    <w:rsid w:val="0062582D"/>
    <w:rsid w:val="00625C27"/>
    <w:rsid w:val="00627534"/>
    <w:rsid w:val="006277D3"/>
    <w:rsid w:val="00627E03"/>
    <w:rsid w:val="00630E9A"/>
    <w:rsid w:val="00631932"/>
    <w:rsid w:val="00632D78"/>
    <w:rsid w:val="0063393A"/>
    <w:rsid w:val="0063456C"/>
    <w:rsid w:val="0063630B"/>
    <w:rsid w:val="006365AD"/>
    <w:rsid w:val="006376F8"/>
    <w:rsid w:val="00637AA3"/>
    <w:rsid w:val="006420E2"/>
    <w:rsid w:val="006421E1"/>
    <w:rsid w:val="00643731"/>
    <w:rsid w:val="00643D1E"/>
    <w:rsid w:val="0064404C"/>
    <w:rsid w:val="00650624"/>
    <w:rsid w:val="00651310"/>
    <w:rsid w:val="0065134F"/>
    <w:rsid w:val="00652250"/>
    <w:rsid w:val="0065341E"/>
    <w:rsid w:val="00654013"/>
    <w:rsid w:val="006555E0"/>
    <w:rsid w:val="00656B6D"/>
    <w:rsid w:val="00657177"/>
    <w:rsid w:val="00657F4F"/>
    <w:rsid w:val="0066055D"/>
    <w:rsid w:val="00662115"/>
    <w:rsid w:val="00663080"/>
    <w:rsid w:val="0066686D"/>
    <w:rsid w:val="00666B7F"/>
    <w:rsid w:val="00667DAA"/>
    <w:rsid w:val="006707E9"/>
    <w:rsid w:val="00670F57"/>
    <w:rsid w:val="0067128C"/>
    <w:rsid w:val="00672E45"/>
    <w:rsid w:val="00674D57"/>
    <w:rsid w:val="006752BA"/>
    <w:rsid w:val="00676CD2"/>
    <w:rsid w:val="0068139B"/>
    <w:rsid w:val="00682118"/>
    <w:rsid w:val="0068214B"/>
    <w:rsid w:val="00682469"/>
    <w:rsid w:val="00684383"/>
    <w:rsid w:val="0068474F"/>
    <w:rsid w:val="0068551E"/>
    <w:rsid w:val="00685966"/>
    <w:rsid w:val="00690520"/>
    <w:rsid w:val="006906D2"/>
    <w:rsid w:val="00690DA0"/>
    <w:rsid w:val="006910DF"/>
    <w:rsid w:val="0069115B"/>
    <w:rsid w:val="00691431"/>
    <w:rsid w:val="0069160F"/>
    <w:rsid w:val="00693BE9"/>
    <w:rsid w:val="006941EF"/>
    <w:rsid w:val="00694A29"/>
    <w:rsid w:val="00695237"/>
    <w:rsid w:val="00695DEA"/>
    <w:rsid w:val="00696A73"/>
    <w:rsid w:val="006971EE"/>
    <w:rsid w:val="006A0887"/>
    <w:rsid w:val="006A09BB"/>
    <w:rsid w:val="006A1E1D"/>
    <w:rsid w:val="006A2FBE"/>
    <w:rsid w:val="006A4DFD"/>
    <w:rsid w:val="006A7593"/>
    <w:rsid w:val="006B19CF"/>
    <w:rsid w:val="006B362A"/>
    <w:rsid w:val="006B4CB2"/>
    <w:rsid w:val="006B4E19"/>
    <w:rsid w:val="006B58FE"/>
    <w:rsid w:val="006B7BD9"/>
    <w:rsid w:val="006C1C72"/>
    <w:rsid w:val="006C482C"/>
    <w:rsid w:val="006C4950"/>
    <w:rsid w:val="006C665D"/>
    <w:rsid w:val="006C66BB"/>
    <w:rsid w:val="006C6DA0"/>
    <w:rsid w:val="006C7011"/>
    <w:rsid w:val="006C70E5"/>
    <w:rsid w:val="006C7C6A"/>
    <w:rsid w:val="006D13AF"/>
    <w:rsid w:val="006D1FA6"/>
    <w:rsid w:val="006D2229"/>
    <w:rsid w:val="006D306B"/>
    <w:rsid w:val="006D38AE"/>
    <w:rsid w:val="006D3BDA"/>
    <w:rsid w:val="006D4387"/>
    <w:rsid w:val="006D6745"/>
    <w:rsid w:val="006D6DD4"/>
    <w:rsid w:val="006D772A"/>
    <w:rsid w:val="006D7917"/>
    <w:rsid w:val="006E115C"/>
    <w:rsid w:val="006E1670"/>
    <w:rsid w:val="006E4557"/>
    <w:rsid w:val="006E4FAB"/>
    <w:rsid w:val="006E51DC"/>
    <w:rsid w:val="006E5913"/>
    <w:rsid w:val="006E5A3F"/>
    <w:rsid w:val="006E65BD"/>
    <w:rsid w:val="006E732F"/>
    <w:rsid w:val="006E7783"/>
    <w:rsid w:val="006E7919"/>
    <w:rsid w:val="006F02C4"/>
    <w:rsid w:val="006F0716"/>
    <w:rsid w:val="006F0E92"/>
    <w:rsid w:val="006F1467"/>
    <w:rsid w:val="006F1D93"/>
    <w:rsid w:val="006F2472"/>
    <w:rsid w:val="006F33BF"/>
    <w:rsid w:val="006F3E78"/>
    <w:rsid w:val="006F3F8F"/>
    <w:rsid w:val="00700717"/>
    <w:rsid w:val="00700EDD"/>
    <w:rsid w:val="00700FCB"/>
    <w:rsid w:val="007021E8"/>
    <w:rsid w:val="00702717"/>
    <w:rsid w:val="00703C40"/>
    <w:rsid w:val="00703D67"/>
    <w:rsid w:val="00704267"/>
    <w:rsid w:val="0070450E"/>
    <w:rsid w:val="007070D1"/>
    <w:rsid w:val="00710770"/>
    <w:rsid w:val="0071103C"/>
    <w:rsid w:val="0071474C"/>
    <w:rsid w:val="007150A7"/>
    <w:rsid w:val="007158AB"/>
    <w:rsid w:val="007160F6"/>
    <w:rsid w:val="00716337"/>
    <w:rsid w:val="007168E8"/>
    <w:rsid w:val="00716CCC"/>
    <w:rsid w:val="00721A26"/>
    <w:rsid w:val="00722843"/>
    <w:rsid w:val="00724258"/>
    <w:rsid w:val="007244A9"/>
    <w:rsid w:val="007248A2"/>
    <w:rsid w:val="0073077B"/>
    <w:rsid w:val="00730FC1"/>
    <w:rsid w:val="00731CE3"/>
    <w:rsid w:val="00733CB4"/>
    <w:rsid w:val="0073405E"/>
    <w:rsid w:val="007342D6"/>
    <w:rsid w:val="007358A1"/>
    <w:rsid w:val="00736198"/>
    <w:rsid w:val="007425A0"/>
    <w:rsid w:val="00742910"/>
    <w:rsid w:val="00742BA6"/>
    <w:rsid w:val="00742E90"/>
    <w:rsid w:val="0074383D"/>
    <w:rsid w:val="00743911"/>
    <w:rsid w:val="00743BF4"/>
    <w:rsid w:val="00744028"/>
    <w:rsid w:val="007449F1"/>
    <w:rsid w:val="00744AB2"/>
    <w:rsid w:val="007450A4"/>
    <w:rsid w:val="007456D5"/>
    <w:rsid w:val="00747B95"/>
    <w:rsid w:val="00751F5D"/>
    <w:rsid w:val="007523B8"/>
    <w:rsid w:val="00753016"/>
    <w:rsid w:val="00753C84"/>
    <w:rsid w:val="007547C6"/>
    <w:rsid w:val="00755EB2"/>
    <w:rsid w:val="00755F4D"/>
    <w:rsid w:val="00756A41"/>
    <w:rsid w:val="007577A8"/>
    <w:rsid w:val="00760B42"/>
    <w:rsid w:val="00762153"/>
    <w:rsid w:val="00762BC8"/>
    <w:rsid w:val="00762F1E"/>
    <w:rsid w:val="00763F83"/>
    <w:rsid w:val="007651D4"/>
    <w:rsid w:val="00766C00"/>
    <w:rsid w:val="00766CC8"/>
    <w:rsid w:val="00766E75"/>
    <w:rsid w:val="007709F2"/>
    <w:rsid w:val="00774664"/>
    <w:rsid w:val="00781F69"/>
    <w:rsid w:val="00782541"/>
    <w:rsid w:val="0078257F"/>
    <w:rsid w:val="00782736"/>
    <w:rsid w:val="00782BEC"/>
    <w:rsid w:val="00783583"/>
    <w:rsid w:val="00785159"/>
    <w:rsid w:val="00790498"/>
    <w:rsid w:val="007907D8"/>
    <w:rsid w:val="00790A85"/>
    <w:rsid w:val="00791773"/>
    <w:rsid w:val="00792011"/>
    <w:rsid w:val="00793304"/>
    <w:rsid w:val="00794EE7"/>
    <w:rsid w:val="0079610D"/>
    <w:rsid w:val="0079626F"/>
    <w:rsid w:val="007A0CDB"/>
    <w:rsid w:val="007A0F7B"/>
    <w:rsid w:val="007A228F"/>
    <w:rsid w:val="007A2479"/>
    <w:rsid w:val="007A29D4"/>
    <w:rsid w:val="007A7863"/>
    <w:rsid w:val="007B31F6"/>
    <w:rsid w:val="007B67B9"/>
    <w:rsid w:val="007B6869"/>
    <w:rsid w:val="007B7B6A"/>
    <w:rsid w:val="007C0AB2"/>
    <w:rsid w:val="007C26AF"/>
    <w:rsid w:val="007C276F"/>
    <w:rsid w:val="007C2A66"/>
    <w:rsid w:val="007D0CEB"/>
    <w:rsid w:val="007D0DD3"/>
    <w:rsid w:val="007D25C5"/>
    <w:rsid w:val="007D3F36"/>
    <w:rsid w:val="007D4110"/>
    <w:rsid w:val="007D4A52"/>
    <w:rsid w:val="007D573F"/>
    <w:rsid w:val="007D69A5"/>
    <w:rsid w:val="007D6B56"/>
    <w:rsid w:val="007D7850"/>
    <w:rsid w:val="007D788C"/>
    <w:rsid w:val="007E1841"/>
    <w:rsid w:val="007E1F57"/>
    <w:rsid w:val="007E22F9"/>
    <w:rsid w:val="007E6E76"/>
    <w:rsid w:val="007E7050"/>
    <w:rsid w:val="007F0DF1"/>
    <w:rsid w:val="007F501B"/>
    <w:rsid w:val="007F5BB6"/>
    <w:rsid w:val="007F676D"/>
    <w:rsid w:val="007F715C"/>
    <w:rsid w:val="007F7FEB"/>
    <w:rsid w:val="00800761"/>
    <w:rsid w:val="0080094F"/>
    <w:rsid w:val="00801428"/>
    <w:rsid w:val="008019CE"/>
    <w:rsid w:val="00801DD5"/>
    <w:rsid w:val="008020E4"/>
    <w:rsid w:val="008024D9"/>
    <w:rsid w:val="00805187"/>
    <w:rsid w:val="00806A26"/>
    <w:rsid w:val="00810176"/>
    <w:rsid w:val="00812AB8"/>
    <w:rsid w:val="00813EEF"/>
    <w:rsid w:val="008141CE"/>
    <w:rsid w:val="00815676"/>
    <w:rsid w:val="008164CF"/>
    <w:rsid w:val="008177A9"/>
    <w:rsid w:val="00817D79"/>
    <w:rsid w:val="00822171"/>
    <w:rsid w:val="008231F5"/>
    <w:rsid w:val="00824AF3"/>
    <w:rsid w:val="00825986"/>
    <w:rsid w:val="00825B26"/>
    <w:rsid w:val="00827797"/>
    <w:rsid w:val="00827E47"/>
    <w:rsid w:val="008310AF"/>
    <w:rsid w:val="00832099"/>
    <w:rsid w:val="00832410"/>
    <w:rsid w:val="00832F6E"/>
    <w:rsid w:val="0083343E"/>
    <w:rsid w:val="00833491"/>
    <w:rsid w:val="00834146"/>
    <w:rsid w:val="00835653"/>
    <w:rsid w:val="008358CE"/>
    <w:rsid w:val="008369FB"/>
    <w:rsid w:val="0084148B"/>
    <w:rsid w:val="008418C9"/>
    <w:rsid w:val="00841BFC"/>
    <w:rsid w:val="00841DE4"/>
    <w:rsid w:val="00841F5B"/>
    <w:rsid w:val="00842172"/>
    <w:rsid w:val="008423FD"/>
    <w:rsid w:val="00844290"/>
    <w:rsid w:val="00845439"/>
    <w:rsid w:val="008454FB"/>
    <w:rsid w:val="00845EB2"/>
    <w:rsid w:val="00845F33"/>
    <w:rsid w:val="00846F15"/>
    <w:rsid w:val="00853455"/>
    <w:rsid w:val="008534AC"/>
    <w:rsid w:val="008542EE"/>
    <w:rsid w:val="00855639"/>
    <w:rsid w:val="00855DD1"/>
    <w:rsid w:val="0085600F"/>
    <w:rsid w:val="00856615"/>
    <w:rsid w:val="00856624"/>
    <w:rsid w:val="00856A8D"/>
    <w:rsid w:val="00856F48"/>
    <w:rsid w:val="00861BF1"/>
    <w:rsid w:val="0086291C"/>
    <w:rsid w:val="0086556F"/>
    <w:rsid w:val="00865A01"/>
    <w:rsid w:val="00865FC0"/>
    <w:rsid w:val="008668F0"/>
    <w:rsid w:val="00867207"/>
    <w:rsid w:val="008679EB"/>
    <w:rsid w:val="00870D2C"/>
    <w:rsid w:val="00872936"/>
    <w:rsid w:val="008743CF"/>
    <w:rsid w:val="008746D9"/>
    <w:rsid w:val="00874DAE"/>
    <w:rsid w:val="008761AE"/>
    <w:rsid w:val="00881DAC"/>
    <w:rsid w:val="00885531"/>
    <w:rsid w:val="0089185D"/>
    <w:rsid w:val="00891F7F"/>
    <w:rsid w:val="00892CB8"/>
    <w:rsid w:val="008930D2"/>
    <w:rsid w:val="00893B07"/>
    <w:rsid w:val="00893B5A"/>
    <w:rsid w:val="008949D2"/>
    <w:rsid w:val="00895890"/>
    <w:rsid w:val="00896B92"/>
    <w:rsid w:val="008971AE"/>
    <w:rsid w:val="0089724F"/>
    <w:rsid w:val="008A0B2F"/>
    <w:rsid w:val="008A29C3"/>
    <w:rsid w:val="008A2AD0"/>
    <w:rsid w:val="008A37AC"/>
    <w:rsid w:val="008A4A70"/>
    <w:rsid w:val="008A522F"/>
    <w:rsid w:val="008A553C"/>
    <w:rsid w:val="008A5BD8"/>
    <w:rsid w:val="008A6498"/>
    <w:rsid w:val="008B00CA"/>
    <w:rsid w:val="008B0B30"/>
    <w:rsid w:val="008B0DD2"/>
    <w:rsid w:val="008B18BE"/>
    <w:rsid w:val="008B1ED4"/>
    <w:rsid w:val="008B24AB"/>
    <w:rsid w:val="008B2B64"/>
    <w:rsid w:val="008B2CA4"/>
    <w:rsid w:val="008B2CBC"/>
    <w:rsid w:val="008B3467"/>
    <w:rsid w:val="008B35DF"/>
    <w:rsid w:val="008B4572"/>
    <w:rsid w:val="008B5C1F"/>
    <w:rsid w:val="008B664C"/>
    <w:rsid w:val="008B7374"/>
    <w:rsid w:val="008B764E"/>
    <w:rsid w:val="008C0D8E"/>
    <w:rsid w:val="008C1B22"/>
    <w:rsid w:val="008C1C43"/>
    <w:rsid w:val="008C2179"/>
    <w:rsid w:val="008C2B74"/>
    <w:rsid w:val="008C3F13"/>
    <w:rsid w:val="008C46D6"/>
    <w:rsid w:val="008C47C9"/>
    <w:rsid w:val="008C53DB"/>
    <w:rsid w:val="008C5B32"/>
    <w:rsid w:val="008C7866"/>
    <w:rsid w:val="008C7F24"/>
    <w:rsid w:val="008D0E12"/>
    <w:rsid w:val="008D16B3"/>
    <w:rsid w:val="008D1BCC"/>
    <w:rsid w:val="008D2A64"/>
    <w:rsid w:val="008D4936"/>
    <w:rsid w:val="008D5929"/>
    <w:rsid w:val="008D5C1A"/>
    <w:rsid w:val="008D5E5D"/>
    <w:rsid w:val="008D7418"/>
    <w:rsid w:val="008E09E8"/>
    <w:rsid w:val="008E0A4C"/>
    <w:rsid w:val="008E0F0D"/>
    <w:rsid w:val="008E1FC4"/>
    <w:rsid w:val="008E23D3"/>
    <w:rsid w:val="008E244B"/>
    <w:rsid w:val="008E282C"/>
    <w:rsid w:val="008E2B7D"/>
    <w:rsid w:val="008E2CF3"/>
    <w:rsid w:val="008E441A"/>
    <w:rsid w:val="008E6716"/>
    <w:rsid w:val="008F089D"/>
    <w:rsid w:val="008F1181"/>
    <w:rsid w:val="008F134D"/>
    <w:rsid w:val="008F31FC"/>
    <w:rsid w:val="008F36CE"/>
    <w:rsid w:val="008F55CC"/>
    <w:rsid w:val="008F5D9E"/>
    <w:rsid w:val="008F5FCF"/>
    <w:rsid w:val="008F68B7"/>
    <w:rsid w:val="008F6B7E"/>
    <w:rsid w:val="008F6C1A"/>
    <w:rsid w:val="00901041"/>
    <w:rsid w:val="0090220C"/>
    <w:rsid w:val="009033A7"/>
    <w:rsid w:val="009035F7"/>
    <w:rsid w:val="00904431"/>
    <w:rsid w:val="009061DB"/>
    <w:rsid w:val="009066CF"/>
    <w:rsid w:val="009072FD"/>
    <w:rsid w:val="009076D0"/>
    <w:rsid w:val="009104EC"/>
    <w:rsid w:val="00911271"/>
    <w:rsid w:val="00911768"/>
    <w:rsid w:val="00916A02"/>
    <w:rsid w:val="00922438"/>
    <w:rsid w:val="009227D1"/>
    <w:rsid w:val="00922A58"/>
    <w:rsid w:val="00924B13"/>
    <w:rsid w:val="0092517D"/>
    <w:rsid w:val="00926245"/>
    <w:rsid w:val="00930850"/>
    <w:rsid w:val="00930FB7"/>
    <w:rsid w:val="00932D99"/>
    <w:rsid w:val="00932E75"/>
    <w:rsid w:val="00934A8D"/>
    <w:rsid w:val="00935151"/>
    <w:rsid w:val="00936B93"/>
    <w:rsid w:val="0093768A"/>
    <w:rsid w:val="009403F7"/>
    <w:rsid w:val="00940541"/>
    <w:rsid w:val="009411FE"/>
    <w:rsid w:val="0094128E"/>
    <w:rsid w:val="009414F4"/>
    <w:rsid w:val="00941A2F"/>
    <w:rsid w:val="0094248C"/>
    <w:rsid w:val="009435AC"/>
    <w:rsid w:val="009440F6"/>
    <w:rsid w:val="00944214"/>
    <w:rsid w:val="0094610C"/>
    <w:rsid w:val="00946373"/>
    <w:rsid w:val="009469B5"/>
    <w:rsid w:val="00947EFA"/>
    <w:rsid w:val="00950C39"/>
    <w:rsid w:val="009548AE"/>
    <w:rsid w:val="00954A69"/>
    <w:rsid w:val="00954CAC"/>
    <w:rsid w:val="009567A2"/>
    <w:rsid w:val="00957086"/>
    <w:rsid w:val="009609AE"/>
    <w:rsid w:val="009630CB"/>
    <w:rsid w:val="00964F68"/>
    <w:rsid w:val="0097053E"/>
    <w:rsid w:val="0097061D"/>
    <w:rsid w:val="00971E2E"/>
    <w:rsid w:val="00971FBC"/>
    <w:rsid w:val="00971FDE"/>
    <w:rsid w:val="00971FF5"/>
    <w:rsid w:val="0097261F"/>
    <w:rsid w:val="00972814"/>
    <w:rsid w:val="00974545"/>
    <w:rsid w:val="009749A3"/>
    <w:rsid w:val="009753FC"/>
    <w:rsid w:val="0097619E"/>
    <w:rsid w:val="009774FE"/>
    <w:rsid w:val="0098052C"/>
    <w:rsid w:val="0098064C"/>
    <w:rsid w:val="009807C7"/>
    <w:rsid w:val="00981BCE"/>
    <w:rsid w:val="009826BC"/>
    <w:rsid w:val="0098295A"/>
    <w:rsid w:val="00982BBA"/>
    <w:rsid w:val="009848F3"/>
    <w:rsid w:val="0098703A"/>
    <w:rsid w:val="0099097F"/>
    <w:rsid w:val="00991228"/>
    <w:rsid w:val="00991748"/>
    <w:rsid w:val="009921F6"/>
    <w:rsid w:val="0099348A"/>
    <w:rsid w:val="00993AE6"/>
    <w:rsid w:val="009940A7"/>
    <w:rsid w:val="009948A0"/>
    <w:rsid w:val="00994AF5"/>
    <w:rsid w:val="0099568C"/>
    <w:rsid w:val="009965F9"/>
    <w:rsid w:val="00997CC9"/>
    <w:rsid w:val="009A3429"/>
    <w:rsid w:val="009A3E5D"/>
    <w:rsid w:val="009A4644"/>
    <w:rsid w:val="009B0571"/>
    <w:rsid w:val="009B062D"/>
    <w:rsid w:val="009B1A63"/>
    <w:rsid w:val="009B32FD"/>
    <w:rsid w:val="009B3432"/>
    <w:rsid w:val="009B3AE5"/>
    <w:rsid w:val="009B55E7"/>
    <w:rsid w:val="009B6827"/>
    <w:rsid w:val="009B71AE"/>
    <w:rsid w:val="009C1CD3"/>
    <w:rsid w:val="009C2659"/>
    <w:rsid w:val="009C31F3"/>
    <w:rsid w:val="009C3347"/>
    <w:rsid w:val="009C4D5B"/>
    <w:rsid w:val="009C54C8"/>
    <w:rsid w:val="009C5FB5"/>
    <w:rsid w:val="009C680C"/>
    <w:rsid w:val="009C7917"/>
    <w:rsid w:val="009D0AB0"/>
    <w:rsid w:val="009D0E84"/>
    <w:rsid w:val="009D2276"/>
    <w:rsid w:val="009D236E"/>
    <w:rsid w:val="009D39FF"/>
    <w:rsid w:val="009D4FAD"/>
    <w:rsid w:val="009D579E"/>
    <w:rsid w:val="009D59B4"/>
    <w:rsid w:val="009D6011"/>
    <w:rsid w:val="009D6FDE"/>
    <w:rsid w:val="009D7424"/>
    <w:rsid w:val="009E1ED0"/>
    <w:rsid w:val="009E287C"/>
    <w:rsid w:val="009E2A99"/>
    <w:rsid w:val="009E3FAE"/>
    <w:rsid w:val="009E49B6"/>
    <w:rsid w:val="009E5B68"/>
    <w:rsid w:val="009F21F8"/>
    <w:rsid w:val="009F268F"/>
    <w:rsid w:val="009F33CC"/>
    <w:rsid w:val="009F59D9"/>
    <w:rsid w:val="009F67EA"/>
    <w:rsid w:val="00A02C95"/>
    <w:rsid w:val="00A03333"/>
    <w:rsid w:val="00A03A20"/>
    <w:rsid w:val="00A04129"/>
    <w:rsid w:val="00A05DE7"/>
    <w:rsid w:val="00A06135"/>
    <w:rsid w:val="00A062F0"/>
    <w:rsid w:val="00A064C1"/>
    <w:rsid w:val="00A11198"/>
    <w:rsid w:val="00A1138E"/>
    <w:rsid w:val="00A1171D"/>
    <w:rsid w:val="00A121A2"/>
    <w:rsid w:val="00A12696"/>
    <w:rsid w:val="00A1287A"/>
    <w:rsid w:val="00A12A63"/>
    <w:rsid w:val="00A142A5"/>
    <w:rsid w:val="00A14CCC"/>
    <w:rsid w:val="00A14EB8"/>
    <w:rsid w:val="00A1584F"/>
    <w:rsid w:val="00A165C4"/>
    <w:rsid w:val="00A16B46"/>
    <w:rsid w:val="00A17D61"/>
    <w:rsid w:val="00A2151C"/>
    <w:rsid w:val="00A21EE4"/>
    <w:rsid w:val="00A21EEB"/>
    <w:rsid w:val="00A22AC7"/>
    <w:rsid w:val="00A2321E"/>
    <w:rsid w:val="00A2326D"/>
    <w:rsid w:val="00A23AAC"/>
    <w:rsid w:val="00A23D6F"/>
    <w:rsid w:val="00A24389"/>
    <w:rsid w:val="00A259F5"/>
    <w:rsid w:val="00A25E85"/>
    <w:rsid w:val="00A25F4D"/>
    <w:rsid w:val="00A26BBD"/>
    <w:rsid w:val="00A30F6E"/>
    <w:rsid w:val="00A34129"/>
    <w:rsid w:val="00A3496A"/>
    <w:rsid w:val="00A3587B"/>
    <w:rsid w:val="00A35C48"/>
    <w:rsid w:val="00A36DB7"/>
    <w:rsid w:val="00A37577"/>
    <w:rsid w:val="00A4114B"/>
    <w:rsid w:val="00A42ABA"/>
    <w:rsid w:val="00A4412B"/>
    <w:rsid w:val="00A44C2C"/>
    <w:rsid w:val="00A44C3F"/>
    <w:rsid w:val="00A44EE0"/>
    <w:rsid w:val="00A453B7"/>
    <w:rsid w:val="00A4792A"/>
    <w:rsid w:val="00A47D4A"/>
    <w:rsid w:val="00A500C3"/>
    <w:rsid w:val="00A5017F"/>
    <w:rsid w:val="00A50361"/>
    <w:rsid w:val="00A51761"/>
    <w:rsid w:val="00A53A69"/>
    <w:rsid w:val="00A54375"/>
    <w:rsid w:val="00A54EE9"/>
    <w:rsid w:val="00A558BB"/>
    <w:rsid w:val="00A57CA9"/>
    <w:rsid w:val="00A57FD7"/>
    <w:rsid w:val="00A602EA"/>
    <w:rsid w:val="00A60DAE"/>
    <w:rsid w:val="00A61425"/>
    <w:rsid w:val="00A6149F"/>
    <w:rsid w:val="00A620D8"/>
    <w:rsid w:val="00A628C4"/>
    <w:rsid w:val="00A639DE"/>
    <w:rsid w:val="00A65911"/>
    <w:rsid w:val="00A65B90"/>
    <w:rsid w:val="00A65E2D"/>
    <w:rsid w:val="00A66114"/>
    <w:rsid w:val="00A6646F"/>
    <w:rsid w:val="00A66C29"/>
    <w:rsid w:val="00A67B8D"/>
    <w:rsid w:val="00A67D22"/>
    <w:rsid w:val="00A70519"/>
    <w:rsid w:val="00A72BAD"/>
    <w:rsid w:val="00A7304C"/>
    <w:rsid w:val="00A73298"/>
    <w:rsid w:val="00A75033"/>
    <w:rsid w:val="00A76A40"/>
    <w:rsid w:val="00A7748E"/>
    <w:rsid w:val="00A813A6"/>
    <w:rsid w:val="00A82BA0"/>
    <w:rsid w:val="00A84767"/>
    <w:rsid w:val="00A8774C"/>
    <w:rsid w:val="00A87D08"/>
    <w:rsid w:val="00A90C5D"/>
    <w:rsid w:val="00A94322"/>
    <w:rsid w:val="00A94B08"/>
    <w:rsid w:val="00A94E0E"/>
    <w:rsid w:val="00AA00B0"/>
    <w:rsid w:val="00AA311E"/>
    <w:rsid w:val="00AA33DB"/>
    <w:rsid w:val="00AA39E1"/>
    <w:rsid w:val="00AA5631"/>
    <w:rsid w:val="00AA578F"/>
    <w:rsid w:val="00AA5A9F"/>
    <w:rsid w:val="00AA6C44"/>
    <w:rsid w:val="00AA6FBE"/>
    <w:rsid w:val="00AA70DB"/>
    <w:rsid w:val="00AB1720"/>
    <w:rsid w:val="00AB19E7"/>
    <w:rsid w:val="00AB25D7"/>
    <w:rsid w:val="00AB4F02"/>
    <w:rsid w:val="00AB64D1"/>
    <w:rsid w:val="00AB6F14"/>
    <w:rsid w:val="00AB7804"/>
    <w:rsid w:val="00AC0526"/>
    <w:rsid w:val="00AC0549"/>
    <w:rsid w:val="00AC1285"/>
    <w:rsid w:val="00AC187F"/>
    <w:rsid w:val="00AC457B"/>
    <w:rsid w:val="00AC4682"/>
    <w:rsid w:val="00AC6723"/>
    <w:rsid w:val="00AC683A"/>
    <w:rsid w:val="00AC6B4C"/>
    <w:rsid w:val="00AC6BB8"/>
    <w:rsid w:val="00AC6F5B"/>
    <w:rsid w:val="00AC7CDA"/>
    <w:rsid w:val="00AD0B8F"/>
    <w:rsid w:val="00AD1429"/>
    <w:rsid w:val="00AD277C"/>
    <w:rsid w:val="00AD2816"/>
    <w:rsid w:val="00AD357F"/>
    <w:rsid w:val="00AD6B41"/>
    <w:rsid w:val="00AD736C"/>
    <w:rsid w:val="00AE0EC4"/>
    <w:rsid w:val="00AE0FDC"/>
    <w:rsid w:val="00AE1F92"/>
    <w:rsid w:val="00AE3A78"/>
    <w:rsid w:val="00AE5FF8"/>
    <w:rsid w:val="00AF249B"/>
    <w:rsid w:val="00AF399F"/>
    <w:rsid w:val="00AF3B61"/>
    <w:rsid w:val="00AF4813"/>
    <w:rsid w:val="00AF4A52"/>
    <w:rsid w:val="00AF69BD"/>
    <w:rsid w:val="00AF707E"/>
    <w:rsid w:val="00B00602"/>
    <w:rsid w:val="00B01194"/>
    <w:rsid w:val="00B01484"/>
    <w:rsid w:val="00B037A6"/>
    <w:rsid w:val="00B03F04"/>
    <w:rsid w:val="00B047BD"/>
    <w:rsid w:val="00B05BDF"/>
    <w:rsid w:val="00B06B17"/>
    <w:rsid w:val="00B06DEF"/>
    <w:rsid w:val="00B0727B"/>
    <w:rsid w:val="00B07AF0"/>
    <w:rsid w:val="00B1082D"/>
    <w:rsid w:val="00B117F3"/>
    <w:rsid w:val="00B13B16"/>
    <w:rsid w:val="00B13D8D"/>
    <w:rsid w:val="00B140F9"/>
    <w:rsid w:val="00B143B0"/>
    <w:rsid w:val="00B155B5"/>
    <w:rsid w:val="00B15834"/>
    <w:rsid w:val="00B1762D"/>
    <w:rsid w:val="00B20B02"/>
    <w:rsid w:val="00B2159A"/>
    <w:rsid w:val="00B2171B"/>
    <w:rsid w:val="00B22CC0"/>
    <w:rsid w:val="00B22D38"/>
    <w:rsid w:val="00B2373D"/>
    <w:rsid w:val="00B23964"/>
    <w:rsid w:val="00B24951"/>
    <w:rsid w:val="00B24A26"/>
    <w:rsid w:val="00B25198"/>
    <w:rsid w:val="00B2536A"/>
    <w:rsid w:val="00B25F3A"/>
    <w:rsid w:val="00B30AC5"/>
    <w:rsid w:val="00B31347"/>
    <w:rsid w:val="00B331DB"/>
    <w:rsid w:val="00B339F5"/>
    <w:rsid w:val="00B35649"/>
    <w:rsid w:val="00B358BD"/>
    <w:rsid w:val="00B36C58"/>
    <w:rsid w:val="00B411B1"/>
    <w:rsid w:val="00B42DAD"/>
    <w:rsid w:val="00B4558E"/>
    <w:rsid w:val="00B50B06"/>
    <w:rsid w:val="00B51A52"/>
    <w:rsid w:val="00B522BD"/>
    <w:rsid w:val="00B527F1"/>
    <w:rsid w:val="00B52C7B"/>
    <w:rsid w:val="00B535B2"/>
    <w:rsid w:val="00B539CB"/>
    <w:rsid w:val="00B53F9B"/>
    <w:rsid w:val="00B544C8"/>
    <w:rsid w:val="00B549E3"/>
    <w:rsid w:val="00B5654A"/>
    <w:rsid w:val="00B579FA"/>
    <w:rsid w:val="00B61A2F"/>
    <w:rsid w:val="00B61D72"/>
    <w:rsid w:val="00B62A86"/>
    <w:rsid w:val="00B63270"/>
    <w:rsid w:val="00B63707"/>
    <w:rsid w:val="00B64D5A"/>
    <w:rsid w:val="00B64D98"/>
    <w:rsid w:val="00B651C0"/>
    <w:rsid w:val="00B658A2"/>
    <w:rsid w:val="00B66463"/>
    <w:rsid w:val="00B669F7"/>
    <w:rsid w:val="00B673CF"/>
    <w:rsid w:val="00B67F08"/>
    <w:rsid w:val="00B71A08"/>
    <w:rsid w:val="00B71E0D"/>
    <w:rsid w:val="00B73059"/>
    <w:rsid w:val="00B73954"/>
    <w:rsid w:val="00B746F6"/>
    <w:rsid w:val="00B76368"/>
    <w:rsid w:val="00B77174"/>
    <w:rsid w:val="00B77BFF"/>
    <w:rsid w:val="00B8011B"/>
    <w:rsid w:val="00B80C38"/>
    <w:rsid w:val="00B82EED"/>
    <w:rsid w:val="00B83B5A"/>
    <w:rsid w:val="00B85197"/>
    <w:rsid w:val="00B8779A"/>
    <w:rsid w:val="00B87C01"/>
    <w:rsid w:val="00B90895"/>
    <w:rsid w:val="00B90F77"/>
    <w:rsid w:val="00B9256B"/>
    <w:rsid w:val="00B931A3"/>
    <w:rsid w:val="00B93B57"/>
    <w:rsid w:val="00B93F1B"/>
    <w:rsid w:val="00B95105"/>
    <w:rsid w:val="00B9557E"/>
    <w:rsid w:val="00B9660D"/>
    <w:rsid w:val="00B97CBF"/>
    <w:rsid w:val="00BA0CFC"/>
    <w:rsid w:val="00BA2714"/>
    <w:rsid w:val="00BA4ED8"/>
    <w:rsid w:val="00BA618D"/>
    <w:rsid w:val="00BA7E52"/>
    <w:rsid w:val="00BB02E1"/>
    <w:rsid w:val="00BB24DE"/>
    <w:rsid w:val="00BB28BD"/>
    <w:rsid w:val="00BB327B"/>
    <w:rsid w:val="00BB328F"/>
    <w:rsid w:val="00BB3789"/>
    <w:rsid w:val="00BB5CD4"/>
    <w:rsid w:val="00BB5F1B"/>
    <w:rsid w:val="00BB6764"/>
    <w:rsid w:val="00BB6F5C"/>
    <w:rsid w:val="00BB7430"/>
    <w:rsid w:val="00BC07AA"/>
    <w:rsid w:val="00BC0C0B"/>
    <w:rsid w:val="00BC0F16"/>
    <w:rsid w:val="00BC17E5"/>
    <w:rsid w:val="00BC3263"/>
    <w:rsid w:val="00BC48E7"/>
    <w:rsid w:val="00BC5B95"/>
    <w:rsid w:val="00BD0E06"/>
    <w:rsid w:val="00BD2C2F"/>
    <w:rsid w:val="00BD2E05"/>
    <w:rsid w:val="00BD47C4"/>
    <w:rsid w:val="00BD4F4D"/>
    <w:rsid w:val="00BD6581"/>
    <w:rsid w:val="00BD7ED0"/>
    <w:rsid w:val="00BE1539"/>
    <w:rsid w:val="00BE1DD2"/>
    <w:rsid w:val="00BE1E94"/>
    <w:rsid w:val="00BE31C5"/>
    <w:rsid w:val="00BE442E"/>
    <w:rsid w:val="00BE5789"/>
    <w:rsid w:val="00BE5D21"/>
    <w:rsid w:val="00BE6ABE"/>
    <w:rsid w:val="00BE6BA6"/>
    <w:rsid w:val="00BE7995"/>
    <w:rsid w:val="00BF2BB8"/>
    <w:rsid w:val="00BF3141"/>
    <w:rsid w:val="00BF4263"/>
    <w:rsid w:val="00BF4B76"/>
    <w:rsid w:val="00BF5138"/>
    <w:rsid w:val="00BF5990"/>
    <w:rsid w:val="00BF621F"/>
    <w:rsid w:val="00BF62E2"/>
    <w:rsid w:val="00BF7225"/>
    <w:rsid w:val="00C01752"/>
    <w:rsid w:val="00C03FFE"/>
    <w:rsid w:val="00C04C83"/>
    <w:rsid w:val="00C04CC7"/>
    <w:rsid w:val="00C07B66"/>
    <w:rsid w:val="00C10C8A"/>
    <w:rsid w:val="00C1106F"/>
    <w:rsid w:val="00C11E9C"/>
    <w:rsid w:val="00C12BD4"/>
    <w:rsid w:val="00C138FF"/>
    <w:rsid w:val="00C14A23"/>
    <w:rsid w:val="00C14C32"/>
    <w:rsid w:val="00C1506F"/>
    <w:rsid w:val="00C161C5"/>
    <w:rsid w:val="00C16F64"/>
    <w:rsid w:val="00C17F1B"/>
    <w:rsid w:val="00C216DA"/>
    <w:rsid w:val="00C22FF8"/>
    <w:rsid w:val="00C238DB"/>
    <w:rsid w:val="00C276F6"/>
    <w:rsid w:val="00C312AB"/>
    <w:rsid w:val="00C3218E"/>
    <w:rsid w:val="00C323DC"/>
    <w:rsid w:val="00C33CC9"/>
    <w:rsid w:val="00C34536"/>
    <w:rsid w:val="00C34D9C"/>
    <w:rsid w:val="00C3558A"/>
    <w:rsid w:val="00C35D66"/>
    <w:rsid w:val="00C369C1"/>
    <w:rsid w:val="00C4005F"/>
    <w:rsid w:val="00C4145B"/>
    <w:rsid w:val="00C4354A"/>
    <w:rsid w:val="00C44462"/>
    <w:rsid w:val="00C4503A"/>
    <w:rsid w:val="00C46AFC"/>
    <w:rsid w:val="00C50552"/>
    <w:rsid w:val="00C50962"/>
    <w:rsid w:val="00C50C63"/>
    <w:rsid w:val="00C55B0C"/>
    <w:rsid w:val="00C560AD"/>
    <w:rsid w:val="00C5628E"/>
    <w:rsid w:val="00C56CE7"/>
    <w:rsid w:val="00C57797"/>
    <w:rsid w:val="00C57E8A"/>
    <w:rsid w:val="00C57FC5"/>
    <w:rsid w:val="00C602E6"/>
    <w:rsid w:val="00C61EAD"/>
    <w:rsid w:val="00C62594"/>
    <w:rsid w:val="00C62DB2"/>
    <w:rsid w:val="00C63503"/>
    <w:rsid w:val="00C63604"/>
    <w:rsid w:val="00C644D1"/>
    <w:rsid w:val="00C648FF"/>
    <w:rsid w:val="00C6587A"/>
    <w:rsid w:val="00C65E2E"/>
    <w:rsid w:val="00C6673D"/>
    <w:rsid w:val="00C67678"/>
    <w:rsid w:val="00C70134"/>
    <w:rsid w:val="00C7152E"/>
    <w:rsid w:val="00C71816"/>
    <w:rsid w:val="00C71900"/>
    <w:rsid w:val="00C721F9"/>
    <w:rsid w:val="00C74321"/>
    <w:rsid w:val="00C74536"/>
    <w:rsid w:val="00C74EED"/>
    <w:rsid w:val="00C76D37"/>
    <w:rsid w:val="00C76D8F"/>
    <w:rsid w:val="00C77DF8"/>
    <w:rsid w:val="00C84ABD"/>
    <w:rsid w:val="00C8633F"/>
    <w:rsid w:val="00C8691F"/>
    <w:rsid w:val="00C87023"/>
    <w:rsid w:val="00C87D61"/>
    <w:rsid w:val="00C91383"/>
    <w:rsid w:val="00C92DAD"/>
    <w:rsid w:val="00C938C0"/>
    <w:rsid w:val="00C965DC"/>
    <w:rsid w:val="00C96B33"/>
    <w:rsid w:val="00CA189B"/>
    <w:rsid w:val="00CA2014"/>
    <w:rsid w:val="00CA370C"/>
    <w:rsid w:val="00CA56B4"/>
    <w:rsid w:val="00CA57FB"/>
    <w:rsid w:val="00CA6953"/>
    <w:rsid w:val="00CA7336"/>
    <w:rsid w:val="00CA7D6D"/>
    <w:rsid w:val="00CB00E4"/>
    <w:rsid w:val="00CB099A"/>
    <w:rsid w:val="00CB1622"/>
    <w:rsid w:val="00CB19DD"/>
    <w:rsid w:val="00CB2D4C"/>
    <w:rsid w:val="00CB41DE"/>
    <w:rsid w:val="00CB49E0"/>
    <w:rsid w:val="00CB4A3B"/>
    <w:rsid w:val="00CB521E"/>
    <w:rsid w:val="00CB54AB"/>
    <w:rsid w:val="00CB554D"/>
    <w:rsid w:val="00CB6232"/>
    <w:rsid w:val="00CC07BD"/>
    <w:rsid w:val="00CC0DDD"/>
    <w:rsid w:val="00CC1B2D"/>
    <w:rsid w:val="00CC481F"/>
    <w:rsid w:val="00CC483E"/>
    <w:rsid w:val="00CC6A52"/>
    <w:rsid w:val="00CC71D1"/>
    <w:rsid w:val="00CC7354"/>
    <w:rsid w:val="00CC79B6"/>
    <w:rsid w:val="00CC7B56"/>
    <w:rsid w:val="00CD0D06"/>
    <w:rsid w:val="00CD19E5"/>
    <w:rsid w:val="00CD23B0"/>
    <w:rsid w:val="00CD3CEA"/>
    <w:rsid w:val="00CD67EB"/>
    <w:rsid w:val="00CD6CFB"/>
    <w:rsid w:val="00CD7326"/>
    <w:rsid w:val="00CD7BEF"/>
    <w:rsid w:val="00CE0128"/>
    <w:rsid w:val="00CE1C78"/>
    <w:rsid w:val="00CE1D44"/>
    <w:rsid w:val="00CE23BB"/>
    <w:rsid w:val="00CE37DD"/>
    <w:rsid w:val="00CE4DB5"/>
    <w:rsid w:val="00CE6E98"/>
    <w:rsid w:val="00CE7CF2"/>
    <w:rsid w:val="00CF0B87"/>
    <w:rsid w:val="00CF35EC"/>
    <w:rsid w:val="00CF6FD8"/>
    <w:rsid w:val="00D007D0"/>
    <w:rsid w:val="00D02E52"/>
    <w:rsid w:val="00D03249"/>
    <w:rsid w:val="00D03CB8"/>
    <w:rsid w:val="00D04AB5"/>
    <w:rsid w:val="00D055CB"/>
    <w:rsid w:val="00D061AD"/>
    <w:rsid w:val="00D06D8F"/>
    <w:rsid w:val="00D100B0"/>
    <w:rsid w:val="00D10C90"/>
    <w:rsid w:val="00D118DE"/>
    <w:rsid w:val="00D12D7D"/>
    <w:rsid w:val="00D14991"/>
    <w:rsid w:val="00D15A6E"/>
    <w:rsid w:val="00D16C0D"/>
    <w:rsid w:val="00D17968"/>
    <w:rsid w:val="00D21427"/>
    <w:rsid w:val="00D225CA"/>
    <w:rsid w:val="00D22B25"/>
    <w:rsid w:val="00D23AAE"/>
    <w:rsid w:val="00D23E84"/>
    <w:rsid w:val="00D24464"/>
    <w:rsid w:val="00D245BA"/>
    <w:rsid w:val="00D25A3E"/>
    <w:rsid w:val="00D265B6"/>
    <w:rsid w:val="00D276C8"/>
    <w:rsid w:val="00D27E1E"/>
    <w:rsid w:val="00D32B4C"/>
    <w:rsid w:val="00D3384B"/>
    <w:rsid w:val="00D35905"/>
    <w:rsid w:val="00D35C63"/>
    <w:rsid w:val="00D371FD"/>
    <w:rsid w:val="00D37F46"/>
    <w:rsid w:val="00D40CA9"/>
    <w:rsid w:val="00D416CE"/>
    <w:rsid w:val="00D41AEE"/>
    <w:rsid w:val="00D41C10"/>
    <w:rsid w:val="00D41C88"/>
    <w:rsid w:val="00D4592C"/>
    <w:rsid w:val="00D470F5"/>
    <w:rsid w:val="00D47566"/>
    <w:rsid w:val="00D50DEF"/>
    <w:rsid w:val="00D51313"/>
    <w:rsid w:val="00D51773"/>
    <w:rsid w:val="00D521A8"/>
    <w:rsid w:val="00D52246"/>
    <w:rsid w:val="00D52669"/>
    <w:rsid w:val="00D52991"/>
    <w:rsid w:val="00D54251"/>
    <w:rsid w:val="00D545F7"/>
    <w:rsid w:val="00D55395"/>
    <w:rsid w:val="00D569E9"/>
    <w:rsid w:val="00D573C2"/>
    <w:rsid w:val="00D575D2"/>
    <w:rsid w:val="00D60350"/>
    <w:rsid w:val="00D60AA6"/>
    <w:rsid w:val="00D643F3"/>
    <w:rsid w:val="00D65D1F"/>
    <w:rsid w:val="00D668B6"/>
    <w:rsid w:val="00D67800"/>
    <w:rsid w:val="00D67EE3"/>
    <w:rsid w:val="00D72FC1"/>
    <w:rsid w:val="00D73F8C"/>
    <w:rsid w:val="00D73FD5"/>
    <w:rsid w:val="00D742F0"/>
    <w:rsid w:val="00D7488F"/>
    <w:rsid w:val="00D757EB"/>
    <w:rsid w:val="00D75EAC"/>
    <w:rsid w:val="00D81A2A"/>
    <w:rsid w:val="00D81D77"/>
    <w:rsid w:val="00D82101"/>
    <w:rsid w:val="00D827AB"/>
    <w:rsid w:val="00D82E06"/>
    <w:rsid w:val="00D859A1"/>
    <w:rsid w:val="00D87150"/>
    <w:rsid w:val="00D930D3"/>
    <w:rsid w:val="00D9403C"/>
    <w:rsid w:val="00D94B8A"/>
    <w:rsid w:val="00D9516A"/>
    <w:rsid w:val="00D9572C"/>
    <w:rsid w:val="00D962C1"/>
    <w:rsid w:val="00D97029"/>
    <w:rsid w:val="00D97D2C"/>
    <w:rsid w:val="00DA444E"/>
    <w:rsid w:val="00DA773F"/>
    <w:rsid w:val="00DB0545"/>
    <w:rsid w:val="00DB08CD"/>
    <w:rsid w:val="00DB14C0"/>
    <w:rsid w:val="00DB37DB"/>
    <w:rsid w:val="00DB4684"/>
    <w:rsid w:val="00DB4ADA"/>
    <w:rsid w:val="00DB5DB7"/>
    <w:rsid w:val="00DB6230"/>
    <w:rsid w:val="00DB65A3"/>
    <w:rsid w:val="00DB6BFE"/>
    <w:rsid w:val="00DB780E"/>
    <w:rsid w:val="00DC01DE"/>
    <w:rsid w:val="00DC1B6B"/>
    <w:rsid w:val="00DC353F"/>
    <w:rsid w:val="00DC6086"/>
    <w:rsid w:val="00DC67E8"/>
    <w:rsid w:val="00DD0008"/>
    <w:rsid w:val="00DD06A0"/>
    <w:rsid w:val="00DD0B4E"/>
    <w:rsid w:val="00DD0C8C"/>
    <w:rsid w:val="00DD0F98"/>
    <w:rsid w:val="00DD329C"/>
    <w:rsid w:val="00DD34B5"/>
    <w:rsid w:val="00DD3651"/>
    <w:rsid w:val="00DD39C1"/>
    <w:rsid w:val="00DD449B"/>
    <w:rsid w:val="00DD64EC"/>
    <w:rsid w:val="00DE03F0"/>
    <w:rsid w:val="00DE1533"/>
    <w:rsid w:val="00DE27D9"/>
    <w:rsid w:val="00DE2910"/>
    <w:rsid w:val="00DE2B3D"/>
    <w:rsid w:val="00DE2E24"/>
    <w:rsid w:val="00DE436E"/>
    <w:rsid w:val="00DE5A8F"/>
    <w:rsid w:val="00DE770A"/>
    <w:rsid w:val="00DF0559"/>
    <w:rsid w:val="00DF09E3"/>
    <w:rsid w:val="00DF1295"/>
    <w:rsid w:val="00DF142A"/>
    <w:rsid w:val="00DF17C0"/>
    <w:rsid w:val="00DF19A4"/>
    <w:rsid w:val="00DF202A"/>
    <w:rsid w:val="00DF2238"/>
    <w:rsid w:val="00DF413B"/>
    <w:rsid w:val="00DF463B"/>
    <w:rsid w:val="00DF6DA4"/>
    <w:rsid w:val="00E013EC"/>
    <w:rsid w:val="00E0213F"/>
    <w:rsid w:val="00E057D3"/>
    <w:rsid w:val="00E07066"/>
    <w:rsid w:val="00E07FEA"/>
    <w:rsid w:val="00E102FE"/>
    <w:rsid w:val="00E1080E"/>
    <w:rsid w:val="00E110A1"/>
    <w:rsid w:val="00E11F93"/>
    <w:rsid w:val="00E13A8E"/>
    <w:rsid w:val="00E13FF4"/>
    <w:rsid w:val="00E14034"/>
    <w:rsid w:val="00E14150"/>
    <w:rsid w:val="00E15553"/>
    <w:rsid w:val="00E165B0"/>
    <w:rsid w:val="00E17585"/>
    <w:rsid w:val="00E176D8"/>
    <w:rsid w:val="00E202AD"/>
    <w:rsid w:val="00E206B8"/>
    <w:rsid w:val="00E20B97"/>
    <w:rsid w:val="00E223F6"/>
    <w:rsid w:val="00E22864"/>
    <w:rsid w:val="00E23212"/>
    <w:rsid w:val="00E24386"/>
    <w:rsid w:val="00E251F7"/>
    <w:rsid w:val="00E2567A"/>
    <w:rsid w:val="00E31910"/>
    <w:rsid w:val="00E31E40"/>
    <w:rsid w:val="00E3240F"/>
    <w:rsid w:val="00E32419"/>
    <w:rsid w:val="00E32B82"/>
    <w:rsid w:val="00E32F5C"/>
    <w:rsid w:val="00E3537D"/>
    <w:rsid w:val="00E354FA"/>
    <w:rsid w:val="00E35D74"/>
    <w:rsid w:val="00E379B6"/>
    <w:rsid w:val="00E4221A"/>
    <w:rsid w:val="00E422CE"/>
    <w:rsid w:val="00E4259E"/>
    <w:rsid w:val="00E42BE8"/>
    <w:rsid w:val="00E434C7"/>
    <w:rsid w:val="00E4423A"/>
    <w:rsid w:val="00E448ED"/>
    <w:rsid w:val="00E461A7"/>
    <w:rsid w:val="00E46DD3"/>
    <w:rsid w:val="00E472FE"/>
    <w:rsid w:val="00E47C03"/>
    <w:rsid w:val="00E47FA0"/>
    <w:rsid w:val="00E51C6D"/>
    <w:rsid w:val="00E5294D"/>
    <w:rsid w:val="00E53EC3"/>
    <w:rsid w:val="00E5408B"/>
    <w:rsid w:val="00E54F05"/>
    <w:rsid w:val="00E5524C"/>
    <w:rsid w:val="00E558E8"/>
    <w:rsid w:val="00E57060"/>
    <w:rsid w:val="00E60BE8"/>
    <w:rsid w:val="00E6114E"/>
    <w:rsid w:val="00E61448"/>
    <w:rsid w:val="00E61D89"/>
    <w:rsid w:val="00E62FBD"/>
    <w:rsid w:val="00E6389B"/>
    <w:rsid w:val="00E65357"/>
    <w:rsid w:val="00E668E0"/>
    <w:rsid w:val="00E66C22"/>
    <w:rsid w:val="00E671C2"/>
    <w:rsid w:val="00E673E0"/>
    <w:rsid w:val="00E71821"/>
    <w:rsid w:val="00E71EBC"/>
    <w:rsid w:val="00E727A7"/>
    <w:rsid w:val="00E72882"/>
    <w:rsid w:val="00E7383E"/>
    <w:rsid w:val="00E74652"/>
    <w:rsid w:val="00E757B0"/>
    <w:rsid w:val="00E76D0E"/>
    <w:rsid w:val="00E80376"/>
    <w:rsid w:val="00E8061C"/>
    <w:rsid w:val="00E806C8"/>
    <w:rsid w:val="00E83C93"/>
    <w:rsid w:val="00E84A30"/>
    <w:rsid w:val="00E86456"/>
    <w:rsid w:val="00E87F02"/>
    <w:rsid w:val="00E906BF"/>
    <w:rsid w:val="00E906F9"/>
    <w:rsid w:val="00E91177"/>
    <w:rsid w:val="00E912B9"/>
    <w:rsid w:val="00E91CDF"/>
    <w:rsid w:val="00E951AB"/>
    <w:rsid w:val="00E963F9"/>
    <w:rsid w:val="00E96D58"/>
    <w:rsid w:val="00E97876"/>
    <w:rsid w:val="00EA03D1"/>
    <w:rsid w:val="00EA1373"/>
    <w:rsid w:val="00EA1AAA"/>
    <w:rsid w:val="00EA1E30"/>
    <w:rsid w:val="00EA213C"/>
    <w:rsid w:val="00EA2F26"/>
    <w:rsid w:val="00EA3F6C"/>
    <w:rsid w:val="00EA42CA"/>
    <w:rsid w:val="00EA444F"/>
    <w:rsid w:val="00EA4BE0"/>
    <w:rsid w:val="00EA54D6"/>
    <w:rsid w:val="00EA5DDA"/>
    <w:rsid w:val="00EA6076"/>
    <w:rsid w:val="00EA62E8"/>
    <w:rsid w:val="00EA6B74"/>
    <w:rsid w:val="00EA7D4B"/>
    <w:rsid w:val="00EB0B1C"/>
    <w:rsid w:val="00EB0C97"/>
    <w:rsid w:val="00EB38D9"/>
    <w:rsid w:val="00EB4694"/>
    <w:rsid w:val="00EB5631"/>
    <w:rsid w:val="00EB6044"/>
    <w:rsid w:val="00EB6B47"/>
    <w:rsid w:val="00EC1002"/>
    <w:rsid w:val="00EC1808"/>
    <w:rsid w:val="00EC2DB4"/>
    <w:rsid w:val="00EC3656"/>
    <w:rsid w:val="00EC4DEB"/>
    <w:rsid w:val="00EC65A1"/>
    <w:rsid w:val="00EC780E"/>
    <w:rsid w:val="00EC795B"/>
    <w:rsid w:val="00ED0E76"/>
    <w:rsid w:val="00ED22C0"/>
    <w:rsid w:val="00ED26B9"/>
    <w:rsid w:val="00ED307F"/>
    <w:rsid w:val="00ED51AD"/>
    <w:rsid w:val="00ED60FA"/>
    <w:rsid w:val="00ED6115"/>
    <w:rsid w:val="00ED6555"/>
    <w:rsid w:val="00ED656C"/>
    <w:rsid w:val="00ED66F7"/>
    <w:rsid w:val="00EE0056"/>
    <w:rsid w:val="00EE2D06"/>
    <w:rsid w:val="00EE3E5F"/>
    <w:rsid w:val="00EE4D31"/>
    <w:rsid w:val="00EE4D36"/>
    <w:rsid w:val="00EE5D19"/>
    <w:rsid w:val="00EE5F53"/>
    <w:rsid w:val="00EE64CC"/>
    <w:rsid w:val="00EE6D22"/>
    <w:rsid w:val="00EE7BBC"/>
    <w:rsid w:val="00EF40F5"/>
    <w:rsid w:val="00EF468C"/>
    <w:rsid w:val="00EF4A1F"/>
    <w:rsid w:val="00EF4D9E"/>
    <w:rsid w:val="00EF5B92"/>
    <w:rsid w:val="00EF613C"/>
    <w:rsid w:val="00F004E6"/>
    <w:rsid w:val="00F00FA6"/>
    <w:rsid w:val="00F01F6A"/>
    <w:rsid w:val="00F02F59"/>
    <w:rsid w:val="00F034BC"/>
    <w:rsid w:val="00F052D6"/>
    <w:rsid w:val="00F06EB4"/>
    <w:rsid w:val="00F1184A"/>
    <w:rsid w:val="00F12BB7"/>
    <w:rsid w:val="00F12D54"/>
    <w:rsid w:val="00F13288"/>
    <w:rsid w:val="00F135E3"/>
    <w:rsid w:val="00F13944"/>
    <w:rsid w:val="00F14201"/>
    <w:rsid w:val="00F145AA"/>
    <w:rsid w:val="00F149C3"/>
    <w:rsid w:val="00F17D64"/>
    <w:rsid w:val="00F217E9"/>
    <w:rsid w:val="00F222ED"/>
    <w:rsid w:val="00F22FDF"/>
    <w:rsid w:val="00F241F8"/>
    <w:rsid w:val="00F24DF3"/>
    <w:rsid w:val="00F304FF"/>
    <w:rsid w:val="00F32BBF"/>
    <w:rsid w:val="00F33374"/>
    <w:rsid w:val="00F33C07"/>
    <w:rsid w:val="00F35200"/>
    <w:rsid w:val="00F354E0"/>
    <w:rsid w:val="00F35822"/>
    <w:rsid w:val="00F36048"/>
    <w:rsid w:val="00F3622F"/>
    <w:rsid w:val="00F37E2E"/>
    <w:rsid w:val="00F433B8"/>
    <w:rsid w:val="00F45211"/>
    <w:rsid w:val="00F478C8"/>
    <w:rsid w:val="00F5038B"/>
    <w:rsid w:val="00F5098E"/>
    <w:rsid w:val="00F50BFA"/>
    <w:rsid w:val="00F51A6E"/>
    <w:rsid w:val="00F52D67"/>
    <w:rsid w:val="00F53327"/>
    <w:rsid w:val="00F53B32"/>
    <w:rsid w:val="00F53F47"/>
    <w:rsid w:val="00F541C8"/>
    <w:rsid w:val="00F55DA2"/>
    <w:rsid w:val="00F55DE6"/>
    <w:rsid w:val="00F61961"/>
    <w:rsid w:val="00F619D0"/>
    <w:rsid w:val="00F6221A"/>
    <w:rsid w:val="00F62386"/>
    <w:rsid w:val="00F63686"/>
    <w:rsid w:val="00F63F35"/>
    <w:rsid w:val="00F648B8"/>
    <w:rsid w:val="00F65FD0"/>
    <w:rsid w:val="00F66E2E"/>
    <w:rsid w:val="00F70308"/>
    <w:rsid w:val="00F737E5"/>
    <w:rsid w:val="00F7490F"/>
    <w:rsid w:val="00F74AA9"/>
    <w:rsid w:val="00F74B42"/>
    <w:rsid w:val="00F7591E"/>
    <w:rsid w:val="00F80CDD"/>
    <w:rsid w:val="00F831C5"/>
    <w:rsid w:val="00F83D0D"/>
    <w:rsid w:val="00F84236"/>
    <w:rsid w:val="00F8512E"/>
    <w:rsid w:val="00F853B8"/>
    <w:rsid w:val="00F85FFB"/>
    <w:rsid w:val="00F9028D"/>
    <w:rsid w:val="00F913DE"/>
    <w:rsid w:val="00F91487"/>
    <w:rsid w:val="00F92E05"/>
    <w:rsid w:val="00F931FB"/>
    <w:rsid w:val="00F93227"/>
    <w:rsid w:val="00F96F2D"/>
    <w:rsid w:val="00F97F72"/>
    <w:rsid w:val="00FA0A27"/>
    <w:rsid w:val="00FA14D3"/>
    <w:rsid w:val="00FA3AED"/>
    <w:rsid w:val="00FA42C0"/>
    <w:rsid w:val="00FA495A"/>
    <w:rsid w:val="00FA5167"/>
    <w:rsid w:val="00FA7CE5"/>
    <w:rsid w:val="00FB058E"/>
    <w:rsid w:val="00FB0D25"/>
    <w:rsid w:val="00FB0DFF"/>
    <w:rsid w:val="00FB1D0D"/>
    <w:rsid w:val="00FB2540"/>
    <w:rsid w:val="00FB3B3D"/>
    <w:rsid w:val="00FB3BF0"/>
    <w:rsid w:val="00FB3FEE"/>
    <w:rsid w:val="00FB4583"/>
    <w:rsid w:val="00FB4BD3"/>
    <w:rsid w:val="00FB6A5D"/>
    <w:rsid w:val="00FB6E1B"/>
    <w:rsid w:val="00FB70F9"/>
    <w:rsid w:val="00FB763B"/>
    <w:rsid w:val="00FC19BC"/>
    <w:rsid w:val="00FC1A39"/>
    <w:rsid w:val="00FC4060"/>
    <w:rsid w:val="00FC4462"/>
    <w:rsid w:val="00FC7259"/>
    <w:rsid w:val="00FC7AB1"/>
    <w:rsid w:val="00FC7EA9"/>
    <w:rsid w:val="00FD0387"/>
    <w:rsid w:val="00FD270D"/>
    <w:rsid w:val="00FD611B"/>
    <w:rsid w:val="00FD653F"/>
    <w:rsid w:val="00FD69CC"/>
    <w:rsid w:val="00FD7474"/>
    <w:rsid w:val="00FD7757"/>
    <w:rsid w:val="00FD7A25"/>
    <w:rsid w:val="00FE0353"/>
    <w:rsid w:val="00FE2F2D"/>
    <w:rsid w:val="00FE33B2"/>
    <w:rsid w:val="00FE4519"/>
    <w:rsid w:val="00FE4CD0"/>
    <w:rsid w:val="00FE7B58"/>
    <w:rsid w:val="00FF1CE6"/>
    <w:rsid w:val="00FF2647"/>
    <w:rsid w:val="00FF38F9"/>
    <w:rsid w:val="00FF3E8D"/>
    <w:rsid w:val="00FF649C"/>
    <w:rsid w:val="00FF6D44"/>
    <w:rsid w:val="00FF7A71"/>
    <w:rsid w:val="00FF7D6F"/>
    <w:rsid w:val="00FF7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15:docId w15:val="{EA2B0CA4-0D4D-4DB6-9DDB-BCE959B6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CB554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B554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B554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B554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qFormat/>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3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121A2"/>
    <w:rPr>
      <w:color w:val="605E5C"/>
      <w:shd w:val="clear" w:color="auto" w:fill="E1DFDD"/>
    </w:rPr>
  </w:style>
  <w:style w:type="character" w:customStyle="1" w:styleId="cf01">
    <w:name w:val="cf01"/>
    <w:basedOn w:val="Standaardalinea-lettertype"/>
    <w:rsid w:val="00C62DB2"/>
    <w:rPr>
      <w:rFonts w:ascii="Segoe UI" w:hAnsi="Segoe UI" w:cs="Segoe UI" w:hint="default"/>
      <w:sz w:val="18"/>
      <w:szCs w:val="18"/>
    </w:rPr>
  </w:style>
  <w:style w:type="character" w:customStyle="1" w:styleId="Kop6Char">
    <w:name w:val="Kop 6 Char"/>
    <w:basedOn w:val="Standaardalinea-lettertype"/>
    <w:link w:val="Kop6"/>
    <w:uiPriority w:val="9"/>
    <w:semiHidden/>
    <w:rsid w:val="00CB554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CB554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CB554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CB554D"/>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CB55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B554D"/>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CB55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B554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CB554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B554D"/>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ievebenadrukking">
    <w:name w:val="Intense Emphasis"/>
    <w:basedOn w:val="Standaardalinea-lettertype"/>
    <w:uiPriority w:val="21"/>
    <w:qFormat/>
    <w:rsid w:val="00CB554D"/>
    <w:rPr>
      <w:i/>
      <w:iCs/>
      <w:color w:val="365F91" w:themeColor="accent1" w:themeShade="BF"/>
    </w:rPr>
  </w:style>
  <w:style w:type="paragraph" w:styleId="Duidelijkcitaat">
    <w:name w:val="Intense Quote"/>
    <w:basedOn w:val="Standaard"/>
    <w:next w:val="Standaard"/>
    <w:link w:val="DuidelijkcitaatChar"/>
    <w:uiPriority w:val="30"/>
    <w:qFormat/>
    <w:rsid w:val="00CB554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B554D"/>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B554D"/>
    <w:rPr>
      <w:b/>
      <w:bCs/>
      <w:smallCaps/>
      <w:color w:val="365F91" w:themeColor="accent1" w:themeShade="BF"/>
      <w:spacing w:val="5"/>
    </w:rPr>
  </w:style>
  <w:style w:type="numbering" w:customStyle="1" w:styleId="Geenlijst1">
    <w:name w:val="Geen lijst1"/>
    <w:next w:val="Geenlijst"/>
    <w:uiPriority w:val="99"/>
    <w:semiHidden/>
    <w:unhideWhenUsed/>
    <w:rsid w:val="00CB554D"/>
  </w:style>
  <w:style w:type="character" w:customStyle="1" w:styleId="BallontekstChar1">
    <w:name w:val="Ballontekst Char1"/>
    <w:basedOn w:val="Standaardalinea-lettertype"/>
    <w:uiPriority w:val="99"/>
    <w:semiHidden/>
    <w:rsid w:val="00CB554D"/>
    <w:rPr>
      <w:rFonts w:ascii="Segoe UI" w:hAnsi="Segoe UI" w:cs="Segoe UI"/>
      <w:sz w:val="18"/>
      <w:szCs w:val="18"/>
    </w:rPr>
  </w:style>
  <w:style w:type="table" w:customStyle="1" w:styleId="Tabelraster1">
    <w:name w:val="Tabelraster1"/>
    <w:basedOn w:val="Standaardtabel"/>
    <w:next w:val="Tabelraster"/>
    <w:uiPriority w:val="59"/>
    <w:rsid w:val="00CB55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9371">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35655942">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617446773">
      <w:bodyDiv w:val="1"/>
      <w:marLeft w:val="0"/>
      <w:marRight w:val="0"/>
      <w:marTop w:val="0"/>
      <w:marBottom w:val="0"/>
      <w:divBdr>
        <w:top w:val="none" w:sz="0" w:space="0" w:color="auto"/>
        <w:left w:val="none" w:sz="0" w:space="0" w:color="auto"/>
        <w:bottom w:val="none" w:sz="0" w:space="0" w:color="auto"/>
        <w:right w:val="none" w:sz="0" w:space="0" w:color="auto"/>
      </w:divBdr>
    </w:div>
    <w:div w:id="719595435">
      <w:bodyDiv w:val="1"/>
      <w:marLeft w:val="0"/>
      <w:marRight w:val="0"/>
      <w:marTop w:val="0"/>
      <w:marBottom w:val="0"/>
      <w:divBdr>
        <w:top w:val="none" w:sz="0" w:space="0" w:color="auto"/>
        <w:left w:val="none" w:sz="0" w:space="0" w:color="auto"/>
        <w:bottom w:val="none" w:sz="0" w:space="0" w:color="auto"/>
        <w:right w:val="none" w:sz="0" w:space="0" w:color="auto"/>
      </w:divBdr>
    </w:div>
    <w:div w:id="761922442">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60053464">
      <w:bodyDiv w:val="1"/>
      <w:marLeft w:val="0"/>
      <w:marRight w:val="0"/>
      <w:marTop w:val="0"/>
      <w:marBottom w:val="0"/>
      <w:divBdr>
        <w:top w:val="none" w:sz="0" w:space="0" w:color="auto"/>
        <w:left w:val="none" w:sz="0" w:space="0" w:color="auto"/>
        <w:bottom w:val="none" w:sz="0" w:space="0" w:color="auto"/>
        <w:right w:val="none" w:sz="0" w:space="0" w:color="auto"/>
      </w:divBdr>
    </w:div>
    <w:div w:id="1153453930">
      <w:bodyDiv w:val="1"/>
      <w:marLeft w:val="0"/>
      <w:marRight w:val="0"/>
      <w:marTop w:val="0"/>
      <w:marBottom w:val="0"/>
      <w:divBdr>
        <w:top w:val="none" w:sz="0" w:space="0" w:color="auto"/>
        <w:left w:val="none" w:sz="0" w:space="0" w:color="auto"/>
        <w:bottom w:val="none" w:sz="0" w:space="0" w:color="auto"/>
        <w:right w:val="none" w:sz="0" w:space="0" w:color="auto"/>
      </w:divBdr>
    </w:div>
    <w:div w:id="1532106099">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74842105">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30769370">
      <w:bodyDiv w:val="1"/>
      <w:marLeft w:val="0"/>
      <w:marRight w:val="0"/>
      <w:marTop w:val="0"/>
      <w:marBottom w:val="0"/>
      <w:divBdr>
        <w:top w:val="none" w:sz="0" w:space="0" w:color="auto"/>
        <w:left w:val="none" w:sz="0" w:space="0" w:color="auto"/>
        <w:bottom w:val="none" w:sz="0" w:space="0" w:color="auto"/>
        <w:right w:val="none" w:sz="0" w:space="0" w:color="auto"/>
      </w:divBdr>
    </w:div>
    <w:div w:id="2060585990">
      <w:bodyDiv w:val="1"/>
      <w:marLeft w:val="0"/>
      <w:marRight w:val="0"/>
      <w:marTop w:val="0"/>
      <w:marBottom w:val="0"/>
      <w:divBdr>
        <w:top w:val="none" w:sz="0" w:space="0" w:color="auto"/>
        <w:left w:val="none" w:sz="0" w:space="0" w:color="auto"/>
        <w:bottom w:val="none" w:sz="0" w:space="0" w:color="auto"/>
        <w:right w:val="none" w:sz="0" w:space="0" w:color="auto"/>
      </w:divBdr>
    </w:div>
    <w:div w:id="20908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HTML/?uri=CELEX:52020DC059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51</ap:Pages>
  <ap:Words>17250</ap:Words>
  <ap:Characters>94878</ap:Characters>
  <ap:DocSecurity>0</ap:DocSecurity>
  <ap:Lines>790</ap:Lines>
  <ap:Paragraphs>223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2026-03-20T15:25:00.0000000Z</dcterms:created>
  <dcterms:modified xsi:type="dcterms:W3CDTF">2026-03-20T15:25:00.0000000Z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