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0446AD43" w14:textId="77777777">
        <w:tc>
          <w:tcPr>
            <w:tcW w:w="6733" w:type="dxa"/>
            <w:gridSpan w:val="2"/>
            <w:tcBorders>
              <w:top w:val="nil"/>
              <w:left w:val="nil"/>
              <w:bottom w:val="nil"/>
              <w:right w:val="nil"/>
            </w:tcBorders>
            <w:vAlign w:val="center"/>
          </w:tcPr>
          <w:p w:rsidR="00D51DFF" w:rsidRDefault="00D51DFF" w14:paraId="17229D3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25F6B33B" w14:textId="77777777">
            <w:pPr>
              <w:pStyle w:val="Amendement"/>
              <w:jc w:val="right"/>
              <w:rPr>
                <w:rFonts w:ascii="Times New Roman" w:hAnsi="Times New Roman"/>
                <w:spacing w:val="40"/>
                <w:sz w:val="22"/>
              </w:rPr>
            </w:pPr>
            <w:r>
              <w:rPr>
                <w:rFonts w:ascii="Times New Roman" w:hAnsi="Times New Roman"/>
                <w:sz w:val="88"/>
              </w:rPr>
              <w:t>2</w:t>
            </w:r>
          </w:p>
        </w:tc>
      </w:tr>
      <w:tr w:rsidR="00D51DFF" w14:paraId="6F321BE8" w14:textId="77777777">
        <w:trPr>
          <w:cantSplit/>
        </w:trPr>
        <w:tc>
          <w:tcPr>
            <w:tcW w:w="11060" w:type="dxa"/>
            <w:gridSpan w:val="3"/>
            <w:tcBorders>
              <w:top w:val="single" w:color="auto" w:sz="4" w:space="0"/>
              <w:left w:val="nil"/>
              <w:bottom w:val="nil"/>
              <w:right w:val="nil"/>
            </w:tcBorders>
          </w:tcPr>
          <w:p w:rsidR="00D51DFF" w:rsidP="004742EF" w:rsidRDefault="00500F90" w14:paraId="26719A1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14:paraId="7F993EAD" w14:textId="77777777">
        <w:trPr>
          <w:cantSplit/>
        </w:trPr>
        <w:tc>
          <w:tcPr>
            <w:tcW w:w="11060" w:type="dxa"/>
            <w:gridSpan w:val="3"/>
            <w:tcBorders>
              <w:top w:val="nil"/>
              <w:left w:val="nil"/>
              <w:bottom w:val="nil"/>
              <w:right w:val="nil"/>
            </w:tcBorders>
          </w:tcPr>
          <w:p w:rsidR="00D51DFF" w:rsidRDefault="00D51DFF" w14:paraId="70657728" w14:textId="77777777">
            <w:pPr>
              <w:pStyle w:val="Amendement"/>
              <w:tabs>
                <w:tab w:val="clear" w:pos="3310"/>
                <w:tab w:val="clear" w:pos="3600"/>
              </w:tabs>
              <w:jc w:val="right"/>
              <w:rPr>
                <w:rFonts w:ascii="Times New Roman" w:hAnsi="Times New Roman"/>
                <w:b w:val="0"/>
              </w:rPr>
            </w:pPr>
          </w:p>
        </w:tc>
      </w:tr>
      <w:tr w:rsidR="00D51DFF" w14:paraId="5230DA36" w14:textId="77777777">
        <w:trPr>
          <w:cantSplit/>
        </w:trPr>
        <w:tc>
          <w:tcPr>
            <w:tcW w:w="11060" w:type="dxa"/>
            <w:gridSpan w:val="3"/>
            <w:tcBorders>
              <w:top w:val="nil"/>
              <w:left w:val="nil"/>
              <w:bottom w:val="single" w:color="auto" w:sz="4" w:space="0"/>
              <w:right w:val="nil"/>
            </w:tcBorders>
          </w:tcPr>
          <w:p w:rsidR="00D51DFF" w:rsidRDefault="00D51DFF" w14:paraId="35066A82" w14:textId="77777777">
            <w:pPr>
              <w:pStyle w:val="Amendement"/>
              <w:tabs>
                <w:tab w:val="clear" w:pos="3310"/>
                <w:tab w:val="clear" w:pos="3600"/>
              </w:tabs>
              <w:jc w:val="right"/>
              <w:rPr>
                <w:rFonts w:ascii="Times New Roman" w:hAnsi="Times New Roman"/>
              </w:rPr>
            </w:pPr>
          </w:p>
        </w:tc>
      </w:tr>
      <w:tr w:rsidR="00D51DFF" w14:paraId="32AEDF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3730336B"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4F3155A1" w14:textId="77777777">
            <w:pPr>
              <w:suppressAutoHyphens/>
              <w:rPr>
                <w:b/>
              </w:rPr>
            </w:pPr>
          </w:p>
        </w:tc>
      </w:tr>
      <w:tr w:rsidR="00BD6FD6" w14:paraId="5A925F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1F0C7F" w14:paraId="79BF1012" w14:textId="060FBB1A">
            <w:pPr>
              <w:rPr>
                <w:b/>
              </w:rPr>
            </w:pPr>
            <w:r>
              <w:rPr>
                <w:b/>
              </w:rPr>
              <w:t>36 931</w:t>
            </w:r>
          </w:p>
        </w:tc>
        <w:tc>
          <w:tcPr>
            <w:tcW w:w="7729" w:type="dxa"/>
            <w:gridSpan w:val="2"/>
          </w:tcPr>
          <w:p w:rsidRPr="001F0C7F" w:rsidR="00BD6FD6" w:rsidP="00222CF9" w:rsidRDefault="001F0C7F" w14:paraId="31D885D1" w14:textId="409B777C">
            <w:pPr>
              <w:rPr>
                <w:b/>
                <w:bCs/>
                <w:szCs w:val="24"/>
              </w:rPr>
            </w:pPr>
            <w:r w:rsidRPr="001F0C7F">
              <w:rPr>
                <w:b/>
                <w:bCs/>
                <w:szCs w:val="24"/>
              </w:rPr>
              <w:t>Wijziging van de Wet op het financieel toezicht, de Wet toezicht accountantsorganisaties, het Burgerlijk Wetboek en enkele andere wetten in verband met de implementatie van Verordening (EU) 2023/2859, Richtlijn (EU) 2023/2864 en Verordening (EU) 2023/2869 betreffende het Europees centraal toegangspunt (Wet implementatie Europees centraal toegangspunt)</w:t>
            </w:r>
          </w:p>
        </w:tc>
      </w:tr>
      <w:tr w:rsidR="00BD6FD6" w14:paraId="0533FB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3C626F92"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275F11A0" w14:textId="77777777">
            <w:pPr>
              <w:pStyle w:val="Amendement"/>
              <w:rPr>
                <w:rFonts w:ascii="Times New Roman" w:hAnsi="Times New Roman"/>
              </w:rPr>
            </w:pPr>
          </w:p>
        </w:tc>
      </w:tr>
      <w:tr w:rsidR="00BD6FD6" w:rsidTr="007852AD" w14:paraId="138E3A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36553E11" w14:textId="77777777">
            <w:pPr>
              <w:pStyle w:val="Amendement"/>
              <w:rPr>
                <w:rFonts w:ascii="Times New Roman" w:hAnsi="Times New Roman"/>
              </w:rPr>
            </w:pPr>
          </w:p>
        </w:tc>
        <w:tc>
          <w:tcPr>
            <w:tcW w:w="7729" w:type="dxa"/>
            <w:gridSpan w:val="2"/>
          </w:tcPr>
          <w:p w:rsidRPr="007852AD" w:rsidR="00BD6FD6" w:rsidRDefault="00BD6FD6" w14:paraId="7F3AF321" w14:textId="77777777">
            <w:pPr>
              <w:pStyle w:val="Amendement"/>
              <w:rPr>
                <w:rFonts w:ascii="Times New Roman" w:hAnsi="Times New Roman"/>
              </w:rPr>
            </w:pPr>
          </w:p>
        </w:tc>
      </w:tr>
      <w:tr w:rsidR="00BD6FD6" w14:paraId="7ADAEF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52741BB4" w14:textId="214458CD">
            <w:pPr>
              <w:pStyle w:val="Amendement"/>
              <w:rPr>
                <w:rFonts w:ascii="Times New Roman" w:hAnsi="Times New Roman"/>
              </w:rPr>
            </w:pPr>
            <w:r w:rsidRPr="007852AD">
              <w:rPr>
                <w:rFonts w:ascii="Times New Roman" w:hAnsi="Times New Roman"/>
              </w:rPr>
              <w:t xml:space="preserve">Nr. </w:t>
            </w:r>
            <w:r w:rsidR="001F0C7F">
              <w:rPr>
                <w:rFonts w:ascii="Times New Roman" w:hAnsi="Times New Roman"/>
              </w:rPr>
              <w:t>4</w:t>
            </w:r>
          </w:p>
        </w:tc>
        <w:tc>
          <w:tcPr>
            <w:tcW w:w="7729" w:type="dxa"/>
            <w:gridSpan w:val="2"/>
          </w:tcPr>
          <w:p w:rsidRPr="007852AD" w:rsidR="00BD6FD6" w:rsidRDefault="00BD6FD6" w14:paraId="4B579AD0"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41D7F4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C328906" w14:textId="77777777">
            <w:pPr>
              <w:pStyle w:val="Amendement"/>
              <w:rPr>
                <w:rFonts w:ascii="Times New Roman" w:hAnsi="Times New Roman"/>
              </w:rPr>
            </w:pPr>
          </w:p>
        </w:tc>
        <w:tc>
          <w:tcPr>
            <w:tcW w:w="7729" w:type="dxa"/>
            <w:gridSpan w:val="2"/>
          </w:tcPr>
          <w:p w:rsidR="00BD6FD6" w:rsidRDefault="00BD6FD6" w14:paraId="79BF7AD3" w14:textId="77777777">
            <w:pPr>
              <w:pStyle w:val="Amendement"/>
              <w:tabs>
                <w:tab w:val="clear" w:pos="3310"/>
                <w:tab w:val="clear" w:pos="3600"/>
              </w:tabs>
              <w:rPr>
                <w:rFonts w:ascii="Times New Roman" w:hAnsi="Times New Roman"/>
              </w:rPr>
            </w:pPr>
          </w:p>
        </w:tc>
      </w:tr>
      <w:tr w:rsidR="00BD6FD6" w14:paraId="066F54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4BB6DD2" w14:textId="77777777">
            <w:pPr>
              <w:pStyle w:val="Amendement"/>
              <w:rPr>
                <w:rFonts w:ascii="Times New Roman" w:hAnsi="Times New Roman"/>
              </w:rPr>
            </w:pPr>
          </w:p>
        </w:tc>
        <w:tc>
          <w:tcPr>
            <w:tcW w:w="7729" w:type="dxa"/>
            <w:gridSpan w:val="2"/>
          </w:tcPr>
          <w:p w:rsidRPr="007852AD" w:rsidR="00BD6FD6" w:rsidP="00BD6FD6" w:rsidRDefault="00BD6FD6" w14:paraId="7570E0DC" w14:textId="6E731A4C">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1F0C7F">
              <w:rPr>
                <w:rFonts w:ascii="Times New Roman" w:hAnsi="Times New Roman"/>
                <w:b w:val="0"/>
              </w:rPr>
              <w:t xml:space="preserve">11 februari 2026 </w:t>
            </w:r>
            <w:r w:rsidRPr="007852AD">
              <w:rPr>
                <w:rFonts w:ascii="Times New Roman" w:hAnsi="Times New Roman"/>
                <w:b w:val="0"/>
              </w:rPr>
              <w:t>en het nader rapport d.d.</w:t>
            </w:r>
            <w:r w:rsidR="001F0C7F">
              <w:rPr>
                <w:rFonts w:ascii="Times New Roman" w:hAnsi="Times New Roman"/>
                <w:b w:val="0"/>
              </w:rPr>
              <w:t xml:space="preserve"> 14 april 2026</w:t>
            </w:r>
            <w:r w:rsidRPr="007852AD">
              <w:rPr>
                <w:rFonts w:ascii="Times New Roman" w:hAnsi="Times New Roman"/>
                <w:b w:val="0"/>
              </w:rPr>
              <w:t xml:space="preserve">, aangeboden aan de Koning door de </w:t>
            </w:r>
            <w:r w:rsidR="001F0C7F">
              <w:rPr>
                <w:rFonts w:ascii="Times New Roman" w:hAnsi="Times New Roman"/>
                <w:b w:val="0"/>
              </w:rPr>
              <w:t>M</w:t>
            </w:r>
            <w:r w:rsidRPr="007852AD">
              <w:rPr>
                <w:rFonts w:ascii="Times New Roman" w:hAnsi="Times New Roman"/>
                <w:b w:val="0"/>
              </w:rPr>
              <w:t xml:space="preserve">inister van </w:t>
            </w:r>
            <w:r w:rsidR="001F0C7F">
              <w:rPr>
                <w:rFonts w:ascii="Times New Roman" w:hAnsi="Times New Roman"/>
                <w:b w:val="0"/>
              </w:rPr>
              <w:t xml:space="preserve">Financiën. </w:t>
            </w:r>
            <w:r w:rsidRPr="007852AD">
              <w:rPr>
                <w:rFonts w:ascii="Times New Roman" w:hAnsi="Times New Roman"/>
                <w:b w:val="0"/>
              </w:rPr>
              <w:t>Het advies van de Afdeling advisering van de Raad van State is cursief afgedrukt.</w:t>
            </w:r>
          </w:p>
        </w:tc>
      </w:tr>
      <w:tr w:rsidR="00BD6FD6" w14:paraId="5EF1B3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804DBD6" w14:textId="77777777">
            <w:pPr>
              <w:pStyle w:val="Amendement"/>
              <w:rPr>
                <w:rFonts w:ascii="Times New Roman" w:hAnsi="Times New Roman"/>
              </w:rPr>
            </w:pPr>
          </w:p>
        </w:tc>
        <w:tc>
          <w:tcPr>
            <w:tcW w:w="7729" w:type="dxa"/>
            <w:gridSpan w:val="2"/>
          </w:tcPr>
          <w:p w:rsidR="00BD6FD6" w:rsidRDefault="00BD6FD6" w14:paraId="6D728F55" w14:textId="77777777">
            <w:pPr>
              <w:pStyle w:val="Amendement"/>
              <w:tabs>
                <w:tab w:val="clear" w:pos="3310"/>
                <w:tab w:val="clear" w:pos="3600"/>
              </w:tabs>
              <w:rPr>
                <w:rFonts w:ascii="Times New Roman" w:hAnsi="Times New Roman"/>
                <w:b w:val="0"/>
              </w:rPr>
            </w:pPr>
          </w:p>
        </w:tc>
      </w:tr>
      <w:tr w:rsidR="00BD6FD6" w14:paraId="398BC8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99260A6" w14:textId="77777777">
            <w:pPr>
              <w:pStyle w:val="Amendement"/>
              <w:rPr>
                <w:rFonts w:ascii="Times New Roman" w:hAnsi="Times New Roman"/>
              </w:rPr>
            </w:pPr>
          </w:p>
        </w:tc>
        <w:tc>
          <w:tcPr>
            <w:tcW w:w="7729" w:type="dxa"/>
            <w:gridSpan w:val="2"/>
          </w:tcPr>
          <w:p w:rsidR="00BD6FD6" w:rsidRDefault="00BD6FD6" w14:paraId="7F92B08B" w14:textId="77777777">
            <w:pPr>
              <w:pStyle w:val="Amendement"/>
              <w:tabs>
                <w:tab w:val="clear" w:pos="3310"/>
                <w:tab w:val="clear" w:pos="3600"/>
              </w:tabs>
              <w:rPr>
                <w:rFonts w:ascii="Times New Roman" w:hAnsi="Times New Roman"/>
                <w:b w:val="0"/>
              </w:rPr>
            </w:pPr>
          </w:p>
        </w:tc>
      </w:tr>
      <w:tr w:rsidR="00BD6FD6" w14:paraId="44E39F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29B520D" w14:textId="77777777">
            <w:pPr>
              <w:pStyle w:val="Amendement"/>
              <w:rPr>
                <w:rFonts w:ascii="Times New Roman" w:hAnsi="Times New Roman"/>
              </w:rPr>
            </w:pPr>
          </w:p>
        </w:tc>
        <w:tc>
          <w:tcPr>
            <w:tcW w:w="7729" w:type="dxa"/>
            <w:gridSpan w:val="2"/>
          </w:tcPr>
          <w:p w:rsidR="00BD6FD6" w:rsidRDefault="00BD6FD6" w14:paraId="5BA7869A" w14:textId="77777777">
            <w:pPr>
              <w:pStyle w:val="Amendement"/>
              <w:tabs>
                <w:tab w:val="clear" w:pos="3310"/>
                <w:tab w:val="clear" w:pos="3600"/>
              </w:tabs>
              <w:rPr>
                <w:rFonts w:ascii="Times New Roman" w:hAnsi="Times New Roman"/>
                <w:b w:val="0"/>
              </w:rPr>
            </w:pPr>
          </w:p>
        </w:tc>
      </w:tr>
    </w:tbl>
    <w:p w:rsidR="00D51DFF" w:rsidRDefault="00D51DFF" w14:paraId="6B6BF939" w14:textId="77777777">
      <w:pPr>
        <w:pStyle w:val="Amendement"/>
        <w:rPr>
          <w:rFonts w:ascii="Times New Roman" w:hAnsi="Times New Roman"/>
          <w:b w:val="0"/>
        </w:rPr>
      </w:pPr>
    </w:p>
    <w:p w:rsidRPr="00932AA6" w:rsidR="00932AA6" w:rsidP="00932AA6" w:rsidRDefault="00932AA6" w14:paraId="5A321A07" w14:textId="77777777">
      <w:pPr>
        <w:rPr>
          <w:szCs w:val="24"/>
        </w:rPr>
      </w:pPr>
      <w:r w:rsidRPr="00932AA6">
        <w:rPr>
          <w:szCs w:val="24"/>
        </w:rPr>
        <w:t xml:space="preserve">Blijkens de mededeling van de Directeur van Uw kabinet van 24 december 2025, nr. 2025002963, machtigde Uwe Majesteit de Afdeling advisering van de Raad van State haar advies inzake het bovenvermelde voorstel van wet rechtstreeks aan mij te doen toekomen. Dit advies, gedateerd 11 februari 2026, nr. W06.25.00380/III, bied ik U hierbij aan. </w:t>
      </w:r>
    </w:p>
    <w:p w:rsidRPr="00932AA6" w:rsidR="00932AA6" w:rsidP="00932AA6" w:rsidRDefault="00932AA6" w14:paraId="4F1D5203" w14:textId="77777777">
      <w:pPr>
        <w:rPr>
          <w:szCs w:val="24"/>
        </w:rPr>
      </w:pPr>
    </w:p>
    <w:p w:rsidRPr="00932AA6" w:rsidR="00932AA6" w:rsidP="00932AA6" w:rsidRDefault="00932AA6" w14:paraId="32E02444" w14:textId="77777777">
      <w:pPr>
        <w:rPr>
          <w:szCs w:val="24"/>
        </w:rPr>
      </w:pPr>
      <w:r w:rsidRPr="00932AA6">
        <w:rPr>
          <w:szCs w:val="24"/>
        </w:rPr>
        <w:t xml:space="preserve">De tekst van het advies treft U hieronder aan. </w:t>
      </w:r>
    </w:p>
    <w:p w:rsidRPr="00932AA6" w:rsidR="00932AA6" w:rsidP="00932AA6" w:rsidRDefault="00932AA6" w14:paraId="5BDC231D" w14:textId="77777777">
      <w:pPr>
        <w:rPr>
          <w:szCs w:val="24"/>
        </w:rPr>
      </w:pPr>
    </w:p>
    <w:p w:rsidRPr="00932AA6" w:rsidR="00932AA6" w:rsidP="00932AA6" w:rsidRDefault="00932AA6" w14:paraId="273BE448" w14:textId="77777777">
      <w:pPr>
        <w:pStyle w:val="Default"/>
        <w:spacing w:line="240" w:lineRule="exact"/>
        <w:contextualSpacing/>
        <w:rPr>
          <w:rFonts w:ascii="Times New Roman" w:hAnsi="Times New Roman" w:cs="Times New Roman"/>
          <w:i/>
          <w:iCs/>
        </w:rPr>
      </w:pPr>
      <w:r w:rsidRPr="00932AA6">
        <w:rPr>
          <w:rFonts w:ascii="Times New Roman" w:hAnsi="Times New Roman" w:cs="Times New Roman"/>
          <w:i/>
          <w:iCs/>
        </w:rPr>
        <w:t xml:space="preserve">Bij Kabinetsmissive van 24 december 2025, no. 2025002963, heeft Uwe Majesteit, op voordracht van de minister van Financiën, bij de Afdeling advisering van de Raad van State ter overweging aanhangig gemaakt het voorstel van wet tot </w:t>
      </w:r>
      <w:r w:rsidRPr="00932AA6">
        <w:rPr>
          <w:rFonts w:ascii="Times New Roman" w:hAnsi="Times New Roman" w:cs="Times New Roman"/>
          <w:i/>
          <w:iCs/>
          <w:color w:val="auto"/>
        </w:rPr>
        <w:t xml:space="preserve">wijziging van de Wet op het financieel toezicht, de Wet toezicht accountantsorganisaties, het Burgerlijk Wetboek en enkele andere wetten in verband met de implementatie van Verordening (EU) 2023/2859, Richtlijn (EU) 2023/2864 en Verordening (EU) 2023/2869 betreffende het Europees centraal toegangspunt (Wet implementatie Europees centraal toegangspunt), </w:t>
      </w:r>
      <w:r w:rsidRPr="00932AA6">
        <w:rPr>
          <w:rFonts w:ascii="Times New Roman" w:hAnsi="Times New Roman" w:cs="Times New Roman"/>
          <w:i/>
          <w:iCs/>
        </w:rPr>
        <w:t xml:space="preserve">met memorie van toelichting. </w:t>
      </w:r>
    </w:p>
    <w:p w:rsidRPr="00932AA6" w:rsidR="00932AA6" w:rsidP="00932AA6" w:rsidRDefault="00932AA6" w14:paraId="3FB16257" w14:textId="77777777">
      <w:pPr>
        <w:pStyle w:val="Default"/>
        <w:spacing w:line="240" w:lineRule="exact"/>
        <w:contextualSpacing/>
        <w:rPr>
          <w:rFonts w:ascii="Times New Roman" w:hAnsi="Times New Roman" w:cs="Times New Roman"/>
          <w:i/>
          <w:iCs/>
        </w:rPr>
      </w:pPr>
    </w:p>
    <w:p w:rsidRPr="00932AA6" w:rsidR="00932AA6" w:rsidP="00932AA6" w:rsidRDefault="00932AA6" w14:paraId="131688B0" w14:textId="77777777">
      <w:pPr>
        <w:pStyle w:val="Default"/>
        <w:spacing w:line="240" w:lineRule="exact"/>
        <w:contextualSpacing/>
        <w:rPr>
          <w:rFonts w:ascii="Times New Roman" w:hAnsi="Times New Roman" w:cs="Times New Roman"/>
          <w:i/>
          <w:iCs/>
        </w:rPr>
      </w:pPr>
      <w:r w:rsidRPr="00932AA6">
        <w:rPr>
          <w:rFonts w:ascii="Times New Roman" w:hAnsi="Times New Roman" w:cs="Times New Roman"/>
          <w:i/>
          <w:iCs/>
        </w:rPr>
        <w:t xml:space="preserve">De Afdeling advisering van de Raad van State heeft geen opmerkingen bij het voorstel en adviseert het voorstel bij de Tweede Kamer der Staten-Generaal in te dienen. </w:t>
      </w:r>
    </w:p>
    <w:p w:rsidRPr="00932AA6" w:rsidR="00932AA6" w:rsidP="00932AA6" w:rsidRDefault="00932AA6" w14:paraId="62867CAF" w14:textId="77777777">
      <w:pPr>
        <w:jc w:val="center"/>
        <w:rPr>
          <w:szCs w:val="24"/>
        </w:rPr>
      </w:pPr>
    </w:p>
    <w:p w:rsidRPr="00932AA6" w:rsidR="00932AA6" w:rsidP="00932AA6" w:rsidRDefault="00932AA6" w14:paraId="5C6A40FB" w14:textId="77777777">
      <w:pPr>
        <w:rPr>
          <w:i/>
          <w:iCs/>
          <w:szCs w:val="24"/>
        </w:rPr>
      </w:pPr>
      <w:r w:rsidRPr="00932AA6">
        <w:rPr>
          <w:i/>
          <w:iCs/>
          <w:szCs w:val="24"/>
        </w:rPr>
        <w:t xml:space="preserve">De vice-president van de Raad van State, </w:t>
      </w:r>
    </w:p>
    <w:p w:rsidRPr="00932AA6" w:rsidR="00932AA6" w:rsidP="00932AA6" w:rsidRDefault="00932AA6" w14:paraId="734BBD3D" w14:textId="77777777">
      <w:pPr>
        <w:rPr>
          <w:i/>
          <w:iCs/>
          <w:szCs w:val="24"/>
        </w:rPr>
      </w:pPr>
      <w:proofErr w:type="spellStart"/>
      <w:r w:rsidRPr="00932AA6">
        <w:rPr>
          <w:i/>
          <w:iCs/>
          <w:szCs w:val="24"/>
        </w:rPr>
        <w:t>Th.C</w:t>
      </w:r>
      <w:proofErr w:type="spellEnd"/>
      <w:r w:rsidRPr="00932AA6">
        <w:rPr>
          <w:i/>
          <w:iCs/>
          <w:szCs w:val="24"/>
        </w:rPr>
        <w:t xml:space="preserve">. de Graaf </w:t>
      </w:r>
    </w:p>
    <w:p w:rsidRPr="00932AA6" w:rsidR="00932AA6" w:rsidP="00932AA6" w:rsidRDefault="00932AA6" w14:paraId="3BA7C81E" w14:textId="77777777">
      <w:pPr>
        <w:rPr>
          <w:szCs w:val="24"/>
        </w:rPr>
      </w:pPr>
    </w:p>
    <w:p w:rsidRPr="00932AA6" w:rsidR="00932AA6" w:rsidP="00932AA6" w:rsidRDefault="00932AA6" w14:paraId="2EB50396" w14:textId="77777777">
      <w:pPr>
        <w:rPr>
          <w:szCs w:val="24"/>
        </w:rPr>
      </w:pPr>
      <w:r w:rsidRPr="00932AA6">
        <w:rPr>
          <w:szCs w:val="24"/>
        </w:rPr>
        <w:t>Van de gelegenheid is gebruik gemaakt om in de Wet toezicht accountantsorganisaties (</w:t>
      </w:r>
      <w:proofErr w:type="spellStart"/>
      <w:r w:rsidRPr="00932AA6">
        <w:rPr>
          <w:szCs w:val="24"/>
        </w:rPr>
        <w:t>Wta</w:t>
      </w:r>
      <w:proofErr w:type="spellEnd"/>
      <w:r w:rsidRPr="00932AA6">
        <w:rPr>
          <w:szCs w:val="24"/>
        </w:rPr>
        <w:t xml:space="preserve">) de Autoriteit Financiële Markten (AFM) aan te wijzen als verzamelende instantie voor het openbaar maken op ESAP van het transparantieverslag van accountantsorganisaties op grond van artikel 13bis van Verordening (EU) 537/2014 (Auditverordening). Tevens zijn de artikelen 53 en 54 </w:t>
      </w:r>
      <w:proofErr w:type="spellStart"/>
      <w:r w:rsidRPr="00932AA6">
        <w:rPr>
          <w:szCs w:val="24"/>
        </w:rPr>
        <w:t>Wta</w:t>
      </w:r>
      <w:proofErr w:type="spellEnd"/>
      <w:r w:rsidRPr="00932AA6">
        <w:rPr>
          <w:szCs w:val="24"/>
        </w:rPr>
        <w:t xml:space="preserve"> aangepast zodat de AFM een last onder dwangsom of bestuurlijke boete kan opleggen indien een accountantsorganisatie de verplichting in artikel 13bis van de Auditverordening om deze informatie bij haar in te dienen, overtreedt.</w:t>
      </w:r>
    </w:p>
    <w:p w:rsidRPr="00932AA6" w:rsidR="00932AA6" w:rsidP="00932AA6" w:rsidRDefault="00932AA6" w14:paraId="71575F6A" w14:textId="77777777">
      <w:pPr>
        <w:rPr>
          <w:szCs w:val="24"/>
        </w:rPr>
      </w:pPr>
    </w:p>
    <w:p w:rsidR="00932AA6" w:rsidRDefault="00932AA6" w14:paraId="6EB60F73" w14:textId="77777777">
      <w:pPr>
        <w:widowControl/>
        <w:rPr>
          <w:szCs w:val="24"/>
        </w:rPr>
      </w:pPr>
      <w:r>
        <w:rPr>
          <w:szCs w:val="24"/>
        </w:rPr>
        <w:br w:type="page"/>
      </w:r>
    </w:p>
    <w:p w:rsidRPr="00932AA6" w:rsidR="00932AA6" w:rsidP="00932AA6" w:rsidRDefault="00932AA6" w14:paraId="3FF4621D" w14:textId="0866E6EF">
      <w:pPr>
        <w:rPr>
          <w:szCs w:val="24"/>
        </w:rPr>
      </w:pPr>
      <w:r w:rsidRPr="00932AA6">
        <w:rPr>
          <w:szCs w:val="24"/>
        </w:rPr>
        <w:lastRenderedPageBreak/>
        <w:t xml:space="preserve">Ik verzoek U het hierbij gevoegde gewijzigde voorstel van wet en de gewijzigde  memorie van toelichting aan de Tweede Kamer der Staten-Generaal te zenden. </w:t>
      </w:r>
    </w:p>
    <w:p w:rsidRPr="00932AA6" w:rsidR="00932AA6" w:rsidP="00932AA6" w:rsidRDefault="00932AA6" w14:paraId="1D64CF13" w14:textId="77777777">
      <w:pPr>
        <w:rPr>
          <w:szCs w:val="24"/>
        </w:rPr>
      </w:pPr>
    </w:p>
    <w:p w:rsidRPr="00932AA6" w:rsidR="00932AA6" w:rsidP="00932AA6" w:rsidRDefault="00932AA6" w14:paraId="3F68CBE4" w14:textId="77777777">
      <w:pPr>
        <w:rPr>
          <w:szCs w:val="24"/>
        </w:rPr>
      </w:pPr>
    </w:p>
    <w:p w:rsidRPr="00932AA6" w:rsidR="00932AA6" w:rsidP="00932AA6" w:rsidRDefault="00932AA6" w14:paraId="3262C850" w14:textId="77777777">
      <w:pPr>
        <w:rPr>
          <w:szCs w:val="24"/>
        </w:rPr>
      </w:pPr>
      <w:r w:rsidRPr="00932AA6">
        <w:rPr>
          <w:szCs w:val="24"/>
        </w:rPr>
        <w:t>De Minister van Financiën,</w:t>
      </w:r>
    </w:p>
    <w:p w:rsidRPr="00932AA6" w:rsidR="00932AA6" w:rsidP="00932AA6" w:rsidRDefault="00932AA6" w14:paraId="7C7AE282" w14:textId="77777777">
      <w:pPr>
        <w:rPr>
          <w:szCs w:val="24"/>
        </w:rPr>
      </w:pPr>
      <w:r w:rsidRPr="00932AA6">
        <w:rPr>
          <w:szCs w:val="24"/>
        </w:rPr>
        <w:t>E. Heinen</w:t>
      </w:r>
    </w:p>
    <w:p w:rsidR="00932AA6" w:rsidP="00932AA6" w:rsidRDefault="00932AA6" w14:paraId="11509D86" w14:textId="77777777"/>
    <w:p w:rsidR="00932AA6" w:rsidP="00932AA6" w:rsidRDefault="00932AA6" w14:paraId="5CB7E0BD" w14:textId="77777777"/>
    <w:p w:rsidRPr="00C33C0A" w:rsidR="00932AA6" w:rsidP="00932AA6" w:rsidRDefault="00932AA6" w14:paraId="1535A24E" w14:textId="77777777"/>
    <w:p w:rsidR="00932AA6" w:rsidP="00932AA6" w:rsidRDefault="00932AA6" w14:paraId="45A0568A" w14:textId="77777777"/>
    <w:p w:rsidR="00932AA6" w:rsidRDefault="00932AA6" w14:paraId="5D2E7457" w14:textId="77777777">
      <w:pPr>
        <w:pStyle w:val="Amendement"/>
        <w:rPr>
          <w:rFonts w:ascii="Times New Roman" w:hAnsi="Times New Roman"/>
          <w:b w:val="0"/>
        </w:rPr>
      </w:pPr>
    </w:p>
    <w:sectPr w:rsidR="00932AA6">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F4D12" w14:textId="77777777" w:rsidR="001F0C7F" w:rsidRDefault="001F0C7F">
      <w:pPr>
        <w:spacing w:line="20" w:lineRule="exact"/>
      </w:pPr>
    </w:p>
  </w:endnote>
  <w:endnote w:type="continuationSeparator" w:id="0">
    <w:p w14:paraId="4BBA2C6D" w14:textId="77777777" w:rsidR="001F0C7F" w:rsidRDefault="001F0C7F">
      <w:pPr>
        <w:pStyle w:val="Amendement"/>
      </w:pPr>
      <w:r>
        <w:rPr>
          <w:b w:val="0"/>
        </w:rPr>
        <w:t xml:space="preserve"> </w:t>
      </w:r>
    </w:p>
  </w:endnote>
  <w:endnote w:type="continuationNotice" w:id="1">
    <w:p w14:paraId="07C15DB0" w14:textId="77777777" w:rsidR="001F0C7F" w:rsidRDefault="001F0C7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
    <w:altName w:val="Calibri"/>
    <w:panose1 w:val="00000000000000000000"/>
    <w:charset w:val="00"/>
    <w:family w:val="swiss"/>
    <w:notTrueType/>
    <w:pitch w:val="default"/>
    <w:sig w:usb0="00000003" w:usb1="00000000" w:usb2="00000000" w:usb3="00000000" w:csb0="00000001" w:csb1="00000000"/>
  </w:font>
  <w:font w:name="DejaVu Sans">
    <w:altName w:val="Arial"/>
    <w:charset w:val="00"/>
    <w:family w:val="swiss"/>
    <w:pitch w:val="variable"/>
    <w:sig w:usb0="E7002EFF" w:usb1="D200FDFF" w:usb2="0A04602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6F8BC" w14:textId="77777777" w:rsidR="001F0C7F" w:rsidRDefault="001F0C7F">
      <w:pPr>
        <w:pStyle w:val="Amendement"/>
      </w:pPr>
      <w:r>
        <w:rPr>
          <w:b w:val="0"/>
        </w:rPr>
        <w:separator/>
      </w:r>
    </w:p>
  </w:footnote>
  <w:footnote w:type="continuationSeparator" w:id="0">
    <w:p w14:paraId="48584573" w14:textId="77777777" w:rsidR="001F0C7F" w:rsidRDefault="001F0C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C7F"/>
    <w:rsid w:val="000A73CB"/>
    <w:rsid w:val="00187EF3"/>
    <w:rsid w:val="001F0C7F"/>
    <w:rsid w:val="00212071"/>
    <w:rsid w:val="002234F9"/>
    <w:rsid w:val="00244AA3"/>
    <w:rsid w:val="002B3CFE"/>
    <w:rsid w:val="002C313D"/>
    <w:rsid w:val="002C5C9B"/>
    <w:rsid w:val="002F0F5F"/>
    <w:rsid w:val="002F1F47"/>
    <w:rsid w:val="00311EC2"/>
    <w:rsid w:val="003D1E89"/>
    <w:rsid w:val="00414CF8"/>
    <w:rsid w:val="004742EF"/>
    <w:rsid w:val="00500F90"/>
    <w:rsid w:val="00501EB1"/>
    <w:rsid w:val="00557F24"/>
    <w:rsid w:val="005A60A9"/>
    <w:rsid w:val="0062757D"/>
    <w:rsid w:val="006309C6"/>
    <w:rsid w:val="00663BC7"/>
    <w:rsid w:val="00703A6D"/>
    <w:rsid w:val="00710AFA"/>
    <w:rsid w:val="007663F0"/>
    <w:rsid w:val="007852AD"/>
    <w:rsid w:val="007B0F78"/>
    <w:rsid w:val="00855392"/>
    <w:rsid w:val="008952A6"/>
    <w:rsid w:val="008A750C"/>
    <w:rsid w:val="008D17C0"/>
    <w:rsid w:val="008E54B8"/>
    <w:rsid w:val="00932AA6"/>
    <w:rsid w:val="0095093B"/>
    <w:rsid w:val="009633D2"/>
    <w:rsid w:val="009748E4"/>
    <w:rsid w:val="00A2611F"/>
    <w:rsid w:val="00A51448"/>
    <w:rsid w:val="00A53675"/>
    <w:rsid w:val="00A54155"/>
    <w:rsid w:val="00A55F71"/>
    <w:rsid w:val="00A56126"/>
    <w:rsid w:val="00A84587"/>
    <w:rsid w:val="00AD2CD4"/>
    <w:rsid w:val="00B0451E"/>
    <w:rsid w:val="00B90937"/>
    <w:rsid w:val="00BD6FD6"/>
    <w:rsid w:val="00BF5EAA"/>
    <w:rsid w:val="00CB1E97"/>
    <w:rsid w:val="00CD7550"/>
    <w:rsid w:val="00CF0F08"/>
    <w:rsid w:val="00D40D07"/>
    <w:rsid w:val="00D51DFF"/>
    <w:rsid w:val="00DB3DC4"/>
    <w:rsid w:val="00DD5F58"/>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159AD"/>
  <w15:docId w15:val="{6BFCE5F4-99DC-43FE-8225-5DA51F12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Default">
    <w:name w:val="Default"/>
    <w:rsid w:val="00932AA6"/>
    <w:pPr>
      <w:autoSpaceDE w:val="0"/>
      <w:autoSpaceDN w:val="0"/>
      <w:adjustRightInd w:val="0"/>
    </w:pPr>
    <w:rPr>
      <w:rFonts w:ascii="A" w:eastAsia="DejaVu Sans" w:hAnsi="A" w:cs="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437</ap:Words>
  <ap:Characters>2405</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2837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2026-04-21T11:33:00.0000000Z</lastPrinted>
  <dcterms:created xsi:type="dcterms:W3CDTF">2026-04-21T11:44:00.0000000Z</dcterms:created>
  <dcterms:modified xsi:type="dcterms:W3CDTF">2026-04-21T11:44:00.0000000Z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