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2026Z08496</w:t>
        <w:br/>
      </w:r>
      <w:proofErr w:type="spellEnd"/>
    </w:p>
    <w:p>
      <w:pPr>
        <w:pStyle w:val="Normal"/>
        <w:rPr>
          <w:b w:val="1"/>
          <w:bCs w:val="1"/>
        </w:rPr>
      </w:pPr>
      <w:r w:rsidR="250AE766">
        <w:rPr>
          <w:b w:val="0"/>
          <w:bCs w:val="0"/>
        </w:rPr>
        <w:t>(ingezonden 21 april 2026)</w:t>
        <w:br/>
      </w:r>
    </w:p>
    <w:p>
      <w:r>
        <w:t xml:space="preserve">Vragen van de leden Piri en Van der Lee (GroenLinks-PvdA) aan de minister van Buitenlandse Zaken over de deelname van Taiwan aan multilaterale organisaties</w:t>
      </w:r>
      <w:r>
        <w:br/>
      </w:r>
    </w:p>
    <w:p>
      <w:pPr>
        <w:pStyle w:val="ListParagraph"/>
        <w:numPr>
          <w:ilvl w:val="0"/>
          <w:numId w:val="100504850"/>
        </w:numPr>
        <w:ind w:left="360"/>
      </w:pPr>
      <w:r>
        <w:t xml:space="preserve">Op welke manier geeft u uitvoering aan de motie van het lid Paternotte c.s. Kamerstuk 26150, nr. 227), de motie van de leden Van der Burg en Paternotte (Kamerstuk 35207, nr. 94) en de motie van het lid Piri c.s. (Kamerstuk 21501-02, nr. 2871) die allen het kabinet oproepen om voor betekenisvolle deelname van Taiwan aan multilaterale organisaties te pleiten?</w:t>
      </w:r>
      <w:r>
        <w:br/>
      </w:r>
    </w:p>
    <w:p>
      <w:pPr>
        <w:pStyle w:val="ListParagraph"/>
        <w:numPr>
          <w:ilvl w:val="0"/>
          <w:numId w:val="100504850"/>
        </w:numPr>
        <w:ind w:left="360"/>
      </w:pPr>
      <w:r>
        <w:t xml:space="preserve">Bent u bereid om, net als vorig jaar, voorafgaand en tijdens de eerstvolgende World Health Assembly publiekelijk stelling te nemen dat Taiwan aan de bijeenkomsten van de WHO zou moeten mogen deelnemen?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840">
    <w:abstractNumId w:val="100504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