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0A7795" w:rsidP="002D6017" w14:paraId="5D3747CA" w14:textId="77777777">
      <w:pPr>
        <w:tabs>
          <w:tab w:val="left" w:pos="3216"/>
        </w:tabs>
      </w:pPr>
      <w:r>
        <w:rPr>
          <w:noProof/>
        </w:rPr>
        <mc:AlternateContent>
          <mc:Choice Requires="wps">
            <w:drawing>
              <wp:anchor distT="0" distB="0" distL="0" distR="0" simplePos="0" relativeHeight="251658240" behindDoc="0" locked="1" layoutInCell="1" allowOverlap="1">
                <wp:simplePos x="0" y="0"/>
                <wp:positionH relativeFrom="margin">
                  <wp:posOffset>-74930</wp:posOffset>
                </wp:positionH>
                <wp:positionV relativeFrom="page">
                  <wp:posOffset>3514725</wp:posOffset>
                </wp:positionV>
                <wp:extent cx="4467225" cy="533400"/>
                <wp:effectExtent l="0" t="0" r="0" b="0"/>
                <wp:wrapNone/>
                <wp:docPr id="685970758"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467225" cy="533400"/>
                        </a:xfrm>
                        <a:prstGeom prst="rect">
                          <a:avLst/>
                        </a:prstGeom>
                        <a:noFill/>
                      </wps:spPr>
                      <wps:txbx>
                        <w:txbxContent>
                          <w:tbl>
                            <w:tblPr>
                              <w:tblW w:w="0" w:type="auto"/>
                              <w:tblLayout w:type="fixed"/>
                              <w:tblLook w:val="07E0"/>
                            </w:tblPr>
                            <w:tblGrid>
                              <w:gridCol w:w="1140"/>
                              <w:gridCol w:w="5918"/>
                            </w:tblGrid>
                            <w:tr w14:paraId="295A8C1D" w14:textId="77777777">
                              <w:tblPrEx>
                                <w:tblW w:w="0" w:type="auto"/>
                                <w:tblLayout w:type="fixed"/>
                                <w:tblLook w:val="07E0"/>
                              </w:tblPrEx>
                              <w:trPr>
                                <w:trHeight w:val="240"/>
                              </w:trPr>
                              <w:tc>
                                <w:tcPr>
                                  <w:tcW w:w="1140" w:type="dxa"/>
                                </w:tcPr>
                                <w:p w:rsidR="000A7795" w14:textId="77777777">
                                  <w:r>
                                    <w:t>Datum</w:t>
                                  </w:r>
                                </w:p>
                              </w:tc>
                              <w:tc>
                                <w:tcPr>
                                  <w:tcW w:w="5918" w:type="dxa"/>
                                </w:tcPr>
                                <w:p w:rsidR="000A7795" w14:textId="77777777">
                                  <w:r>
                                    <w:t>21 april 2026</w:t>
                                  </w:r>
                                </w:p>
                              </w:tc>
                            </w:tr>
                            <w:tr w14:paraId="237CEF68" w14:textId="77777777">
                              <w:tblPrEx>
                                <w:tblW w:w="0" w:type="auto"/>
                                <w:tblLayout w:type="fixed"/>
                                <w:tblLook w:val="07E0"/>
                              </w:tblPrEx>
                              <w:trPr>
                                <w:trHeight w:val="240"/>
                              </w:trPr>
                              <w:tc>
                                <w:tcPr>
                                  <w:tcW w:w="1140" w:type="dxa"/>
                                </w:tcPr>
                                <w:p w:rsidR="000A7795" w14:textId="77777777">
                                  <w:r>
                                    <w:t>Betreft</w:t>
                                  </w:r>
                                </w:p>
                              </w:tc>
                              <w:tc>
                                <w:tcPr>
                                  <w:tcW w:w="5918" w:type="dxa"/>
                                </w:tcPr>
                                <w:p w:rsidR="000A7795" w14:textId="77777777">
                                  <w:r>
                                    <w:t xml:space="preserve">Aanpassing van de Aanwijzingen </w:t>
                                  </w:r>
                                  <w:r>
                                    <w:t>inzake</w:t>
                                  </w:r>
                                  <w:r>
                                    <w:t xml:space="preserve"> externe contacten van rijksambtenaren  </w:t>
                                  </w:r>
                                </w:p>
                              </w:tc>
                            </w:tr>
                          </w:tbl>
                          <w:p w:rsidR="000A7795" w:rsidP="000A7795" w14:textId="77777777"/>
                        </w:txbxContent>
                      </wps:txbx>
                      <wps:bodyPr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1670fa0c-13cb-45ec-92be-ef1f34d237c5" style="width:351.75pt;height:42pt;margin-top:276.75pt;margin-left:-5.9pt;mso-height-percent:0;mso-height-relative:margin;mso-position-horizontal-relative:margin;mso-position-vertical-relative:page;mso-width-percent:0;mso-width-relative:margin;mso-wrap-distance-bottom:0;mso-wrap-distance-left:0;mso-wrap-distance-right:0;mso-wrap-distance-top:0;mso-wrap-style:square;position:absolute;v-text-anchor:top;visibility:visible;z-index:251659264" o:spid="_x0000_s1025" filled="f" stroked="f" type="#_x0000_t202">
                <v:textbox inset="0,0,0,0">
                  <w:txbxContent>
                    <w:tbl>
                      <w:tblPr>
                        <w:tblW w:w="0" w:type="auto"/>
                        <w:tblLayout w:type="fixed"/>
                        <w:tblLook w:val="07E0"/>
                      </w:tblPr>
                      <w:tblGrid>
                        <w:gridCol w:w="1140"/>
                        <w:gridCol w:w="5918"/>
                      </w:tblGrid>
                      <w:tr w14:paraId="295A8C1C" w14:textId="77777777">
                        <w:tblPrEx>
                          <w:tblW w:w="0" w:type="auto"/>
                          <w:tblLayout w:type="fixed"/>
                          <w:tblLook w:val="07E0"/>
                        </w:tblPrEx>
                        <w:trPr>
                          <w:trHeight w:val="240"/>
                        </w:trPr>
                        <w:tc>
                          <w:tcPr>
                            <w:tcW w:w="1140" w:type="dxa"/>
                          </w:tcPr>
                          <w:p w:rsidR="000A7795" w14:paraId="6F8EA29E" w14:textId="77777777">
                            <w:r>
                              <w:t>Datum</w:t>
                            </w:r>
                          </w:p>
                        </w:tc>
                        <w:tc>
                          <w:tcPr>
                            <w:tcW w:w="5918" w:type="dxa"/>
                          </w:tcPr>
                          <w:p w:rsidR="000A7795" w14:paraId="4E0177B7" w14:textId="77777777">
                            <w:r>
                              <w:t>21 april 2026</w:t>
                            </w:r>
                          </w:p>
                        </w:tc>
                      </w:tr>
                      <w:tr w14:paraId="237CEF67" w14:textId="77777777">
                        <w:tblPrEx>
                          <w:tblW w:w="0" w:type="auto"/>
                          <w:tblLayout w:type="fixed"/>
                          <w:tblLook w:val="07E0"/>
                        </w:tblPrEx>
                        <w:trPr>
                          <w:trHeight w:val="240"/>
                        </w:trPr>
                        <w:tc>
                          <w:tcPr>
                            <w:tcW w:w="1140" w:type="dxa"/>
                          </w:tcPr>
                          <w:p w:rsidR="000A7795" w14:paraId="11BDE5D7" w14:textId="77777777">
                            <w:r>
                              <w:t>Betreft</w:t>
                            </w:r>
                          </w:p>
                        </w:tc>
                        <w:tc>
                          <w:tcPr>
                            <w:tcW w:w="5918" w:type="dxa"/>
                          </w:tcPr>
                          <w:p w:rsidR="000A7795" w14:paraId="3D273083" w14:textId="77777777">
                            <w:r>
                              <w:t xml:space="preserve">Aanpassing van de Aanwijzingen </w:t>
                            </w:r>
                            <w:r>
                              <w:t>inzake</w:t>
                            </w:r>
                            <w:r>
                              <w:t xml:space="preserve"> externe contacten van rijksambtenaren  </w:t>
                            </w:r>
                          </w:p>
                        </w:tc>
                      </w:tr>
                    </w:tbl>
                    <w:p w:rsidR="000A7795" w:rsidP="000A7795" w14:paraId="0AF905C8" w14:textId="77777777"/>
                  </w:txbxContent>
                </v:textbox>
                <w10:wrap anchorx="margin"/>
                <w10:anchorlock/>
              </v:shape>
            </w:pict>
          </mc:Fallback>
        </mc:AlternateContent>
      </w:r>
      <w:r w:rsidR="002D6017">
        <w:tab/>
      </w:r>
    </w:p>
    <w:p w:rsidR="000A7795" w:rsidP="006323ED" w14:paraId="2CC9E846" w14:textId="77777777"/>
    <w:p w:rsidR="006D23C6" w:rsidP="006323ED" w14:paraId="58E0A1BD" w14:textId="77777777">
      <w:r>
        <w:t xml:space="preserve">Hierbij bied </w:t>
      </w:r>
      <w:r w:rsidR="006323ED">
        <w:t xml:space="preserve">ik uw Kamer de </w:t>
      </w:r>
      <w:r w:rsidR="00762C68">
        <w:t>aangepaste</w:t>
      </w:r>
      <w:r w:rsidR="006323ED">
        <w:t xml:space="preserve"> Aanwijzingen </w:t>
      </w:r>
      <w:r w:rsidR="006323ED">
        <w:t>inzake</w:t>
      </w:r>
      <w:r w:rsidR="006323ED">
        <w:t xml:space="preserve"> externe contacten van rijksambtenaren (hierna: de Aanwijzingen) aan. </w:t>
      </w:r>
    </w:p>
    <w:p w:rsidR="006D23C6" w:rsidP="006323ED" w14:paraId="3CA9C779" w14:textId="77777777"/>
    <w:p w:rsidR="006323ED" w:rsidP="006323ED" w14:paraId="58563171" w14:textId="77777777">
      <w:r w:rsidRPr="006C4695">
        <w:t>Met deze aanpassing van de Aanwijzingen wordt</w:t>
      </w:r>
      <w:r>
        <w:t xml:space="preserve"> uitvoering gegeven aan</w:t>
      </w:r>
      <w:r w:rsidRPr="006C4695">
        <w:t xml:space="preserve"> de toezegging die </w:t>
      </w:r>
      <w:r>
        <w:t xml:space="preserve">in de kabinetsreactie op het rapport ‘Grip op informatie’ van 10 januari 2025 </w:t>
      </w:r>
      <w:r w:rsidRPr="006C4695">
        <w:t>is gedaan</w:t>
      </w:r>
      <w:r w:rsidR="00C83E9A">
        <w:t xml:space="preserve"> </w:t>
      </w:r>
      <w:r>
        <w:t>door mijn ambtsvoorganger</w:t>
      </w:r>
      <w:r w:rsidR="002257D6">
        <w:t xml:space="preserve"> </w:t>
      </w:r>
      <w:r w:rsidRPr="006C4695" w:rsidR="00F71570">
        <w:t xml:space="preserve">dat </w:t>
      </w:r>
      <w:r w:rsidR="00F71570">
        <w:t xml:space="preserve">bij een volgende herziening in </w:t>
      </w:r>
      <w:r w:rsidRPr="006C4695" w:rsidR="00F71570">
        <w:t xml:space="preserve">de Aanwijzingen </w:t>
      </w:r>
      <w:r w:rsidR="00F71570">
        <w:t xml:space="preserve">zal worden </w:t>
      </w:r>
      <w:r w:rsidRPr="006C4695" w:rsidR="00F71570">
        <w:t>verduidelijkt</w:t>
      </w:r>
      <w:r w:rsidR="00F71570">
        <w:t xml:space="preserve"> </w:t>
      </w:r>
      <w:r w:rsidRPr="006C4695" w:rsidR="00F71570">
        <w:t>dat rijksambtenaren ook op eigen initiatief, via de parlementair contactpersoon, contact kunnen opnemen met Kamerleden.</w:t>
      </w:r>
      <w:r>
        <w:rPr>
          <w:rStyle w:val="FootnoteReference"/>
        </w:rPr>
        <w:footnoteReference w:id="2"/>
      </w:r>
      <w:r w:rsidR="00F71570">
        <w:t xml:space="preserve"> Deze verduidelijking is nu opgenomen in de toelichting bij de nieuwe aanwijzing 4, tweede lid.</w:t>
      </w:r>
      <w:r w:rsidRPr="006C4695" w:rsidR="00F71570">
        <w:t xml:space="preserve"> </w:t>
      </w:r>
      <w:r w:rsidR="00DD53D1">
        <w:t>Daarnaast is i</w:t>
      </w:r>
      <w:r>
        <w:t>n het debat van 23 januari 2025 over werk- en informatieafspraken met de vaste Kamercommissie voor Binnenlandse Zaken door een aantal Kamerleden naar voren gebracht dat er</w:t>
      </w:r>
      <w:r w:rsidR="00634FD9">
        <w:t xml:space="preserve"> </w:t>
      </w:r>
      <w:r>
        <w:t xml:space="preserve">nog ruimte voor verbetering is in de mogelijkheden voor direct contact tussen rijksambtenaren en Kamerleden. De regering is het daarmee eens en ziet daarbij vooral ruimte </w:t>
      </w:r>
      <w:r w:rsidR="006806D9">
        <w:t>binnen</w:t>
      </w:r>
      <w:r>
        <w:t xml:space="preserve"> de bestaande </w:t>
      </w:r>
      <w:r w:rsidR="006806D9">
        <w:t>kaders</w:t>
      </w:r>
      <w:r>
        <w:t xml:space="preserve">, zoals ook in de </w:t>
      </w:r>
      <w:r>
        <w:t xml:space="preserve">brief van 19 februari 2025 </w:t>
      </w:r>
      <w:r>
        <w:t>is benadrukt</w:t>
      </w:r>
      <w:r>
        <w:t>.</w:t>
      </w:r>
      <w:r>
        <w:rPr>
          <w:rStyle w:val="FootnoteReference"/>
        </w:rPr>
        <w:footnoteReference w:id="3"/>
      </w:r>
      <w:r w:rsidR="00D7471D">
        <w:t xml:space="preserve"> </w:t>
      </w:r>
      <w:r w:rsidR="00E71093">
        <w:t>Verder</w:t>
      </w:r>
      <w:r w:rsidR="003952AA">
        <w:t xml:space="preserve"> is van</w:t>
      </w:r>
      <w:r w:rsidR="00D7471D">
        <w:t xml:space="preserve"> deze gelegenheid </w:t>
      </w:r>
      <w:r w:rsidRPr="006C4695" w:rsidR="00D7471D">
        <w:t xml:space="preserve">gebruikgemaakt om </w:t>
      </w:r>
      <w:r w:rsidR="00675686">
        <w:t>een aantal</w:t>
      </w:r>
      <w:r w:rsidR="00D7471D">
        <w:t xml:space="preserve"> teksten van de</w:t>
      </w:r>
      <w:r w:rsidRPr="006C4695" w:rsidR="00D7471D">
        <w:t xml:space="preserve"> paragra</w:t>
      </w:r>
      <w:r w:rsidR="006806D9">
        <w:t>f</w:t>
      </w:r>
      <w:r w:rsidRPr="006C4695" w:rsidR="00D7471D">
        <w:t xml:space="preserve">en 1 en 2 </w:t>
      </w:r>
      <w:r w:rsidR="00D7471D">
        <w:t xml:space="preserve">van de Aanwijzingen te herformuleren. </w:t>
      </w:r>
      <w:r w:rsidR="006806D9">
        <w:t>Hierin</w:t>
      </w:r>
      <w:r w:rsidR="00D7471D">
        <w:t xml:space="preserve"> is een aantal elementen uit de staande praktijk op</w:t>
      </w:r>
      <w:r w:rsidR="006806D9">
        <w:t>geno</w:t>
      </w:r>
      <w:r w:rsidR="00D7471D">
        <w:t xml:space="preserve">men en </w:t>
      </w:r>
      <w:r w:rsidR="006806D9">
        <w:t xml:space="preserve">is geprobeerd om </w:t>
      </w:r>
      <w:r w:rsidR="00D7471D">
        <w:t>meer duidelijkheid te verschaffen in de betekenis van bestaande aanwijzingen</w:t>
      </w:r>
      <w:r w:rsidR="006806D9">
        <w:t xml:space="preserve"> en de teksten toegankelijker te formuleren</w:t>
      </w:r>
      <w:r w:rsidR="00D7471D">
        <w:t>. De nadruk ligt daarbij op wat wél kan.</w:t>
      </w:r>
      <w:r w:rsidR="002D09F1">
        <w:t xml:space="preserve"> </w:t>
      </w:r>
    </w:p>
    <w:p w:rsidR="006323ED" w14:paraId="7DB396A3" w14:textId="77777777"/>
    <w:p w:rsidRPr="006C4695" w:rsidR="004356A3" w:rsidP="004356A3" w14:paraId="6DA6DC34" w14:textId="77777777">
      <w:r>
        <w:t>Bij deze</w:t>
      </w:r>
      <w:r w:rsidR="005E2A88">
        <w:t xml:space="preserve"> actualisatie </w:t>
      </w:r>
      <w:r w:rsidR="00D7471D">
        <w:t xml:space="preserve">is verduidelijkt dat </w:t>
      </w:r>
      <w:r w:rsidR="00B6445F">
        <w:t xml:space="preserve">de bewindspersoon vanuit de ministeriële verantwoordelijkheid afspraken kan maken om in de meeste gevallen verzoeken om informatie of contact zelfstandig af te laten doen door de parlementair contactpersoon, in plaats van dat de bewindspersoon in elk concreet geval expliciet toestemming dient te verlenen. Verder is verduidelijkt dat een parlementair contactpersoon weliswaar het contact tussen rijksambtenaren en Kamerleden faciliteert, maar dat het niet noodzakelijk is dat hij vervolgens ook bij het uiteindelijke contactmoment aanwezig is. Daarnaast zijn de definities van ‘feitelijke informatie’ en ‘persoonlijke beleidsopvattingen’ nader beschreven en is op sommige plaatsen de volgorde van aanwijzingen aangepast en zijn twee aanwijzingen samengevoegd. </w:t>
      </w:r>
      <w:r w:rsidRPr="00C86D25" w:rsidR="00B6445F">
        <w:t xml:space="preserve">Bovendien is verduidelijkt dat een verzoek om informatie of contact zowel op initiatief van een Kamerlid als op initiatief van een medewerker of bestuurder van een </w:t>
      </w:r>
      <w:r w:rsidR="00B6445F">
        <w:t>zelfstandig bestuursorgaan</w:t>
      </w:r>
      <w:r w:rsidRPr="00C86D25" w:rsidR="00B6445F">
        <w:t xml:space="preserve"> gedaan kan </w:t>
      </w:r>
      <w:r w:rsidRPr="00C86D25" w:rsidR="00B6445F">
        <w:t>worden</w:t>
      </w:r>
      <w:r w:rsidRPr="00C86D25" w:rsidR="00B6445F">
        <w:t xml:space="preserve">, zonder tussenkomst van de betrokken bewindspersoon. Het is daarbij </w:t>
      </w:r>
      <w:r w:rsidR="001D794F">
        <w:t>wel wenselijk dat</w:t>
      </w:r>
      <w:r w:rsidRPr="00C86D25" w:rsidR="00B6445F">
        <w:t xml:space="preserve"> de betrokken bewindspersoon ten tijde van het verzoek over het verzoek wordt geïnformeerd</w:t>
      </w:r>
      <w:r w:rsidR="00B6445F">
        <w:t>.</w:t>
      </w:r>
      <w:r w:rsidRPr="00C86D25" w:rsidR="00B6445F">
        <w:t xml:space="preserve"> </w:t>
      </w:r>
      <w:r>
        <w:t xml:space="preserve">Bovendien is opgenomen dat met inwerkingtreding van de Wet regels integriteit en vervolgfuncties bewindspersonen een </w:t>
      </w:r>
      <w:r w:rsidR="003B3082">
        <w:t xml:space="preserve">verbod </w:t>
      </w:r>
      <w:r>
        <w:t xml:space="preserve">geldt voor oud-bewindspersonen om binnen 2 jaar na ontslag zakelijk contact te hebben met de ambtenaren van </w:t>
      </w:r>
      <w:r w:rsidR="00FF4716">
        <w:t>het</w:t>
      </w:r>
      <w:r>
        <w:t xml:space="preserve"> vorige ministerie of </w:t>
      </w:r>
      <w:r w:rsidR="00CB085F">
        <w:t xml:space="preserve">met ambtenaren op een ander ministerie voor zover sprake is van </w:t>
      </w:r>
      <w:r>
        <w:t>aanpalende beleidsterreinen.</w:t>
      </w:r>
      <w:r>
        <w:rPr>
          <w:rStyle w:val="FootnoteReference"/>
        </w:rPr>
        <w:footnoteReference w:id="4"/>
      </w:r>
      <w:r>
        <w:t xml:space="preserve"> Daar dienen ambtenaren zich in het contact met derden rekenschap van te geven. </w:t>
      </w:r>
    </w:p>
    <w:p w:rsidR="00D2760C" w:rsidP="00B6445F" w14:paraId="355AB3CC" w14:textId="77777777">
      <w:r w:rsidRPr="00C86D25">
        <w:t xml:space="preserve"> </w:t>
      </w:r>
    </w:p>
    <w:p w:rsidR="00AC5079" w:rsidP="00B6445F" w14:paraId="73B06B27" w14:textId="77777777">
      <w:r>
        <w:t>M</w:t>
      </w:r>
      <w:r w:rsidR="00F4598B">
        <w:t xml:space="preserve">ijn ambtsvoorganger </w:t>
      </w:r>
      <w:r>
        <w:t xml:space="preserve">heeft in de brief van 19 februari </w:t>
      </w:r>
      <w:r w:rsidR="002257D6">
        <w:t>2025</w:t>
      </w:r>
      <w:r>
        <w:t xml:space="preserve"> </w:t>
      </w:r>
      <w:r w:rsidR="00F4598B">
        <w:t xml:space="preserve">toegezegd deze aanpassing in het najaar van 2025 door te kunnen voeren. Omdat van de gelegenheid gebruik is gemaakt om meerdere aanwijzingen te actualiseren, is dat begin 2026 geworden. </w:t>
      </w:r>
    </w:p>
    <w:p w:rsidR="00AC5079" w:rsidP="00B6445F" w14:paraId="520BB366" w14:textId="77777777"/>
    <w:p w:rsidRPr="006C4695" w:rsidR="00B6445F" w:rsidP="00B6445F" w14:paraId="25EE3031" w14:textId="77777777">
      <w:r>
        <w:t>Het kabinet streeft</w:t>
      </w:r>
      <w:r w:rsidR="00F4598B">
        <w:t xml:space="preserve"> met deze herziening</w:t>
      </w:r>
      <w:r>
        <w:t xml:space="preserve"> naar een steeds meer ontspannen contact tussen rijksambtenaren en Kamerleden – binnen ministeriële verantwoordelijkheid – als een normaal </w:t>
      </w:r>
      <w:r w:rsidRPr="006C4695">
        <w:t>onderdeel van een professioneel samenspel</w:t>
      </w:r>
      <w:r>
        <w:t xml:space="preserve">. </w:t>
      </w:r>
    </w:p>
    <w:p w:rsidR="001A164B" w14:paraId="3DBB7D00" w14:textId="77777777">
      <w:r>
        <w:t xml:space="preserve"> </w:t>
      </w:r>
    </w:p>
    <w:p w:rsidR="00B6445F" w14:paraId="5CB7417D" w14:textId="77777777"/>
    <w:p w:rsidR="00B6445F" w14:paraId="7D58461A" w14:textId="77777777">
      <w:r>
        <w:t>De minister van Binnenlandse Zaken en Koninkrijksrelaties</w:t>
      </w:r>
      <w:r w:rsidR="003C6F72">
        <w:t>,</w:t>
      </w:r>
    </w:p>
    <w:p w:rsidR="00B6445F" w14:paraId="3E8650A7" w14:textId="77777777"/>
    <w:p w:rsidR="00B6445F" w14:paraId="41D0DE3A" w14:textId="77777777"/>
    <w:p w:rsidR="00B6445F" w14:paraId="04EA1C75" w14:textId="77777777"/>
    <w:p w:rsidR="00B64388" w14:paraId="24526FA0" w14:textId="77777777"/>
    <w:p w:rsidR="00B64388" w14:paraId="09910CAB" w14:textId="77777777"/>
    <w:p w:rsidR="00B6445F" w14:paraId="1C9FB0CC" w14:textId="77777777">
      <w:r>
        <w:t>Pieter Heerma</w:t>
      </w:r>
      <w:r>
        <w:t xml:space="preserve"> </w:t>
      </w:r>
    </w:p>
    <w:sectPr>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73F6B" w14:paraId="67ECA1E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64B" w14:paraId="19B2BBC0"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73F6B" w14:paraId="6EB8CFA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97ABE" w14:paraId="5B881027" w14:textId="77777777">
      <w:pPr>
        <w:spacing w:line="240" w:lineRule="auto"/>
      </w:pPr>
      <w:r>
        <w:separator/>
      </w:r>
    </w:p>
  </w:footnote>
  <w:footnote w:type="continuationSeparator" w:id="1">
    <w:p w:rsidR="00F97ABE" w14:paraId="78B49AB9" w14:textId="77777777">
      <w:pPr>
        <w:spacing w:line="240" w:lineRule="auto"/>
      </w:pPr>
      <w:r>
        <w:continuationSeparator/>
      </w:r>
    </w:p>
  </w:footnote>
  <w:footnote w:id="2">
    <w:p w:rsidR="00F71570" w:rsidRPr="00F71570" w14:paraId="286D8DBC" w14:textId="77777777">
      <w:pPr>
        <w:pStyle w:val="FootnoteText"/>
        <w:rPr>
          <w:sz w:val="16"/>
          <w:szCs w:val="16"/>
        </w:rPr>
      </w:pPr>
      <w:r w:rsidRPr="00F71570">
        <w:rPr>
          <w:rStyle w:val="FootnoteReference"/>
          <w:sz w:val="16"/>
          <w:szCs w:val="16"/>
        </w:rPr>
        <w:footnoteRef/>
      </w:r>
      <w:r w:rsidRPr="00F71570">
        <w:rPr>
          <w:sz w:val="16"/>
          <w:szCs w:val="16"/>
        </w:rPr>
        <w:t xml:space="preserve"> </w:t>
      </w:r>
      <w:r w:rsidRPr="00F71570">
        <w:rPr>
          <w:i/>
          <w:iCs/>
          <w:sz w:val="16"/>
          <w:szCs w:val="16"/>
        </w:rPr>
        <w:t>Kamerstukken II</w:t>
      </w:r>
      <w:r w:rsidRPr="00F71570">
        <w:rPr>
          <w:sz w:val="16"/>
          <w:szCs w:val="16"/>
        </w:rPr>
        <w:t xml:space="preserve"> 2024/25, 28362, nr. 72.</w:t>
      </w:r>
    </w:p>
  </w:footnote>
  <w:footnote w:id="3">
    <w:p w:rsidR="00B82FB3" w14:paraId="0DE31CE6" w14:textId="77777777">
      <w:pPr>
        <w:pStyle w:val="FootnoteText"/>
      </w:pPr>
      <w:r w:rsidRPr="00B82FB3">
        <w:rPr>
          <w:rStyle w:val="FootnoteReference"/>
          <w:sz w:val="16"/>
          <w:szCs w:val="16"/>
        </w:rPr>
        <w:footnoteRef/>
      </w:r>
      <w:r w:rsidRPr="00B82FB3">
        <w:rPr>
          <w:sz w:val="16"/>
          <w:szCs w:val="16"/>
        </w:rPr>
        <w:t xml:space="preserve"> </w:t>
      </w:r>
      <w:r w:rsidRPr="00B82FB3">
        <w:rPr>
          <w:i/>
          <w:iCs/>
          <w:sz w:val="16"/>
          <w:szCs w:val="16"/>
        </w:rPr>
        <w:t>Kamerstukken II</w:t>
      </w:r>
      <w:r w:rsidRPr="00B82FB3">
        <w:rPr>
          <w:sz w:val="16"/>
          <w:szCs w:val="16"/>
        </w:rPr>
        <w:t xml:space="preserve"> 2024/25, 28362, nr. 74.</w:t>
      </w:r>
    </w:p>
  </w:footnote>
  <w:footnote w:id="4">
    <w:p w:rsidR="00BF599D" w14:paraId="5CD84E7D" w14:textId="77777777">
      <w:pPr>
        <w:pStyle w:val="FootnoteText"/>
      </w:pPr>
      <w:r w:rsidRPr="00D90B69">
        <w:rPr>
          <w:rStyle w:val="FootnoteReference"/>
          <w:sz w:val="16"/>
          <w:szCs w:val="16"/>
        </w:rPr>
        <w:footnoteRef/>
      </w:r>
      <w:r w:rsidRPr="00D90B69">
        <w:rPr>
          <w:sz w:val="16"/>
          <w:szCs w:val="16"/>
        </w:rPr>
        <w:t xml:space="preserve"> </w:t>
      </w:r>
      <w:r w:rsidR="004A672E">
        <w:rPr>
          <w:sz w:val="16"/>
          <w:szCs w:val="16"/>
        </w:rPr>
        <w:t xml:space="preserve">De wet </w:t>
      </w:r>
      <w:r w:rsidRPr="00D90B69">
        <w:rPr>
          <w:sz w:val="16"/>
          <w:szCs w:val="16"/>
        </w:rPr>
        <w:t xml:space="preserve">is </w:t>
      </w:r>
      <w:r w:rsidR="004A672E">
        <w:rPr>
          <w:sz w:val="16"/>
          <w:szCs w:val="16"/>
        </w:rPr>
        <w:t xml:space="preserve">per 20 februari 2026 </w:t>
      </w:r>
      <w:r w:rsidRPr="00D90B69">
        <w:rPr>
          <w:sz w:val="16"/>
          <w:szCs w:val="16"/>
        </w:rPr>
        <w:t>in werking</w:t>
      </w:r>
      <w:r w:rsidR="004A672E">
        <w:rPr>
          <w:sz w:val="16"/>
          <w:szCs w:val="16"/>
        </w:rPr>
        <w:t xml:space="preserve"> getreden</w:t>
      </w:r>
      <w:r w:rsidRPr="00D90B69">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73F6B" w14:paraId="5800245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64B" w14:paraId="41283F1F"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ED2EE4"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pt;margin-top:154.75pt;margin-left:79.35pt;mso-position-horizontal-relative:page;mso-wrap-distance-bottom:0;mso-wrap-distance-left:0;mso-wrap-distance-right:0;mso-wrap-distance-top:0;mso-wrap-style:square;position:absolute;v-text-anchor:top;visibility:visible;z-index:251659264" filled="f" stroked="f">
              <v:textbox inset="0,0,0,0">
                <w:txbxContent>
                  <w:p w:rsidR="00ED2EE4" w14:paraId="30165C10" w14:textId="77777777"/>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1A164B" w:rsidRPr="00173F6B" w14:textId="77777777">
                          <w:pPr>
                            <w:pStyle w:val="WitregelW2"/>
                            <w:rPr>
                              <w:b/>
                              <w:bCs/>
                              <w:sz w:val="13"/>
                              <w:szCs w:val="13"/>
                              <w:lang w:val="de-DE"/>
                            </w:rPr>
                          </w:pPr>
                          <w:r w:rsidRPr="00173F6B">
                            <w:rPr>
                              <w:b/>
                              <w:bCs/>
                              <w:sz w:val="13"/>
                              <w:szCs w:val="13"/>
                              <w:lang w:val="de-DE"/>
                            </w:rPr>
                            <w:t>DGOBDR/CZW/CZ</w:t>
                          </w:r>
                        </w:p>
                        <w:p w:rsidR="000E029E" w:rsidRPr="00173F6B" w:rsidP="000E029E" w14:textId="77777777">
                          <w:pPr>
                            <w:rPr>
                              <w:lang w:val="de-DE"/>
                            </w:rPr>
                          </w:pPr>
                        </w:p>
                        <w:p w:rsidR="001A164B" w:rsidRPr="00173F6B" w14:textId="77777777">
                          <w:pPr>
                            <w:pStyle w:val="Referentiegegevensbold"/>
                            <w:rPr>
                              <w:lang w:val="de-DE"/>
                            </w:rPr>
                          </w:pPr>
                          <w:r w:rsidRPr="00173F6B">
                            <w:rPr>
                              <w:lang w:val="de-DE"/>
                            </w:rPr>
                            <w:t>Datum</w:t>
                          </w:r>
                        </w:p>
                        <w:p w:rsidR="001A164B" w:rsidRPr="00173F6B" w14:textId="77777777">
                          <w:pPr>
                            <w:pStyle w:val="Referentiegegevens"/>
                            <w:rPr>
                              <w:lang w:val="de-DE"/>
                            </w:rPr>
                          </w:pPr>
                          <w:r w:rsidRPr="00173F6B">
                            <w:rPr>
                              <w:lang w:val="de-DE"/>
                            </w:rPr>
                            <w:t>21 april 2026</w:t>
                          </w:r>
                        </w:p>
                        <w:p w:rsidR="001A164B" w:rsidRPr="00173F6B" w14:textId="77777777">
                          <w:pPr>
                            <w:pStyle w:val="WitregelW1"/>
                            <w:rPr>
                              <w:lang w:val="de-DE"/>
                            </w:rPr>
                          </w:pPr>
                        </w:p>
                        <w:p w:rsidR="001A164B" w14:textId="77777777">
                          <w:pPr>
                            <w:pStyle w:val="Referentiegegevensbold"/>
                          </w:pPr>
                          <w:r>
                            <w:t>Onze referentie</w:t>
                          </w:r>
                        </w:p>
                        <w:p w:rsidR="00D77130" w14:textId="77777777">
                          <w:pPr>
                            <w:pStyle w:val="Referentiegegevens"/>
                          </w:pPr>
                          <w:r>
                            <w:fldChar w:fldCharType="begin"/>
                          </w:r>
                          <w:r>
                            <w:instrText xml:space="preserve"> DOCPROPERTY  "Kenmerk"  \* MERGEFORMAT </w:instrText>
                          </w:r>
                          <w:r>
                            <w:fldChar w:fldCharType="separate"/>
                          </w:r>
                          <w:r w:rsidR="00173F6B">
                            <w:t>2026-0000147399</w:t>
                          </w:r>
                          <w:r w:rsidR="00173F6B">
                            <w:fldChar w:fldCharType="end"/>
                          </w:r>
                        </w:p>
                      </w:txbxContent>
                    </wps:txbx>
                    <wps:bodyPr vert="horz" wrap="square" lIns="0" tIns="0" rIns="0" bIns="0" anchor="t" anchorCtr="0"/>
                  </wps:wsp>
                </a:graphicData>
              </a:graphic>
            </wp:anchor>
          </w:drawing>
        </mc:Choice>
        <mc:Fallback>
          <w:pict>
            <v:shape id="46fef022-aa3c-11ea-a756-beb5f67e67be" o:spid="_x0000_s2050"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1312" filled="f" stroked="f">
              <v:textbox inset="0,0,0,0">
                <w:txbxContent>
                  <w:p w:rsidR="001A164B" w:rsidRPr="00173F6B" w14:paraId="15C1452E" w14:textId="77777777">
                    <w:pPr>
                      <w:pStyle w:val="WitregelW2"/>
                      <w:rPr>
                        <w:b/>
                        <w:bCs/>
                        <w:sz w:val="13"/>
                        <w:szCs w:val="13"/>
                        <w:lang w:val="de-DE"/>
                      </w:rPr>
                    </w:pPr>
                    <w:r w:rsidRPr="00173F6B">
                      <w:rPr>
                        <w:b/>
                        <w:bCs/>
                        <w:sz w:val="13"/>
                        <w:szCs w:val="13"/>
                        <w:lang w:val="de-DE"/>
                      </w:rPr>
                      <w:t>DGOBDR/CZW/CZ</w:t>
                    </w:r>
                  </w:p>
                  <w:p w:rsidR="000E029E" w:rsidRPr="00173F6B" w:rsidP="000E029E" w14:paraId="3287B4A7" w14:textId="77777777">
                    <w:pPr>
                      <w:rPr>
                        <w:lang w:val="de-DE"/>
                      </w:rPr>
                    </w:pPr>
                  </w:p>
                  <w:p w:rsidR="001A164B" w:rsidRPr="00173F6B" w14:paraId="1B2A3453" w14:textId="77777777">
                    <w:pPr>
                      <w:pStyle w:val="Referentiegegevensbold"/>
                      <w:rPr>
                        <w:lang w:val="de-DE"/>
                      </w:rPr>
                    </w:pPr>
                    <w:r w:rsidRPr="00173F6B">
                      <w:rPr>
                        <w:lang w:val="de-DE"/>
                      </w:rPr>
                      <w:t>Datum</w:t>
                    </w:r>
                  </w:p>
                  <w:p w:rsidR="001A164B" w:rsidRPr="00173F6B" w14:paraId="3D261CD5" w14:textId="77777777">
                    <w:pPr>
                      <w:pStyle w:val="Referentiegegevens"/>
                      <w:rPr>
                        <w:lang w:val="de-DE"/>
                      </w:rPr>
                    </w:pPr>
                    <w:r w:rsidRPr="00173F6B">
                      <w:rPr>
                        <w:lang w:val="de-DE"/>
                      </w:rPr>
                      <w:t>21 april 2026</w:t>
                    </w:r>
                  </w:p>
                  <w:p w:rsidR="001A164B" w:rsidRPr="00173F6B" w14:paraId="7A2CF88F" w14:textId="77777777">
                    <w:pPr>
                      <w:pStyle w:val="WitregelW1"/>
                      <w:rPr>
                        <w:lang w:val="de-DE"/>
                      </w:rPr>
                    </w:pPr>
                  </w:p>
                  <w:p w:rsidR="001A164B" w14:paraId="2A487658" w14:textId="77777777">
                    <w:pPr>
                      <w:pStyle w:val="Referentiegegevensbold"/>
                    </w:pPr>
                    <w:r>
                      <w:t>Onze referentie</w:t>
                    </w:r>
                  </w:p>
                  <w:p w:rsidR="00D77130" w14:paraId="38F0D321" w14:textId="77777777">
                    <w:pPr>
                      <w:pStyle w:val="Referentiegegevens"/>
                    </w:pPr>
                    <w:r>
                      <w:fldChar w:fldCharType="begin"/>
                    </w:r>
                    <w:r>
                      <w:instrText xml:space="preserve"> DOCPROPERTY  "Kenmerk"  \* MERGEFORMAT </w:instrText>
                    </w:r>
                    <w:r>
                      <w:fldChar w:fldCharType="separate"/>
                    </w:r>
                    <w:r w:rsidR="00173F6B">
                      <w:t>2026-0000147399</w:t>
                    </w:r>
                    <w:r w:rsidR="00173F6B">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ED2EE4" w14:textId="77777777"/>
                      </w:txbxContent>
                    </wps:txbx>
                    <wps:bodyPr vert="horz" wrap="square" lIns="0" tIns="0" rIns="0" bIns="0" anchor="t" anchorCtr="0"/>
                  </wps:wsp>
                </a:graphicData>
              </a:graphic>
            </wp:anchor>
          </w:drawing>
        </mc:Choice>
        <mc:Fallback>
          <w:pict>
            <v:shape id="46fef0b8-aa3c-11ea-a756-beb5f67e67be" o:spid="_x0000_s2051" type="#_x0000_t202" alt="Voettekst" style="width:377pt;height:12.75pt;margin-top:802.75pt;margin-left:79.35pt;mso-position-horizontal-relative:page;mso-wrap-distance-bottom:0;mso-wrap-distance-left:0;mso-wrap-distance-right:0;mso-wrap-distance-top:0;mso-wrap-style:square;position:absolute;v-text-anchor:top;visibility:visible;z-index:251663360" filled="f" stroked="f">
              <v:textbox inset="0,0,0,0">
                <w:txbxContent>
                  <w:p w:rsidR="00ED2EE4" w14:paraId="00A53795" w14:textId="77777777"/>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F273DE"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alt="Paginanummering" style="width:101.25pt;height:12.75pt;margin-top:802.75pt;margin-left:466.25pt;mso-position-horizontal-relative:page;mso-wrap-distance-bottom:0;mso-wrap-distance-left:0;mso-wrap-distance-right:0;mso-wrap-distance-top:0;mso-wrap-style:square;position:absolute;v-text-anchor:top;visibility:visible;z-index:251665408" filled="f" stroked="f">
              <v:textbox inset="0,0,0,0">
                <w:txbxContent>
                  <w:p w:rsidR="00F273DE" w14:paraId="2E3DA5DB"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64B" w14:paraId="4AC7A4FB"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1A164B" w14:textId="77777777">
                          <w:pPr>
                            <w:spacing w:line="240" w:lineRule="auto"/>
                          </w:pPr>
                          <w:r>
                            <w:rPr>
                              <w:noProof/>
                            </w:rPr>
                            <w:drawing>
                              <wp:inline distT="0" distB="0" distL="0" distR="0">
                                <wp:extent cx="467995" cy="1583865"/>
                                <wp:effectExtent l="0" t="0" r="0" b="0"/>
                                <wp:docPr id="1348909961"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348909961"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67456" filled="f" stroked="f">
              <v:textbox inset="0,0,0,0">
                <w:txbxContent>
                  <w:p w:rsidR="001A164B" w14:paraId="29957D0C" w14:textId="77777777">
                    <w:pPr>
                      <w:spacing w:line="240" w:lineRule="auto"/>
                    </w:pPr>
                    <w:drawing>
                      <wp:inline distT="0" distB="0" distL="0" distR="0">
                        <wp:extent cx="467995" cy="1583865"/>
                        <wp:effectExtent l="0" t="0" r="0" b="0"/>
                        <wp:docPr id="1065287898"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65287898"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1A164B" w14:textId="77777777">
                          <w:pPr>
                            <w:spacing w:line="240" w:lineRule="auto"/>
                          </w:pPr>
                          <w:r>
                            <w:rPr>
                              <w:noProof/>
                            </w:rPr>
                            <w:drawing>
                              <wp:inline distT="0" distB="0" distL="0" distR="0">
                                <wp:extent cx="2339975" cy="1582834"/>
                                <wp:effectExtent l="0" t="0" r="0" b="0"/>
                                <wp:docPr id="612351367"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612351367"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69504" filled="f" stroked="f">
              <v:textbox inset="0,0,0,0">
                <w:txbxContent>
                  <w:p w:rsidR="001A164B" w14:paraId="5D8E646E" w14:textId="77777777">
                    <w:pPr>
                      <w:spacing w:line="240" w:lineRule="auto"/>
                    </w:pPr>
                    <w:drawing>
                      <wp:inline distT="0" distB="0" distL="0" distR="0">
                        <wp:extent cx="2339975" cy="1582834"/>
                        <wp:effectExtent l="0" t="0" r="0" b="0"/>
                        <wp:docPr id="1456771947"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456771947"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1A164B" w14:textId="77777777">
                          <w:pPr>
                            <w:pStyle w:val="Referentiegegevens"/>
                          </w:pPr>
                          <w:r>
                            <w:t>&gt; Retouradres Postbus 20011 2500 EA  Den Haag</w:t>
                          </w:r>
                        </w:p>
                      </w:txbxContent>
                    </wps:txbx>
                    <wps:bodyPr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id="f053fe88-db2b-430b-bcc5-fbb915a19314" o:spid="_x0000_s2055" type="#_x0000_t202" style="width:377pt;height:12.75pt;margin-top:135.45pt;margin-left:79.6pt;mso-height-percent:0;mso-height-relative:margin;mso-position-horizontal-relative:page;mso-width-percent:0;mso-width-relative:margin;mso-wrap-distance-bottom:0;mso-wrap-distance-left:0;mso-wrap-distance-right:0;mso-wrap-distance-top:0;mso-wrap-style:square;position:absolute;v-text-anchor:top;visibility:visible;z-index:251671552" filled="f" stroked="f">
              <v:textbox inset="0,0,0,0">
                <w:txbxContent>
                  <w:p w:rsidR="001A164B" w14:paraId="0125E2BC" w14:textId="77777777">
                    <w:pPr>
                      <w:pStyle w:val="Referentiegegevens"/>
                    </w:pPr>
                    <w:r>
                      <w:t>&gt; Retouradres Postbus 20011 2500 EA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ED2EE4" w14:textId="77777777"/>
                      </w:txbxContent>
                    </wps:txbx>
                    <wps:bodyPr vert="horz" wrap="square" lIns="0" tIns="0" rIns="0" bIns="0" anchor="t" anchorCtr="0"/>
                  </wps:wsp>
                </a:graphicData>
              </a:graphic>
            </wp:anchor>
          </w:drawing>
        </mc:Choice>
        <mc:Fallback>
          <w:pict>
            <v:shape id="d302f2a1-bb28-4417-9701-e3b1450e5fb6" o:spid="_x0000_s2056" type="#_x0000_t202" alt="Adresvak" style="width:377pt;height:87.85pt;margin-top:153.9pt;margin-left:79.35pt;mso-position-horizontal-relative:page;mso-wrap-distance-bottom:0;mso-wrap-distance-left:0;mso-wrap-distance-right:0;mso-wrap-distance-top:0;mso-wrap-style:square;position:absolute;v-text-anchor:top;visibility:visible;z-index:251673600" filled="f" stroked="f">
              <v:textbox inset="0,0,0,0">
                <w:txbxContent>
                  <w:p w:rsidR="00ED2EE4" w14:paraId="04D8C813" w14:textId="77777777"/>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margin">
                <wp:posOffset>1905</wp:posOffset>
              </wp:positionH>
              <wp:positionV relativeFrom="paragraph">
                <wp:posOffset>2390775</wp:posOffset>
              </wp:positionV>
              <wp:extent cx="4724400" cy="75438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24400" cy="754380"/>
                      </a:xfrm>
                      <a:prstGeom prst="rect">
                        <a:avLst/>
                      </a:prstGeom>
                      <a:noFill/>
                    </wps:spPr>
                    <wps:txbx>
                      <w:txbxContent>
                        <w:tbl>
                          <w:tblPr>
                            <w:tblW w:w="10185" w:type="dxa"/>
                            <w:tblInd w:w="-120" w:type="dxa"/>
                            <w:tblLayout w:type="fixed"/>
                            <w:tblLook w:val="07E0"/>
                          </w:tblPr>
                          <w:tblGrid>
                            <w:gridCol w:w="10185"/>
                          </w:tblGrid>
                          <w:tr w14:paraId="7B72BA4F" w14:textId="77777777" w:rsidTr="00802B12">
                            <w:tblPrEx>
                              <w:tblW w:w="10185" w:type="dxa"/>
                              <w:tblInd w:w="-120" w:type="dxa"/>
                              <w:tblLayout w:type="fixed"/>
                              <w:tblLook w:val="07E0"/>
                            </w:tblPrEx>
                            <w:trPr>
                              <w:trHeight w:val="240"/>
                            </w:trPr>
                            <w:tc>
                              <w:tcPr>
                                <w:tcW w:w="10185" w:type="dxa"/>
                              </w:tcPr>
                              <w:p w:rsidR="00802B12" w:rsidRPr="00802B12" w:rsidP="00802B12" w14:textId="77777777">
                                <w:r w:rsidRPr="00802B12">
                                  <w:t>Aan de Voorzitter</w:t>
                                </w:r>
                                <w:r>
                                  <w:t xml:space="preserve"> </w:t>
                                </w:r>
                                <w:r w:rsidRPr="00802B12">
                                  <w:t>van de Tweede</w:t>
                                </w:r>
                                <w:r>
                                  <w:t xml:space="preserve"> Kamer der Staten-Generaal </w:t>
                                </w:r>
                              </w:p>
                            </w:tc>
                          </w:tr>
                          <w:tr w14:paraId="37C8D938" w14:textId="77777777" w:rsidTr="00802B12">
                            <w:tblPrEx>
                              <w:tblW w:w="10185" w:type="dxa"/>
                              <w:tblInd w:w="-120" w:type="dxa"/>
                              <w:tblLayout w:type="fixed"/>
                              <w:tblLook w:val="07E0"/>
                            </w:tblPrEx>
                            <w:trPr>
                              <w:trHeight w:val="240"/>
                            </w:trPr>
                            <w:tc>
                              <w:tcPr>
                                <w:tcW w:w="10185" w:type="dxa"/>
                              </w:tcPr>
                              <w:p w:rsidR="00AC39F5" w:rsidP="00802B12" w14:textId="77777777">
                                <w:r>
                                  <w:t>Postbus 20018</w:t>
                                </w:r>
                              </w:p>
                              <w:p w:rsidR="00AE2553" w:rsidP="00802B12" w14:textId="77777777">
                                <w:r>
                                  <w:t xml:space="preserve">2500 EA Den Haag </w:t>
                                </w:r>
                              </w:p>
                              <w:p w:rsidR="00AE2553" w:rsidP="00802B12" w14:textId="77777777"/>
                              <w:p w:rsidR="00AE2553" w:rsidP="00802B12" w14:textId="77777777"/>
                              <w:p w:rsidR="00AE2553" w:rsidP="00802B12" w14:textId="77777777"/>
                              <w:p w:rsidR="00AE2553" w:rsidP="00802B12" w14:textId="77777777"/>
                              <w:p w:rsidR="00AE2553" w:rsidP="00802B12" w14:textId="77777777"/>
                              <w:p w:rsidR="00AE2553" w:rsidP="00802B12" w14:textId="77777777"/>
                              <w:p w:rsidR="00AE2553" w:rsidP="00802B12" w14:textId="77777777"/>
                              <w:p w:rsidR="00AE2553" w:rsidRPr="00802B12" w:rsidP="00802B12" w14:textId="77777777"/>
                            </w:tc>
                          </w:tr>
                        </w:tbl>
                        <w:p w:rsidR="00ED2EE4" w14:textId="77777777"/>
                      </w:txbxContent>
                    </wps:txbx>
                    <wps:bodyPr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id="_x0000_s2057" type="#_x0000_t202" style="width:372pt;height:59.4pt;margin-top:188.25pt;margin-left:0.15pt;mso-height-percent:0;mso-height-relative:margin;mso-position-horizontal-relative:margin;mso-width-percent:0;mso-width-relative:margin;mso-wrap-distance-bottom:0;mso-wrap-distance-left:0;mso-wrap-distance-right:0;mso-wrap-distance-top:0;mso-wrap-style:square;position:absolute;v-text-anchor:top;visibility:visible;z-index:251675648" filled="f" stroked="f">
              <v:textbox inset="0,0,0,0">
                <w:txbxContent>
                  <w:tbl>
                    <w:tblPr>
                      <w:tblW w:w="10185" w:type="dxa"/>
                      <w:tblInd w:w="-120" w:type="dxa"/>
                      <w:tblLayout w:type="fixed"/>
                      <w:tblLook w:val="07E0"/>
                    </w:tblPr>
                    <w:tblGrid>
                      <w:gridCol w:w="10185"/>
                    </w:tblGrid>
                    <w:tr w14:paraId="7B72BA4E" w14:textId="77777777" w:rsidTr="00802B12">
                      <w:tblPrEx>
                        <w:tblW w:w="10185" w:type="dxa"/>
                        <w:tblInd w:w="-120" w:type="dxa"/>
                        <w:tblLayout w:type="fixed"/>
                        <w:tblLook w:val="07E0"/>
                      </w:tblPrEx>
                      <w:trPr>
                        <w:trHeight w:val="240"/>
                      </w:trPr>
                      <w:tc>
                        <w:tcPr>
                          <w:tcW w:w="10185" w:type="dxa"/>
                        </w:tcPr>
                        <w:p w:rsidR="00802B12" w:rsidRPr="00802B12" w:rsidP="00802B12" w14:paraId="511706F5" w14:textId="77777777">
                          <w:r w:rsidRPr="00802B12">
                            <w:t>Aan de Voorzitter</w:t>
                          </w:r>
                          <w:r>
                            <w:t xml:space="preserve"> </w:t>
                          </w:r>
                          <w:r w:rsidRPr="00802B12">
                            <w:t>van de Tweede</w:t>
                          </w:r>
                          <w:r>
                            <w:t xml:space="preserve"> Kamer der Staten-Generaal </w:t>
                          </w:r>
                        </w:p>
                      </w:tc>
                    </w:tr>
                    <w:tr w14:paraId="37C8D937" w14:textId="77777777" w:rsidTr="00802B12">
                      <w:tblPrEx>
                        <w:tblW w:w="10185" w:type="dxa"/>
                        <w:tblInd w:w="-120" w:type="dxa"/>
                        <w:tblLayout w:type="fixed"/>
                        <w:tblLook w:val="07E0"/>
                      </w:tblPrEx>
                      <w:trPr>
                        <w:trHeight w:val="240"/>
                      </w:trPr>
                      <w:tc>
                        <w:tcPr>
                          <w:tcW w:w="10185" w:type="dxa"/>
                        </w:tcPr>
                        <w:p w:rsidR="00AC39F5" w:rsidP="00802B12" w14:paraId="7B624E00" w14:textId="77777777">
                          <w:r>
                            <w:t>Postbus 20018</w:t>
                          </w:r>
                        </w:p>
                        <w:p w:rsidR="00AE2553" w:rsidP="00802B12" w14:paraId="05574606" w14:textId="77777777">
                          <w:r>
                            <w:t xml:space="preserve">2500 EA Den Haag </w:t>
                          </w:r>
                        </w:p>
                        <w:p w:rsidR="00AE2553" w:rsidP="00802B12" w14:paraId="0025F693" w14:textId="77777777"/>
                        <w:p w:rsidR="00AE2553" w:rsidP="00802B12" w14:paraId="4B712730" w14:textId="77777777"/>
                        <w:p w:rsidR="00AE2553" w:rsidP="00802B12" w14:paraId="4EF948B6" w14:textId="77777777"/>
                        <w:p w:rsidR="00AE2553" w:rsidP="00802B12" w14:paraId="4C674209" w14:textId="77777777"/>
                        <w:p w:rsidR="00AE2553" w:rsidP="00802B12" w14:paraId="305D3DE5" w14:textId="77777777"/>
                        <w:p w:rsidR="00AE2553" w:rsidP="00802B12" w14:paraId="041C3FE1" w14:textId="77777777"/>
                        <w:p w:rsidR="00AE2553" w:rsidP="00802B12" w14:paraId="4ACB4B5E" w14:textId="77777777"/>
                        <w:p w:rsidR="00AE2553" w:rsidRPr="00802B12" w:rsidP="00802B12" w14:paraId="74172A90" w14:textId="77777777"/>
                      </w:tc>
                    </w:tr>
                  </w:tbl>
                  <w:p w:rsidR="00ED2EE4" w14:paraId="2F41D30C" w14:textId="77777777"/>
                </w:txbxContent>
              </v:textbox>
              <w10:wrap anchorx="margin"/>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1A164B" w:rsidRPr="00675686" w:rsidP="00357357" w14:textId="77777777">
                          <w:pPr>
                            <w:pStyle w:val="Referentiegegevensbold"/>
                            <w:rPr>
                              <w:lang w:val="de-DE"/>
                            </w:rPr>
                          </w:pPr>
                          <w:r w:rsidRPr="00675686">
                            <w:rPr>
                              <w:lang w:val="de-DE"/>
                            </w:rPr>
                            <w:t xml:space="preserve">DGOBDR/CZW/CZ </w:t>
                          </w:r>
                        </w:p>
                        <w:p w:rsidR="001A164B" w:rsidRPr="00675686" w14:textId="77777777">
                          <w:pPr>
                            <w:pStyle w:val="WitregelW1"/>
                            <w:rPr>
                              <w:lang w:val="de-DE"/>
                            </w:rPr>
                          </w:pPr>
                        </w:p>
                        <w:p w:rsidR="001A164B" w:rsidRPr="00266530" w14:textId="77777777">
                          <w:pPr>
                            <w:pStyle w:val="Referentiegegevens"/>
                            <w:rPr>
                              <w:lang w:val="de-DE"/>
                            </w:rPr>
                          </w:pPr>
                          <w:r w:rsidRPr="00266530">
                            <w:rPr>
                              <w:lang w:val="de-DE"/>
                            </w:rPr>
                            <w:t>Turfmarkt</w:t>
                          </w:r>
                          <w:r w:rsidRPr="00266530">
                            <w:rPr>
                              <w:lang w:val="de-DE"/>
                            </w:rPr>
                            <w:t xml:space="preserve"> 147</w:t>
                          </w:r>
                        </w:p>
                        <w:p w:rsidR="001A164B" w:rsidRPr="00266530" w14:textId="77777777">
                          <w:pPr>
                            <w:pStyle w:val="Referentiegegevens"/>
                            <w:rPr>
                              <w:lang w:val="de-DE"/>
                            </w:rPr>
                          </w:pPr>
                          <w:r w:rsidRPr="00266530">
                            <w:rPr>
                              <w:lang w:val="de-DE"/>
                            </w:rPr>
                            <w:t>2511 DP Den Haag</w:t>
                          </w:r>
                        </w:p>
                        <w:p w:rsidR="001A164B" w:rsidRPr="00675686" w14:textId="77777777">
                          <w:pPr>
                            <w:pStyle w:val="Referentiegegevens"/>
                          </w:pPr>
                          <w:r w:rsidRPr="00675686">
                            <w:t>Postbus 20011</w:t>
                          </w:r>
                        </w:p>
                        <w:p w:rsidR="001A164B" w14:textId="77777777">
                          <w:pPr>
                            <w:pStyle w:val="Referentiegegevens"/>
                          </w:pPr>
                          <w:r>
                            <w:t>2500 EA  Den Haag</w:t>
                          </w:r>
                        </w:p>
                        <w:p w:rsidR="001A164B" w14:textId="77777777">
                          <w:pPr>
                            <w:pStyle w:val="WitregelW2"/>
                          </w:pPr>
                        </w:p>
                        <w:p w:rsidR="001A164B" w14:textId="77777777">
                          <w:pPr>
                            <w:pStyle w:val="Referentiegegevensbold"/>
                          </w:pPr>
                          <w:r>
                            <w:t>Onze referentie</w:t>
                          </w:r>
                        </w:p>
                        <w:p w:rsidR="00D77130" w14:textId="77777777">
                          <w:pPr>
                            <w:pStyle w:val="Referentiegegevens"/>
                          </w:pPr>
                          <w:r>
                            <w:fldChar w:fldCharType="begin"/>
                          </w:r>
                          <w:r>
                            <w:instrText xml:space="preserve"> DOCPROPERTY  "Kenmerk"  \* MERGEFORMAT </w:instrText>
                          </w:r>
                          <w:r>
                            <w:fldChar w:fldCharType="separate"/>
                          </w:r>
                          <w:r w:rsidR="00173F6B">
                            <w:t>2026-0000147399</w:t>
                          </w:r>
                          <w:r w:rsidR="00173F6B">
                            <w:fldChar w:fldCharType="end"/>
                          </w:r>
                        </w:p>
                        <w:p w:rsidR="001A164B" w14:textId="77777777">
                          <w:pPr>
                            <w:pStyle w:val="WitregelW1"/>
                          </w:pPr>
                        </w:p>
                        <w:p w:rsidR="001A164B" w14:textId="77777777"/>
                      </w:txbxContent>
                    </wps:txbx>
                    <wps:bodyPr vert="horz" wrap="square" lIns="0" tIns="0" rIns="0" bIns="0" anchor="t" anchorCtr="0"/>
                  </wps:wsp>
                </a:graphicData>
              </a:graphic>
            </wp:anchor>
          </w:drawing>
        </mc:Choice>
        <mc:Fallback>
          <w:pict>
            <v:shape id="aa29ef58-fa5a-4ef1-bc47-43f659f7c670" o:spid="_x0000_s2058" type="#_x0000_t202" alt="Colofon" style="width:100.6pt;height:630.7pt;margin-top:154.75pt;margin-left:466.25pt;mso-position-horizontal-relative:page;mso-wrap-distance-bottom:0;mso-wrap-distance-left:0;mso-wrap-distance-right:0;mso-wrap-distance-top:0;mso-wrap-style:square;position:absolute;v-text-anchor:top;visibility:visible;z-index:251677696" filled="f" stroked="f">
              <v:textbox inset="0,0,0,0">
                <w:txbxContent>
                  <w:p w:rsidR="001A164B" w:rsidRPr="00675686" w:rsidP="00357357" w14:paraId="387E3D5F" w14:textId="77777777">
                    <w:pPr>
                      <w:pStyle w:val="Referentiegegevensbold"/>
                      <w:rPr>
                        <w:lang w:val="de-DE"/>
                      </w:rPr>
                    </w:pPr>
                    <w:r w:rsidRPr="00675686">
                      <w:rPr>
                        <w:lang w:val="de-DE"/>
                      </w:rPr>
                      <w:t xml:space="preserve">DGOBDR/CZW/CZ </w:t>
                    </w:r>
                  </w:p>
                  <w:p w:rsidR="001A164B" w:rsidRPr="00675686" w14:paraId="5E0525F3" w14:textId="77777777">
                    <w:pPr>
                      <w:pStyle w:val="WitregelW1"/>
                      <w:rPr>
                        <w:lang w:val="de-DE"/>
                      </w:rPr>
                    </w:pPr>
                  </w:p>
                  <w:p w:rsidR="001A164B" w:rsidRPr="00266530" w14:paraId="068DBD36" w14:textId="77777777">
                    <w:pPr>
                      <w:pStyle w:val="Referentiegegevens"/>
                      <w:rPr>
                        <w:lang w:val="de-DE"/>
                      </w:rPr>
                    </w:pPr>
                    <w:r w:rsidRPr="00266530">
                      <w:rPr>
                        <w:lang w:val="de-DE"/>
                      </w:rPr>
                      <w:t>Turfmarkt</w:t>
                    </w:r>
                    <w:r w:rsidRPr="00266530">
                      <w:rPr>
                        <w:lang w:val="de-DE"/>
                      </w:rPr>
                      <w:t xml:space="preserve"> 147</w:t>
                    </w:r>
                  </w:p>
                  <w:p w:rsidR="001A164B" w:rsidRPr="00266530" w14:paraId="06A0839B" w14:textId="77777777">
                    <w:pPr>
                      <w:pStyle w:val="Referentiegegevens"/>
                      <w:rPr>
                        <w:lang w:val="de-DE"/>
                      </w:rPr>
                    </w:pPr>
                    <w:r w:rsidRPr="00266530">
                      <w:rPr>
                        <w:lang w:val="de-DE"/>
                      </w:rPr>
                      <w:t>2511 DP Den Haag</w:t>
                    </w:r>
                  </w:p>
                  <w:p w:rsidR="001A164B" w:rsidRPr="00675686" w14:paraId="56E5939E" w14:textId="77777777">
                    <w:pPr>
                      <w:pStyle w:val="Referentiegegevens"/>
                    </w:pPr>
                    <w:r w:rsidRPr="00675686">
                      <w:t>Postbus 20011</w:t>
                    </w:r>
                  </w:p>
                  <w:p w:rsidR="001A164B" w14:paraId="405D0B16" w14:textId="77777777">
                    <w:pPr>
                      <w:pStyle w:val="Referentiegegevens"/>
                    </w:pPr>
                    <w:r>
                      <w:t>2500 EA  Den Haag</w:t>
                    </w:r>
                  </w:p>
                  <w:p w:rsidR="001A164B" w14:paraId="4C7F1A0B" w14:textId="77777777">
                    <w:pPr>
                      <w:pStyle w:val="WitregelW2"/>
                    </w:pPr>
                  </w:p>
                  <w:p w:rsidR="001A164B" w14:paraId="4316E3AC" w14:textId="77777777">
                    <w:pPr>
                      <w:pStyle w:val="Referentiegegevensbold"/>
                    </w:pPr>
                    <w:r>
                      <w:t>Onze referentie</w:t>
                    </w:r>
                  </w:p>
                  <w:p w:rsidR="00D77130" w14:paraId="602928DB" w14:textId="77777777">
                    <w:pPr>
                      <w:pStyle w:val="Referentiegegevens"/>
                    </w:pPr>
                    <w:r>
                      <w:fldChar w:fldCharType="begin"/>
                    </w:r>
                    <w:r>
                      <w:instrText xml:space="preserve"> DOCPROPERTY  "Kenmerk"  \* MERGEFORMAT </w:instrText>
                    </w:r>
                    <w:r>
                      <w:fldChar w:fldCharType="separate"/>
                    </w:r>
                    <w:r w:rsidR="00173F6B">
                      <w:t>2026-0000147399</w:t>
                    </w:r>
                    <w:r w:rsidR="00173F6B">
                      <w:fldChar w:fldCharType="end"/>
                    </w:r>
                  </w:p>
                  <w:p w:rsidR="001A164B" w14:paraId="26113E90" w14:textId="77777777">
                    <w:pPr>
                      <w:pStyle w:val="WitregelW1"/>
                    </w:pPr>
                  </w:p>
                  <w:p w:rsidR="001A164B" w14:paraId="7E99EE74" w14:textId="77777777"/>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F273DE"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9744" filled="f" stroked="f">
              <v:textbox inset="0,0,0,0">
                <w:txbxContent>
                  <w:p w:rsidR="00F273DE" w14:paraId="15279AF5"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ED2EE4" w14:textId="77777777"/>
                      </w:txbxContent>
                    </wps:txbx>
                    <wps:bodyPr vert="horz" wrap="square" lIns="0" tIns="0" rIns="0" bIns="0" anchor="t" anchorCtr="0"/>
                  </wps:wsp>
                </a:graphicData>
              </a:graphic>
            </wp:anchor>
          </w:drawing>
        </mc:Choice>
        <mc:Fallback>
          <w:pict>
            <v:shape id="ea113d41-b39a-4e3b-9a6a-dce66e72abe4" o:spid="_x0000_s2060" type="#_x0000_t202" alt="Voettekst" style="width:377pt;height:12.75pt;margin-top:802.95pt;margin-left:78.6pt;mso-position-horizontal-relative:page;mso-wrap-distance-bottom:0;mso-wrap-distance-left:0;mso-wrap-distance-right:0;mso-wrap-distance-top:0;mso-wrap-style:square;position:absolute;v-text-anchor:top;visibility:visible;z-index:251681792" filled="f" stroked="f">
              <v:textbox inset="0,0,0,0">
                <w:txbxContent>
                  <w:p w:rsidR="00ED2EE4" w14:paraId="12701726"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AEBECA0E"/>
    <w:multiLevelType w:val="multilevel"/>
    <w:tmpl w:val="E75EEB82"/>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nsid w:val="D2E779CB"/>
    <w:multiLevelType w:val="multilevel"/>
    <w:tmpl w:val="0455786D"/>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nsid w:val="52275FE6"/>
    <w:multiLevelType w:val="hybridMultilevel"/>
    <w:tmpl w:val="DCEA7A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7D4D087A"/>
    <w:multiLevelType w:val="multilevel"/>
    <w:tmpl w:val="2CDADACA"/>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4">
    <w:nsid w:val="7EE0DE1E"/>
    <w:multiLevelType w:val="multilevel"/>
    <w:tmpl w:val="1CE39F15"/>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156412326">
    <w:abstractNumId w:val="3"/>
  </w:num>
  <w:num w:numId="2" w16cid:durableId="1008409152">
    <w:abstractNumId w:val="4"/>
  </w:num>
  <w:num w:numId="3" w16cid:durableId="855654840">
    <w:abstractNumId w:val="0"/>
  </w:num>
  <w:num w:numId="4" w16cid:durableId="860972531">
    <w:abstractNumId w:val="1"/>
  </w:num>
  <w:num w:numId="5" w16cid:durableId="5273743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64B"/>
    <w:rsid w:val="00041F06"/>
    <w:rsid w:val="000902AB"/>
    <w:rsid w:val="00090B67"/>
    <w:rsid w:val="000A7795"/>
    <w:rsid w:val="000C284D"/>
    <w:rsid w:val="000E029E"/>
    <w:rsid w:val="000F7470"/>
    <w:rsid w:val="00110C26"/>
    <w:rsid w:val="00135DEB"/>
    <w:rsid w:val="0015727C"/>
    <w:rsid w:val="00173F6B"/>
    <w:rsid w:val="001A164B"/>
    <w:rsid w:val="001D2133"/>
    <w:rsid w:val="001D794F"/>
    <w:rsid w:val="002257D6"/>
    <w:rsid w:val="00266530"/>
    <w:rsid w:val="0029358A"/>
    <w:rsid w:val="002967A9"/>
    <w:rsid w:val="002B6EE7"/>
    <w:rsid w:val="002D09F1"/>
    <w:rsid w:val="002D6017"/>
    <w:rsid w:val="002E60A2"/>
    <w:rsid w:val="00357357"/>
    <w:rsid w:val="003952AA"/>
    <w:rsid w:val="003B3082"/>
    <w:rsid w:val="003C6F72"/>
    <w:rsid w:val="003D694E"/>
    <w:rsid w:val="0040601A"/>
    <w:rsid w:val="004356A3"/>
    <w:rsid w:val="004A672E"/>
    <w:rsid w:val="004F3AF8"/>
    <w:rsid w:val="005076DC"/>
    <w:rsid w:val="00525AAD"/>
    <w:rsid w:val="0058172E"/>
    <w:rsid w:val="005944FF"/>
    <w:rsid w:val="005E2A88"/>
    <w:rsid w:val="006323ED"/>
    <w:rsid w:val="00633ADA"/>
    <w:rsid w:val="00634FD9"/>
    <w:rsid w:val="0066582B"/>
    <w:rsid w:val="00675686"/>
    <w:rsid w:val="006806D9"/>
    <w:rsid w:val="006B528C"/>
    <w:rsid w:val="006C4695"/>
    <w:rsid w:val="006D23C6"/>
    <w:rsid w:val="00747C62"/>
    <w:rsid w:val="00762C68"/>
    <w:rsid w:val="00802B12"/>
    <w:rsid w:val="008526EC"/>
    <w:rsid w:val="008B1170"/>
    <w:rsid w:val="0098058E"/>
    <w:rsid w:val="009C170E"/>
    <w:rsid w:val="00A04DC1"/>
    <w:rsid w:val="00A305EC"/>
    <w:rsid w:val="00A47482"/>
    <w:rsid w:val="00A70C71"/>
    <w:rsid w:val="00AC39F5"/>
    <w:rsid w:val="00AC5079"/>
    <w:rsid w:val="00AC54F0"/>
    <w:rsid w:val="00AE2553"/>
    <w:rsid w:val="00B64388"/>
    <w:rsid w:val="00B6445F"/>
    <w:rsid w:val="00B67F95"/>
    <w:rsid w:val="00B82FB3"/>
    <w:rsid w:val="00BB3B7A"/>
    <w:rsid w:val="00BF599D"/>
    <w:rsid w:val="00BF6BA5"/>
    <w:rsid w:val="00C230DC"/>
    <w:rsid w:val="00C521C1"/>
    <w:rsid w:val="00C83E9A"/>
    <w:rsid w:val="00C84DC4"/>
    <w:rsid w:val="00C86D25"/>
    <w:rsid w:val="00CB085F"/>
    <w:rsid w:val="00CB2401"/>
    <w:rsid w:val="00D011D5"/>
    <w:rsid w:val="00D23FE5"/>
    <w:rsid w:val="00D2760C"/>
    <w:rsid w:val="00D55CC1"/>
    <w:rsid w:val="00D7471D"/>
    <w:rsid w:val="00D77130"/>
    <w:rsid w:val="00D90B69"/>
    <w:rsid w:val="00DD53D1"/>
    <w:rsid w:val="00E03204"/>
    <w:rsid w:val="00E13130"/>
    <w:rsid w:val="00E43AC3"/>
    <w:rsid w:val="00E62CA8"/>
    <w:rsid w:val="00E64E50"/>
    <w:rsid w:val="00E667E0"/>
    <w:rsid w:val="00E71093"/>
    <w:rsid w:val="00E74BBB"/>
    <w:rsid w:val="00E938C3"/>
    <w:rsid w:val="00ED2EE4"/>
    <w:rsid w:val="00F273DE"/>
    <w:rsid w:val="00F4598B"/>
    <w:rsid w:val="00F62820"/>
    <w:rsid w:val="00F71570"/>
    <w:rsid w:val="00F76319"/>
    <w:rsid w:val="00F97ABE"/>
    <w:rsid w:val="00FA3E4E"/>
    <w:rsid w:val="00FB79A6"/>
    <w:rsid w:val="00FF4716"/>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486EFF4B"/>
  <w15:docId w15:val="{A0DC332A-9A18-4E38-8460-CE12A9CC1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266530"/>
    <w:pPr>
      <w:tabs>
        <w:tab w:val="center" w:pos="4536"/>
        <w:tab w:val="right" w:pos="9072"/>
      </w:tabs>
      <w:spacing w:line="240" w:lineRule="auto"/>
    </w:pPr>
  </w:style>
  <w:style w:type="character" w:customStyle="1" w:styleId="KoptekstChar">
    <w:name w:val="Koptekst Char"/>
    <w:basedOn w:val="DefaultParagraphFont"/>
    <w:link w:val="Header"/>
    <w:uiPriority w:val="99"/>
    <w:rsid w:val="00266530"/>
    <w:rPr>
      <w:rFonts w:ascii="Verdana" w:hAnsi="Verdana"/>
      <w:color w:val="000000"/>
      <w:sz w:val="18"/>
      <w:szCs w:val="18"/>
    </w:rPr>
  </w:style>
  <w:style w:type="paragraph" w:styleId="Footer">
    <w:name w:val="footer"/>
    <w:basedOn w:val="Normal"/>
    <w:link w:val="VoettekstChar"/>
    <w:uiPriority w:val="99"/>
    <w:unhideWhenUsed/>
    <w:rsid w:val="00266530"/>
    <w:pPr>
      <w:tabs>
        <w:tab w:val="center" w:pos="4536"/>
        <w:tab w:val="right" w:pos="9072"/>
      </w:tabs>
      <w:spacing w:line="240" w:lineRule="auto"/>
    </w:pPr>
  </w:style>
  <w:style w:type="character" w:customStyle="1" w:styleId="VoettekstChar">
    <w:name w:val="Voettekst Char"/>
    <w:basedOn w:val="DefaultParagraphFont"/>
    <w:link w:val="Footer"/>
    <w:uiPriority w:val="99"/>
    <w:rsid w:val="00266530"/>
    <w:rPr>
      <w:rFonts w:ascii="Verdana" w:hAnsi="Verdana"/>
      <w:color w:val="000000"/>
      <w:sz w:val="18"/>
      <w:szCs w:val="18"/>
    </w:rPr>
  </w:style>
  <w:style w:type="paragraph" w:styleId="FootnoteText">
    <w:name w:val="footnote text"/>
    <w:basedOn w:val="Normal"/>
    <w:link w:val="VoetnoottekstChar"/>
    <w:uiPriority w:val="99"/>
    <w:semiHidden/>
    <w:unhideWhenUsed/>
    <w:rsid w:val="00FB79A6"/>
    <w:pPr>
      <w:spacing w:line="240" w:lineRule="auto"/>
    </w:pPr>
    <w:rPr>
      <w:sz w:val="20"/>
      <w:szCs w:val="20"/>
    </w:rPr>
  </w:style>
  <w:style w:type="character" w:customStyle="1" w:styleId="VoetnoottekstChar">
    <w:name w:val="Voetnoottekst Char"/>
    <w:basedOn w:val="DefaultParagraphFont"/>
    <w:link w:val="FootnoteText"/>
    <w:uiPriority w:val="99"/>
    <w:semiHidden/>
    <w:rsid w:val="00FB79A6"/>
    <w:rPr>
      <w:rFonts w:ascii="Verdana" w:hAnsi="Verdana"/>
      <w:color w:val="000000"/>
    </w:rPr>
  </w:style>
  <w:style w:type="character" w:styleId="FootnoteReference">
    <w:name w:val="footnote reference"/>
    <w:basedOn w:val="DefaultParagraphFont"/>
    <w:uiPriority w:val="99"/>
    <w:semiHidden/>
    <w:unhideWhenUsed/>
    <w:rsid w:val="00FB79A6"/>
    <w:rPr>
      <w:vertAlign w:val="superscript"/>
    </w:rPr>
  </w:style>
  <w:style w:type="paragraph" w:styleId="Revision">
    <w:name w:val="Revision"/>
    <w:hidden/>
    <w:uiPriority w:val="99"/>
    <w:semiHidden/>
    <w:rsid w:val="006806D9"/>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6806D9"/>
    <w:rPr>
      <w:sz w:val="16"/>
      <w:szCs w:val="16"/>
    </w:rPr>
  </w:style>
  <w:style w:type="paragraph" w:styleId="CommentText">
    <w:name w:val="annotation text"/>
    <w:basedOn w:val="Normal"/>
    <w:link w:val="TekstopmerkingChar"/>
    <w:uiPriority w:val="99"/>
    <w:unhideWhenUsed/>
    <w:rsid w:val="006806D9"/>
    <w:pPr>
      <w:spacing w:line="240" w:lineRule="auto"/>
    </w:pPr>
    <w:rPr>
      <w:sz w:val="20"/>
      <w:szCs w:val="20"/>
    </w:rPr>
  </w:style>
  <w:style w:type="character" w:customStyle="1" w:styleId="TekstopmerkingChar">
    <w:name w:val="Tekst opmerking Char"/>
    <w:basedOn w:val="DefaultParagraphFont"/>
    <w:link w:val="CommentText"/>
    <w:uiPriority w:val="99"/>
    <w:rsid w:val="006806D9"/>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6806D9"/>
    <w:rPr>
      <w:b/>
      <w:bCs/>
    </w:rPr>
  </w:style>
  <w:style w:type="character" w:customStyle="1" w:styleId="OnderwerpvanopmerkingChar">
    <w:name w:val="Onderwerp van opmerking Char"/>
    <w:basedOn w:val="TekstopmerkingChar"/>
    <w:link w:val="CommentSubject"/>
    <w:uiPriority w:val="99"/>
    <w:semiHidden/>
    <w:rsid w:val="006806D9"/>
    <w:rPr>
      <w:rFonts w:ascii="Verdana" w:hAnsi="Verdana"/>
      <w:b/>
      <w:bCs/>
      <w:color w:val="000000"/>
    </w:rPr>
  </w:style>
  <w:style w:type="paragraph" w:styleId="ListParagraph">
    <w:name w:val="List Paragraph"/>
    <w:basedOn w:val="Normal"/>
    <w:uiPriority w:val="34"/>
    <w:semiHidden/>
    <w:rsid w:val="004356A3"/>
    <w:pPr>
      <w:spacing w:line="240" w:lineRule="exact"/>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557</ap:Words>
  <ap:Characters>3066</ap:Characters>
  <ap:DocSecurity>0</ap:DocSecurity>
  <ap:Lines>25</ap:Lines>
  <ap:Paragraphs>7</ap:Paragraphs>
  <ap:ScaleCrop>false</ap:ScaleCrop>
  <ap:HeadingPairs>
    <vt:vector baseType="variant" size="2">
      <vt:variant>
        <vt:lpstr>Titel</vt:lpstr>
      </vt:variant>
      <vt:variant>
        <vt:i4>1</vt:i4>
      </vt:variant>
    </vt:vector>
  </ap:HeadingPairs>
  <ap:TitlesOfParts>
    <vt:vector baseType="lpstr" size="1">
      <vt:lpstr>Brief - Aanpassing Aanwijzingen inzake externe contacten van rijksambtenaren</vt:lpstr>
    </vt:vector>
  </ap:TitlesOfParts>
  <ap:LinksUpToDate>false</ap:LinksUpToDate>
  <ap:CharactersWithSpaces>3616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2025-11-26T07:06:00.0000000Z</dcterms:created>
  <dcterms:modified xsi:type="dcterms:W3CDTF">2026-04-21T10:34:00.0000000Z</dcterms:modified>
  <dc:creator/>
  <lastModifiedBy/>
  <dc:description>------------------------</dc:description>
  <dc:subject/>
  <keywords/>
  <version/>
  <category/>
</coreProperties>
</file>