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73C45" w:rsidTr="00D9561B" w14:paraId="7F5D2CD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254E0" w14:paraId="410A8BD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254E0" w14:paraId="4CA47E18" w14:textId="77777777">
            <w:r>
              <w:t>Postbus 20018</w:t>
            </w:r>
          </w:p>
          <w:p w:rsidR="008E3932" w:rsidP="00D9561B" w:rsidRDefault="00F254E0" w14:paraId="5D862C4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73C45" w:rsidTr="00FF66F9" w14:paraId="7E02EBC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254E0" w14:paraId="348DB21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D229E" w14:paraId="3AF5AD37" w14:textId="7B056832">
            <w:pPr>
              <w:rPr>
                <w:lang w:eastAsia="en-US"/>
              </w:rPr>
            </w:pPr>
            <w:r>
              <w:rPr>
                <w:lang w:eastAsia="en-US"/>
              </w:rPr>
              <w:t>22 april 2026</w:t>
            </w:r>
          </w:p>
        </w:tc>
      </w:tr>
      <w:tr w:rsidR="00673C45" w:rsidTr="00FF66F9" w14:paraId="107FE1FE" w14:textId="77777777">
        <w:trPr>
          <w:trHeight w:val="368"/>
        </w:trPr>
        <w:tc>
          <w:tcPr>
            <w:tcW w:w="929" w:type="dxa"/>
          </w:tcPr>
          <w:p w:rsidR="0005404B" w:rsidP="00FF66F9" w:rsidRDefault="00F254E0" w14:paraId="511CE2A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254E0" w14:paraId="5C2EF528" w14:textId="014D1446">
            <w:pPr>
              <w:rPr>
                <w:lang w:eastAsia="en-US"/>
              </w:rPr>
            </w:pPr>
            <w:r>
              <w:rPr>
                <w:lang w:eastAsia="en-US"/>
              </w:rPr>
              <w:t>Uitstel geplande brieven</w:t>
            </w:r>
            <w:r w:rsidR="00651B3D">
              <w:rPr>
                <w:lang w:eastAsia="en-US"/>
              </w:rPr>
              <w:t xml:space="preserve"> onderzoek en wetenschap</w:t>
            </w:r>
          </w:p>
        </w:tc>
      </w:tr>
    </w:tbl>
    <w:p w:rsidR="00673C45" w:rsidRDefault="001C2C36" w14:paraId="150D7450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73C45" w:rsidTr="00A421A1" w14:paraId="00C47470" w14:textId="77777777">
        <w:tc>
          <w:tcPr>
            <w:tcW w:w="2160" w:type="dxa"/>
          </w:tcPr>
          <w:p w:rsidRPr="00F53C9D" w:rsidR="006205C0" w:rsidP="00686AED" w:rsidRDefault="00F254E0" w14:paraId="4033ECE4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F254E0" w14:paraId="2313B9C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254E0" w14:paraId="46CABDB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254E0" w14:paraId="6ADC04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254E0" w14:paraId="1599C44A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A32073" w:rsidR="006205C0" w:rsidP="00330FC6" w:rsidRDefault="00F254E0" w14:paraId="1717A292" w14:textId="5EC475EA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73C45" w:rsidTr="00A421A1" w14:paraId="05DD73E2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BB3A569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673C45" w:rsidTr="00A421A1" w14:paraId="6CDE5908" w14:textId="77777777">
        <w:trPr>
          <w:trHeight w:val="450"/>
        </w:trPr>
        <w:tc>
          <w:tcPr>
            <w:tcW w:w="2160" w:type="dxa"/>
          </w:tcPr>
          <w:p w:rsidR="00F51A76" w:rsidP="00A421A1" w:rsidRDefault="00F254E0" w14:paraId="1BB34FB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254E0" w14:paraId="490556C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62839255</w:t>
            </w:r>
          </w:p>
        </w:tc>
      </w:tr>
      <w:tr w:rsidR="00673C45" w:rsidTr="00A421A1" w14:paraId="33D6E28E" w14:textId="77777777">
        <w:trPr>
          <w:trHeight w:val="136"/>
        </w:trPr>
        <w:tc>
          <w:tcPr>
            <w:tcW w:w="2160" w:type="dxa"/>
          </w:tcPr>
          <w:p w:rsidRPr="00E06CD4" w:rsidR="00E91674" w:rsidP="00E210E0" w:rsidRDefault="00E91674" w14:paraId="1170EA3D" w14:textId="72DF455C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673C45" w:rsidTr="00A421A1" w14:paraId="41391BEA" w14:textId="77777777">
        <w:trPr>
          <w:trHeight w:val="227"/>
        </w:trPr>
        <w:tc>
          <w:tcPr>
            <w:tcW w:w="2160" w:type="dxa"/>
          </w:tcPr>
          <w:p w:rsidRPr="00D74F66" w:rsidR="006205C0" w:rsidP="00330FC6" w:rsidRDefault="006205C0" w14:paraId="7A8AFDD7" w14:textId="77777777">
            <w:pPr>
              <w:spacing w:line="180" w:lineRule="exact"/>
              <w:rPr>
                <w:sz w:val="13"/>
              </w:rPr>
            </w:pPr>
          </w:p>
        </w:tc>
      </w:tr>
      <w:tr w:rsidR="00673C45" w:rsidTr="00A421A1" w14:paraId="673D756F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6205C0" w14:paraId="1A6D1EA6" w14:textId="1E2E36F3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325F53" w:rsidP="00325F53" w:rsidRDefault="00325F53" w14:paraId="0B957A8A" w14:textId="67EA814D">
      <w:r>
        <w:t>Hierbij informeer ik u</w:t>
      </w:r>
      <w:r w:rsidR="002827D6">
        <w:t>w Kamer</w:t>
      </w:r>
      <w:r>
        <w:t xml:space="preserve"> over een aantal brieven die niet binnen de gestelde termijn aan uw Kamer kunnen worden verzonden.</w:t>
      </w:r>
    </w:p>
    <w:p w:rsidR="00325F53" w:rsidP="00325F53" w:rsidRDefault="00325F53" w14:paraId="6DBE1423" w14:textId="77777777"/>
    <w:p w:rsidR="00325F53" w:rsidP="00325F53" w:rsidRDefault="00D646D9" w14:paraId="2A96D337" w14:textId="31EC6B8C">
      <w:r>
        <w:t>Op</w:t>
      </w:r>
      <w:r w:rsidR="00325F53">
        <w:t xml:space="preserve"> 12 december 2025 </w:t>
      </w:r>
      <w:r w:rsidR="00C141BF">
        <w:t>heeft mijn ambtsvoorganger</w:t>
      </w:r>
      <w:r>
        <w:t xml:space="preserve"> u </w:t>
      </w:r>
      <w:r w:rsidR="00325F53">
        <w:t>de Planningsbrief 2026 OCW</w:t>
      </w:r>
      <w:r w:rsidR="00325F53">
        <w:rPr>
          <w:rStyle w:val="Voetnootmarkering"/>
        </w:rPr>
        <w:footnoteReference w:id="1"/>
      </w:r>
      <w:r w:rsidR="00325F53">
        <w:t xml:space="preserve"> gestuurd. In deze brief </w:t>
      </w:r>
      <w:r w:rsidR="00976A34">
        <w:t>stond opgenomen dat</w:t>
      </w:r>
      <w:r w:rsidR="00325F53">
        <w:t xml:space="preserve"> u in het eerste kwartaal van 2026 </w:t>
      </w:r>
      <w:r w:rsidR="008B6D8F">
        <w:t>de rapporten</w:t>
      </w:r>
      <w:r w:rsidRPr="00F2201D" w:rsidR="00325F53">
        <w:rPr>
          <w:i/>
          <w:iCs/>
        </w:rPr>
        <w:t xml:space="preserve"> instellingsevaluatie NWO 2020-2024</w:t>
      </w:r>
      <w:r w:rsidR="00325F53">
        <w:t xml:space="preserve"> en </w:t>
      </w:r>
      <w:r w:rsidRPr="00F2201D" w:rsidR="00325F53">
        <w:rPr>
          <w:i/>
          <w:iCs/>
        </w:rPr>
        <w:t>Evaluatie Nationaal Actieplan voor meer Diversiteit en Inclusie in het hoger onderwijs en onderzoek</w:t>
      </w:r>
      <w:r w:rsidR="008B6D8F">
        <w:rPr>
          <w:i/>
          <w:iCs/>
        </w:rPr>
        <w:t xml:space="preserve"> </w:t>
      </w:r>
      <w:r w:rsidR="008B6D8F">
        <w:t>met beleidsreactie</w:t>
      </w:r>
      <w:r w:rsidR="00325F53">
        <w:t xml:space="preserve"> zou </w:t>
      </w:r>
      <w:r w:rsidR="00976A34">
        <w:t>ontvangen</w:t>
      </w:r>
      <w:r>
        <w:t>.</w:t>
      </w:r>
      <w:r w:rsidR="00C06CD0">
        <w:t xml:space="preserve"> </w:t>
      </w:r>
      <w:r w:rsidR="00325F53">
        <w:t xml:space="preserve">Hierbij informeer ik u dat </w:t>
      </w:r>
      <w:r w:rsidR="002827D6">
        <w:t xml:space="preserve">beide </w:t>
      </w:r>
      <w:r w:rsidR="00325F53">
        <w:t xml:space="preserve">naar verwachting in het derde kwartaal van 2026 naar </w:t>
      </w:r>
      <w:r w:rsidR="002827D6">
        <w:t xml:space="preserve">uw </w:t>
      </w:r>
      <w:r w:rsidR="00325F53">
        <w:t xml:space="preserve">Kamer worden verzonden. Reden hiervoor is dat beide rapporten vanwege zorgvuldigheid in de procedure niet binnen de geplande termijn gerealiseerd zijn. </w:t>
      </w:r>
    </w:p>
    <w:p w:rsidR="00D646D9" w:rsidP="00325F53" w:rsidRDefault="00D646D9" w14:paraId="64BBF3D9" w14:textId="77777777"/>
    <w:p w:rsidRPr="00F2201D" w:rsidR="00325F53" w:rsidP="00325F53" w:rsidRDefault="00906C5C" w14:paraId="46A3DBCD" w14:textId="62B8F37F">
      <w:r w:rsidRPr="00906C5C">
        <w:t xml:space="preserve">Daarnaast </w:t>
      </w:r>
      <w:r w:rsidR="002827D6">
        <w:t>is</w:t>
      </w:r>
      <w:r w:rsidRPr="00906C5C">
        <w:t xml:space="preserve"> in de</w:t>
      </w:r>
      <w:r w:rsidR="002827D6">
        <w:t>zelfde</w:t>
      </w:r>
      <w:r w:rsidRPr="00906C5C">
        <w:t xml:space="preserve"> </w:t>
      </w:r>
      <w:r w:rsidR="002827D6">
        <w:t>p</w:t>
      </w:r>
      <w:r w:rsidRPr="00906C5C">
        <w:t>lanningsbrief gemeld dat ik u in het eerste kwartaal van 2026 de brief </w:t>
      </w:r>
      <w:r w:rsidRPr="000C34F0">
        <w:rPr>
          <w:i/>
          <w:iCs/>
        </w:rPr>
        <w:t>Voortgang aanpak kennisveiligheid</w:t>
      </w:r>
      <w:r w:rsidRPr="00906C5C">
        <w:t xml:space="preserve"> zou sturen. </w:t>
      </w:r>
      <w:r w:rsidR="003B7137">
        <w:t xml:space="preserve">Dit is vanwege het aantreden van het nieuwe kabinet niet gelukt. </w:t>
      </w:r>
      <w:r w:rsidRPr="00906C5C">
        <w:t>Deze brief volgt in het tweede kwartaal van 2026.</w:t>
      </w:r>
    </w:p>
    <w:p w:rsidR="00325F53" w:rsidP="00325F53" w:rsidRDefault="00325F53" w14:paraId="4844B0D6" w14:textId="77777777"/>
    <w:p w:rsidR="00325F53" w:rsidP="00325F53" w:rsidRDefault="00325F53" w14:paraId="0E40CDF3" w14:textId="0D249FA1">
      <w:r>
        <w:t xml:space="preserve">Daarnaast </w:t>
      </w:r>
      <w:r w:rsidR="00081EDE">
        <w:t>heeft mijn ambtsvoorganger</w:t>
      </w:r>
      <w:r>
        <w:t xml:space="preserve"> u op 10 december 2025 het rapport </w:t>
      </w:r>
      <w:r w:rsidRPr="00F2201D">
        <w:rPr>
          <w:i/>
          <w:iCs/>
        </w:rPr>
        <w:t>Reken er maar (niet meer) op: de digitale infrastructuren voor onderzoek 2027-2035</w:t>
      </w:r>
      <w:r>
        <w:t xml:space="preserve"> gestuurd. In </w:t>
      </w:r>
      <w:r w:rsidR="00C4213F">
        <w:t xml:space="preserve">de brief stond een inhoudelijke reactie op het rapport aangekondigd </w:t>
      </w:r>
      <w:r>
        <w:t>in het eerste kwartaal van 2026.</w:t>
      </w:r>
      <w:r w:rsidRPr="00F2201D" w:rsidR="00F2201D">
        <w:t xml:space="preserve"> </w:t>
      </w:r>
      <w:r w:rsidR="00C4213F">
        <w:t xml:space="preserve">Vanwege </w:t>
      </w:r>
      <w:r w:rsidR="003B7137">
        <w:t>het aantreden van het nieuwe kabinet</w:t>
      </w:r>
      <w:r w:rsidR="00C4213F">
        <w:t xml:space="preserve"> ontvangt u de reactie</w:t>
      </w:r>
      <w:r w:rsidR="003B7137">
        <w:t xml:space="preserve"> uiterlijk</w:t>
      </w:r>
      <w:r w:rsidR="00C4213F">
        <w:t xml:space="preserve"> </w:t>
      </w:r>
      <w:r w:rsidRPr="00CE5927" w:rsidR="00CE5927">
        <w:t xml:space="preserve">in het derde kwartaal van 2026. </w:t>
      </w:r>
    </w:p>
    <w:p w:rsidR="00325F53" w:rsidP="00325F53" w:rsidRDefault="00325F53" w14:paraId="4C3B18F9" w14:textId="77777777"/>
    <w:p w:rsidR="00F83ED3" w:rsidP="00325F53" w:rsidRDefault="002E1DB1" w14:paraId="3D796A96" w14:textId="37547988">
      <w:r>
        <w:t xml:space="preserve">Ik hoop </w:t>
      </w:r>
      <w:r w:rsidR="00325F53">
        <w:t>u hiermee voldoende te hebben ingelicht.</w:t>
      </w:r>
    </w:p>
    <w:p w:rsidR="00512BFC" w:rsidP="00CA35E4" w:rsidRDefault="00512BFC" w14:paraId="75FAE3D1" w14:textId="77777777"/>
    <w:p w:rsidR="009C4A36" w:rsidP="00CA35E4" w:rsidRDefault="00F254E0" w14:paraId="3502CC47" w14:textId="77777777">
      <w:r>
        <w:t>De minister van Onderwijs, Cultuur en Wetenschap,</w:t>
      </w:r>
    </w:p>
    <w:p w:rsidR="001C594D" w:rsidP="001C594D" w:rsidRDefault="001C594D" w14:paraId="4763834E" w14:textId="77777777"/>
    <w:p w:rsidR="001C594D" w:rsidP="001C594D" w:rsidRDefault="001C594D" w14:paraId="4FB11410" w14:textId="77777777"/>
    <w:p w:rsidR="001C594D" w:rsidP="001C594D" w:rsidRDefault="001C594D" w14:paraId="575B83A7" w14:textId="77777777"/>
    <w:p w:rsidR="001C594D" w:rsidP="001C594D" w:rsidRDefault="001C594D" w14:paraId="6CD66F56" w14:textId="77777777"/>
    <w:p w:rsidRPr="001C594D" w:rsidR="00EF702D" w:rsidP="001C594D" w:rsidRDefault="00F254E0" w14:paraId="797A35FE" w14:textId="77777777">
      <w:r w:rsidRPr="006C6CF8">
        <w:rPr>
          <w:lang w:eastAsia="en-US"/>
        </w:rPr>
        <w:t xml:space="preserve">Rianne </w:t>
      </w:r>
      <w:proofErr w:type="spellStart"/>
      <w:r w:rsidRPr="006C6CF8">
        <w:rPr>
          <w:lang w:eastAsia="en-US"/>
        </w:rPr>
        <w:t>Letschert</w:t>
      </w:r>
      <w:proofErr w:type="spellEnd"/>
    </w:p>
    <w:sectPr w:rsidRPr="001C594D" w:rsidR="00EF702D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1031" w14:textId="77777777" w:rsidR="00DC691C" w:rsidRDefault="00F254E0">
      <w:r>
        <w:separator/>
      </w:r>
    </w:p>
    <w:p w14:paraId="3063029D" w14:textId="77777777" w:rsidR="00DC691C" w:rsidRDefault="00DC691C"/>
  </w:endnote>
  <w:endnote w:type="continuationSeparator" w:id="0">
    <w:p w14:paraId="72B64B37" w14:textId="77777777" w:rsidR="00DC691C" w:rsidRDefault="00F254E0">
      <w:r>
        <w:continuationSeparator/>
      </w:r>
    </w:p>
    <w:p w14:paraId="56707670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C4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73C45" w14:paraId="6DF5D0CF" w14:textId="77777777" w:rsidTr="004C7E1D">
      <w:trPr>
        <w:trHeight w:hRule="exact" w:val="357"/>
      </w:trPr>
      <w:tc>
        <w:tcPr>
          <w:tcW w:w="7603" w:type="dxa"/>
        </w:tcPr>
        <w:p w14:paraId="6B48327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BC55FB7" w14:textId="083A58F4" w:rsidR="002F71BB" w:rsidRPr="004C7E1D" w:rsidRDefault="00F254E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B713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58938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73C45" w14:paraId="2863665A" w14:textId="77777777" w:rsidTr="004C7E1D">
      <w:trPr>
        <w:trHeight w:hRule="exact" w:val="357"/>
      </w:trPr>
      <w:tc>
        <w:tcPr>
          <w:tcW w:w="7709" w:type="dxa"/>
        </w:tcPr>
        <w:p w14:paraId="5257581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BDB5546" w14:textId="4CB19DAB" w:rsidR="00D17084" w:rsidRPr="004C7E1D" w:rsidRDefault="00F254E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D229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85A515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DAFC" w14:textId="77777777" w:rsidR="00DC691C" w:rsidRDefault="00F254E0">
      <w:r>
        <w:separator/>
      </w:r>
    </w:p>
    <w:p w14:paraId="428EC45F" w14:textId="77777777" w:rsidR="00DC691C" w:rsidRDefault="00DC691C"/>
  </w:footnote>
  <w:footnote w:type="continuationSeparator" w:id="0">
    <w:p w14:paraId="5E7FAAAD" w14:textId="77777777" w:rsidR="00DC691C" w:rsidRDefault="00F254E0">
      <w:r>
        <w:continuationSeparator/>
      </w:r>
    </w:p>
    <w:p w14:paraId="62C392E0" w14:textId="77777777" w:rsidR="00DC691C" w:rsidRDefault="00DC691C"/>
  </w:footnote>
  <w:footnote w:id="1">
    <w:p w14:paraId="01CEF195" w14:textId="16998524" w:rsidR="00325F53" w:rsidRDefault="00325F5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25F53">
        <w:t>Tweede Kamer, vergaderjaar 2025–2026, 36 800 VIII, nr. 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73C45" w14:paraId="170DAF4F" w14:textId="77777777" w:rsidTr="006D2D53">
      <w:trPr>
        <w:trHeight w:hRule="exact" w:val="400"/>
      </w:trPr>
      <w:tc>
        <w:tcPr>
          <w:tcW w:w="7518" w:type="dxa"/>
        </w:tcPr>
        <w:p w14:paraId="48A90410" w14:textId="77777777" w:rsidR="00527BD4" w:rsidRPr="00275984" w:rsidRDefault="00527BD4" w:rsidP="00BF4427">
          <w:pPr>
            <w:pStyle w:val="Huisstijl-Rubricering"/>
          </w:pPr>
        </w:p>
      </w:tc>
    </w:tr>
  </w:tbl>
  <w:p w14:paraId="030B26D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73C45" w14:paraId="25270A1B" w14:textId="77777777" w:rsidTr="003B528D">
      <w:tc>
        <w:tcPr>
          <w:tcW w:w="2160" w:type="dxa"/>
        </w:tcPr>
        <w:p w14:paraId="5DDDE856" w14:textId="77777777" w:rsidR="002F71BB" w:rsidRPr="000407BB" w:rsidRDefault="00F254E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73C45" w14:paraId="63C33A55" w14:textId="77777777" w:rsidTr="002F71BB">
      <w:trPr>
        <w:trHeight w:val="259"/>
      </w:trPr>
      <w:tc>
        <w:tcPr>
          <w:tcW w:w="2160" w:type="dxa"/>
        </w:tcPr>
        <w:p w14:paraId="65BB76A3" w14:textId="77777777" w:rsidR="00E35CF4" w:rsidRPr="005D283A" w:rsidRDefault="00F254E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62839255</w:t>
          </w:r>
        </w:p>
      </w:tc>
    </w:tr>
  </w:tbl>
  <w:p w14:paraId="53A1B70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73C45" w14:paraId="30CF87BC" w14:textId="77777777" w:rsidTr="001377D4">
      <w:trPr>
        <w:trHeight w:val="2636"/>
      </w:trPr>
      <w:tc>
        <w:tcPr>
          <w:tcW w:w="737" w:type="dxa"/>
        </w:tcPr>
        <w:p w14:paraId="11AD4E3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09E9D54" w14:textId="77777777" w:rsidR="00704845" w:rsidRDefault="00F254E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B17065F" wp14:editId="5D5C231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0667F9" w14:textId="77777777" w:rsidR="00483ECA" w:rsidRDefault="00483ECA" w:rsidP="00D037A9"/>
      </w:tc>
    </w:tr>
  </w:tbl>
  <w:p w14:paraId="24970DB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73C45" w14:paraId="3F8DD162" w14:textId="77777777" w:rsidTr="0008539E">
      <w:trPr>
        <w:trHeight w:hRule="exact" w:val="572"/>
      </w:trPr>
      <w:tc>
        <w:tcPr>
          <w:tcW w:w="7520" w:type="dxa"/>
        </w:tcPr>
        <w:p w14:paraId="51F50356" w14:textId="77777777" w:rsidR="00527BD4" w:rsidRPr="00963440" w:rsidRDefault="00F254E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73C45" w14:paraId="1487AE4D" w14:textId="77777777" w:rsidTr="00E776C6">
      <w:trPr>
        <w:cantSplit/>
        <w:trHeight w:hRule="exact" w:val="238"/>
      </w:trPr>
      <w:tc>
        <w:tcPr>
          <w:tcW w:w="7520" w:type="dxa"/>
        </w:tcPr>
        <w:p w14:paraId="3EA67FF5" w14:textId="77777777" w:rsidR="00093ABC" w:rsidRPr="00963440" w:rsidRDefault="00093ABC" w:rsidP="00963440"/>
      </w:tc>
    </w:tr>
    <w:tr w:rsidR="00673C45" w14:paraId="29F49D8F" w14:textId="77777777" w:rsidTr="00E776C6">
      <w:trPr>
        <w:cantSplit/>
        <w:trHeight w:hRule="exact" w:val="1520"/>
      </w:trPr>
      <w:tc>
        <w:tcPr>
          <w:tcW w:w="7520" w:type="dxa"/>
        </w:tcPr>
        <w:p w14:paraId="343680B6" w14:textId="77777777" w:rsidR="00A604D3" w:rsidRPr="00963440" w:rsidRDefault="00A604D3" w:rsidP="00963440"/>
      </w:tc>
    </w:tr>
    <w:tr w:rsidR="00673C45" w14:paraId="38FBC8BD" w14:textId="77777777" w:rsidTr="00E776C6">
      <w:trPr>
        <w:trHeight w:hRule="exact" w:val="1077"/>
      </w:trPr>
      <w:tc>
        <w:tcPr>
          <w:tcW w:w="7520" w:type="dxa"/>
        </w:tcPr>
        <w:p w14:paraId="284D4FD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E50BCE6" w14:textId="77777777" w:rsidR="006F273B" w:rsidRDefault="006F273B" w:rsidP="00BC4AE3">
    <w:pPr>
      <w:pStyle w:val="Koptekst"/>
    </w:pPr>
  </w:p>
  <w:p w14:paraId="6A6B8CE8" w14:textId="77777777" w:rsidR="00153BD0" w:rsidRDefault="00153BD0" w:rsidP="00BC4AE3">
    <w:pPr>
      <w:pStyle w:val="Koptekst"/>
    </w:pPr>
  </w:p>
  <w:p w14:paraId="3B0999D1" w14:textId="77777777" w:rsidR="0044605E" w:rsidRDefault="0044605E" w:rsidP="00BC4AE3">
    <w:pPr>
      <w:pStyle w:val="Koptekst"/>
    </w:pPr>
  </w:p>
  <w:p w14:paraId="7A5EB23A" w14:textId="77777777" w:rsidR="0044605E" w:rsidRDefault="0044605E" w:rsidP="00BC4AE3">
    <w:pPr>
      <w:pStyle w:val="Koptekst"/>
    </w:pPr>
  </w:p>
  <w:p w14:paraId="1DE849F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D5CE08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AE8A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DEF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E9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8E45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3CA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6A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01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DAA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F46A61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FAA0E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668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605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3E12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50A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A6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8B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FE7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739067">
    <w:abstractNumId w:val="10"/>
  </w:num>
  <w:num w:numId="2" w16cid:durableId="780995200">
    <w:abstractNumId w:val="7"/>
  </w:num>
  <w:num w:numId="3" w16cid:durableId="331687767">
    <w:abstractNumId w:val="6"/>
  </w:num>
  <w:num w:numId="4" w16cid:durableId="1750497770">
    <w:abstractNumId w:val="5"/>
  </w:num>
  <w:num w:numId="5" w16cid:durableId="1636569592">
    <w:abstractNumId w:val="4"/>
  </w:num>
  <w:num w:numId="6" w16cid:durableId="717389236">
    <w:abstractNumId w:val="8"/>
  </w:num>
  <w:num w:numId="7" w16cid:durableId="142044561">
    <w:abstractNumId w:val="3"/>
  </w:num>
  <w:num w:numId="8" w16cid:durableId="101728447">
    <w:abstractNumId w:val="2"/>
  </w:num>
  <w:num w:numId="9" w16cid:durableId="509300676">
    <w:abstractNumId w:val="1"/>
  </w:num>
  <w:num w:numId="10" w16cid:durableId="1674919455">
    <w:abstractNumId w:val="0"/>
  </w:num>
  <w:num w:numId="11" w16cid:durableId="318772377">
    <w:abstractNumId w:val="9"/>
  </w:num>
  <w:num w:numId="12" w16cid:durableId="1994024247">
    <w:abstractNumId w:val="11"/>
  </w:num>
  <w:num w:numId="13" w16cid:durableId="1769766873">
    <w:abstractNumId w:val="13"/>
  </w:num>
  <w:num w:numId="14" w16cid:durableId="6687810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1EDE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4F0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59E6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27D6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1DB1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F53"/>
    <w:rsid w:val="00330FC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137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45D74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1B3D"/>
    <w:rsid w:val="0065244E"/>
    <w:rsid w:val="006534D0"/>
    <w:rsid w:val="00653606"/>
    <w:rsid w:val="006610E9"/>
    <w:rsid w:val="00661591"/>
    <w:rsid w:val="00662A78"/>
    <w:rsid w:val="00663187"/>
    <w:rsid w:val="0066632F"/>
    <w:rsid w:val="00673C45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07DC4"/>
    <w:rsid w:val="007138FF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824"/>
    <w:rsid w:val="00742AB9"/>
    <w:rsid w:val="00751A6A"/>
    <w:rsid w:val="00754AD6"/>
    <w:rsid w:val="00754FBF"/>
    <w:rsid w:val="00755572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229E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6D8F"/>
    <w:rsid w:val="008B7B24"/>
    <w:rsid w:val="008C356D"/>
    <w:rsid w:val="008D1583"/>
    <w:rsid w:val="008E0B3F"/>
    <w:rsid w:val="008E1341"/>
    <w:rsid w:val="008E3932"/>
    <w:rsid w:val="008E49AD"/>
    <w:rsid w:val="008E698E"/>
    <w:rsid w:val="008F0A74"/>
    <w:rsid w:val="008F123F"/>
    <w:rsid w:val="008F2584"/>
    <w:rsid w:val="008F3246"/>
    <w:rsid w:val="008F3C1B"/>
    <w:rsid w:val="008F508C"/>
    <w:rsid w:val="0090271B"/>
    <w:rsid w:val="00906C5C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76A34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06CD0"/>
    <w:rsid w:val="00C1124C"/>
    <w:rsid w:val="00C141BF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213F"/>
    <w:rsid w:val="00C44487"/>
    <w:rsid w:val="00C45CC0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5927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46D9"/>
    <w:rsid w:val="00D65336"/>
    <w:rsid w:val="00D66074"/>
    <w:rsid w:val="00D74F66"/>
    <w:rsid w:val="00D75B3F"/>
    <w:rsid w:val="00D75FF2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201D"/>
    <w:rsid w:val="00F2315B"/>
    <w:rsid w:val="00F254E0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D772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30215"/>
  <w15:docId w15:val="{4C71138E-50AA-4C93-AE10-F2455B86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325F53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6CD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76A34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976A3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76A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76A3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76A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76A34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274</ap:Words>
  <ap:Characters>1508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2026-04-22T13:03:00.0000000Z</dcterms:created>
  <dcterms:modified xsi:type="dcterms:W3CDTF">2026-04-22T13:03:00.0000000Z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O211VIS</vt:lpwstr>
  </property>
  <property fmtid="{D5CDD505-2E9C-101B-9397-08002B2CF9AE}" pid="3" name="Author">
    <vt:lpwstr>O211VIS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geplande brieven</vt:lpwstr>
  </property>
  <property fmtid="{D5CDD505-2E9C-101B-9397-08002B2CF9AE}" pid="9" name="ocw_directie">
    <vt:lpwstr>OWB/A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O211VIS</vt:lpwstr>
  </property>
</Properties>
</file>