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7B32" w:rsidR="004D04B6" w:rsidP="008F7B32" w:rsidRDefault="000A74C3" w14:paraId="668E09B8" w14:textId="49ACC63C">
      <w:pPr>
        <w:spacing w:line="276" w:lineRule="auto"/>
        <w:jc w:val="both"/>
      </w:pPr>
      <w:r w:rsidRPr="008F7B32">
        <w:t>De dreiging die uitgaat van terrorisme is breed en diffuus</w:t>
      </w:r>
      <w:r w:rsidRPr="008F7B32" w:rsidR="00EE6CAC">
        <w:t>.</w:t>
      </w:r>
      <w:r w:rsidR="00227701">
        <w:t xml:space="preserve"> De Nationaal Coördinator Terrorisme en Veiligheid (NCTV)</w:t>
      </w:r>
      <w:r w:rsidR="00676E58">
        <w:t xml:space="preserve"> schrijft in het meest recente Dreigingsbeeld Terrorisme Nederland (DTN) dat er een terroristische en geweldsbereide extremistische dreiging uitgaat van de jihadistische, rechts-</w:t>
      </w:r>
      <w:r w:rsidR="00B02E42">
        <w:t>terroristische</w:t>
      </w:r>
      <w:r w:rsidR="00676E58">
        <w:t xml:space="preserve"> en anti-institutionee</w:t>
      </w:r>
      <w:r w:rsidR="00B02E42">
        <w:t xml:space="preserve">l </w:t>
      </w:r>
      <w:r w:rsidR="00676E58">
        <w:t>extremistische bewegingen in Nederland.</w:t>
      </w:r>
      <w:r w:rsidR="00676E58">
        <w:rPr>
          <w:rStyle w:val="Voetnootmarkering"/>
        </w:rPr>
        <w:footnoteReference w:id="1"/>
      </w:r>
      <w:r w:rsidR="00676E58">
        <w:t xml:space="preserve"> Ook de individualisering van terrorisme maakt de dreiging van aanslagen onvoorspelbaar. Het dreigingsniveau blijft niveau 4: er is in Nederland een substantiële terroristische dreiging en een reële kans dat een aanslag in Nederland plaatsvindt.  </w:t>
      </w:r>
      <w:r w:rsidRPr="008F7B32" w:rsidR="00405C6F">
        <w:t xml:space="preserve"> Deze dreiging wordt onder andere beïnvloed door geopolitieke ontwikkelingen, zoals </w:t>
      </w:r>
      <w:r w:rsidR="001E6C1A">
        <w:t>de verschillende ontwikkelingen</w:t>
      </w:r>
      <w:r w:rsidR="00F70642">
        <w:t xml:space="preserve"> </w:t>
      </w:r>
      <w:r w:rsidR="001E6C1A">
        <w:t>in het Midden-Oosten</w:t>
      </w:r>
      <w:r w:rsidRPr="008F7B32" w:rsidR="00405C6F">
        <w:t>.</w:t>
      </w:r>
      <w:r w:rsidRPr="008F7B32" w:rsidR="00B754AD">
        <w:t xml:space="preserve"> </w:t>
      </w:r>
      <w:r w:rsidR="006A0D67">
        <w:t>Daarnaast</w:t>
      </w:r>
      <w:r w:rsidRPr="00964E9F" w:rsidR="009A644E">
        <w:t xml:space="preserve"> is uw Kamer eerder geïnformeerd over</w:t>
      </w:r>
      <w:r w:rsidRPr="008F7B32" w:rsidR="009A644E">
        <w:t xml:space="preserve"> veiligheidsrisico’s die ontstaan als gevolg van het onrechtmatig verblijf van terrorismeveroordeelden met een hoog dreigingsprofiel die vrijkomen uit detentie.</w:t>
      </w:r>
      <w:r w:rsidRPr="008F7B32" w:rsidR="008F7B32">
        <w:rPr>
          <w:rStyle w:val="Voetnootmarkering"/>
        </w:rPr>
        <w:footnoteReference w:id="2"/>
      </w:r>
      <w:r w:rsidRPr="008F7B32" w:rsidR="009A644E">
        <w:t xml:space="preserve"> </w:t>
      </w:r>
      <w:r w:rsidRPr="00FB69A7" w:rsidR="00507601">
        <w:t>Zoals ook volgt uit het coalitieakkoord vraagt dit om inlichtingen- en veiligheidsdiensten en een Nationaal Coördinator Terrorisme en Veiligheid (NCTV) die snel</w:t>
      </w:r>
      <w:r w:rsidR="00DA36B1">
        <w:t xml:space="preserve"> en </w:t>
      </w:r>
      <w:r w:rsidRPr="00FB69A7" w:rsidR="00507601">
        <w:t>doortastend kunnen handelen</w:t>
      </w:r>
      <w:r w:rsidR="006807DF">
        <w:t xml:space="preserve"> en het kabinet investeert hierin</w:t>
      </w:r>
      <w:r w:rsidRPr="00FB69A7" w:rsidR="00507601">
        <w:t>.</w:t>
      </w:r>
      <w:r w:rsidRPr="008F7B32" w:rsidR="00507601">
        <w:t xml:space="preserve"> Het is noodzakelijk dat zij een goed beeld hebben van </w:t>
      </w:r>
      <w:r w:rsidRPr="008B5260" w:rsidR="00507601">
        <w:t>de personen</w:t>
      </w:r>
      <w:r w:rsidRPr="008F7B32" w:rsidR="00507601">
        <w:t xml:space="preserve"> die de Nederlandse belangen bedreigen en de risico’s voor de nationale veiligheid zoveel mogelijk wegnemen. </w:t>
      </w:r>
      <w:r w:rsidRPr="008F7B32" w:rsidR="00AA1C3F">
        <w:t xml:space="preserve"> </w:t>
      </w:r>
    </w:p>
    <w:p w:rsidRPr="008F7B32" w:rsidR="00734B7E" w:rsidP="008F7B32" w:rsidRDefault="00734B7E" w14:paraId="591BAC97" w14:textId="725ADF12">
      <w:pPr>
        <w:spacing w:line="276" w:lineRule="auto"/>
        <w:jc w:val="both"/>
      </w:pPr>
    </w:p>
    <w:p w:rsidR="0087662F" w:rsidP="008F7B32" w:rsidRDefault="006807DF" w14:paraId="3FF62253" w14:textId="0B2FE6B1">
      <w:pPr>
        <w:spacing w:line="276" w:lineRule="auto"/>
        <w:jc w:val="both"/>
      </w:pPr>
      <w:r w:rsidRPr="008F7B32">
        <w:t>In de voorgaande jaren is uw Kamer, conform de motie van de leden Michon-</w:t>
      </w:r>
      <w:proofErr w:type="spellStart"/>
      <w:r w:rsidRPr="008F7B32">
        <w:t>Derkzen</w:t>
      </w:r>
      <w:proofErr w:type="spellEnd"/>
      <w:r w:rsidRPr="008F7B32">
        <w:t xml:space="preserve"> (VVD) en Bikker (CU), periodiek geïnformeerd over de ontwikkelingen omtrent uitreizigers door middel van de </w:t>
      </w:r>
      <w:r w:rsidRPr="008F7B32">
        <w:rPr>
          <w:i/>
          <w:iCs/>
        </w:rPr>
        <w:t>Halfjaarlijkse rapportage uitreizigers</w:t>
      </w:r>
      <w:r w:rsidRPr="008F7B32">
        <w:t>.</w:t>
      </w:r>
      <w:r w:rsidR="005C1BC5">
        <w:rPr>
          <w:rStyle w:val="Voetnootmarkering"/>
        </w:rPr>
        <w:footnoteReference w:id="3"/>
      </w:r>
      <w:r w:rsidRPr="008F7B32">
        <w:t xml:space="preserve"> Voornoemde ontwikkelingen, in combinatie met het veranderde speelveld, maken het wenselijk om breder te rapporteren dan enkel over uitreizigers.</w:t>
      </w:r>
      <w:r>
        <w:t xml:space="preserve"> </w:t>
      </w:r>
      <w:r w:rsidR="00521D50">
        <w:t xml:space="preserve">In deze brief </w:t>
      </w:r>
      <w:r w:rsidR="00E72EA6">
        <w:t xml:space="preserve">wordt </w:t>
      </w:r>
      <w:r w:rsidRPr="002411F4" w:rsidR="005826FD">
        <w:t>achtereenvolgens in</w:t>
      </w:r>
      <w:r w:rsidR="00E72EA6">
        <w:t>gegaan</w:t>
      </w:r>
      <w:r w:rsidRPr="002411F4" w:rsidR="005826FD">
        <w:t xml:space="preserve"> op de </w:t>
      </w:r>
      <w:r w:rsidRPr="002411F4" w:rsidR="00E41619">
        <w:t xml:space="preserve">ontwikkelingen </w:t>
      </w:r>
      <w:r w:rsidRPr="002411F4" w:rsidR="00521D50">
        <w:t>rond uitreizigers</w:t>
      </w:r>
      <w:r w:rsidR="006A0D67">
        <w:t xml:space="preserve"> met een Nederlandse link</w:t>
      </w:r>
      <w:r w:rsidRPr="002411F4" w:rsidR="00521D50">
        <w:t xml:space="preserve"> </w:t>
      </w:r>
      <w:r w:rsidRPr="002411F4" w:rsidR="00E41619">
        <w:t>in Syrië en Irak,</w:t>
      </w:r>
      <w:r w:rsidRPr="002411F4" w:rsidR="005826FD">
        <w:t xml:space="preserve"> internationale samenwerkingen</w:t>
      </w:r>
      <w:r w:rsidRPr="002411F4" w:rsidR="00EC36EA">
        <w:t xml:space="preserve"> en</w:t>
      </w:r>
      <w:r w:rsidRPr="002411F4" w:rsidR="001E2CCA">
        <w:t xml:space="preserve"> </w:t>
      </w:r>
      <w:r w:rsidRPr="002411F4" w:rsidR="0087662F">
        <w:t xml:space="preserve">de </w:t>
      </w:r>
      <w:r w:rsidRPr="002411F4" w:rsidR="005826FD">
        <w:t>c</w:t>
      </w:r>
      <w:r w:rsidRPr="002411F4" w:rsidR="00D73ECC">
        <w:t>oördinatie</w:t>
      </w:r>
      <w:r w:rsidRPr="002411F4" w:rsidR="00010F6E">
        <w:t xml:space="preserve"> ten aanzien van</w:t>
      </w:r>
      <w:r w:rsidRPr="002411F4" w:rsidR="00D73ECC">
        <w:t xml:space="preserve"> terrorismeveroordeelden</w:t>
      </w:r>
      <w:r w:rsidRPr="002411F4" w:rsidR="00EC36EA">
        <w:t xml:space="preserve"> met een hoog dreigingsprofiel</w:t>
      </w:r>
      <w:r w:rsidRPr="002411F4" w:rsidR="00D73ECC">
        <w:t xml:space="preserve"> die vrijkomen uit detentie zonder rechtmatig verblijf.</w:t>
      </w:r>
      <w:r w:rsidRPr="008F7B32" w:rsidR="00D73ECC">
        <w:t xml:space="preserve"> </w:t>
      </w:r>
    </w:p>
    <w:p w:rsidRPr="008F7B32" w:rsidR="0084250A" w:rsidP="008F7B32" w:rsidRDefault="0084250A" w14:paraId="58463820" w14:textId="77777777">
      <w:pPr>
        <w:spacing w:line="276" w:lineRule="auto"/>
        <w:jc w:val="both"/>
      </w:pPr>
    </w:p>
    <w:p w:rsidRPr="008F7B32" w:rsidR="00370361" w:rsidP="008F7B32" w:rsidRDefault="00AA1C3F" w14:paraId="28108163" w14:textId="7141460E">
      <w:pPr>
        <w:spacing w:line="276" w:lineRule="auto"/>
        <w:jc w:val="both"/>
        <w:rPr>
          <w:b/>
          <w:bCs/>
        </w:rPr>
      </w:pPr>
      <w:r w:rsidRPr="008F7B32">
        <w:rPr>
          <w:b/>
          <w:bCs/>
        </w:rPr>
        <w:t>Uitreizigers in</w:t>
      </w:r>
      <w:r w:rsidRPr="008F7B32" w:rsidR="00370361">
        <w:rPr>
          <w:b/>
          <w:bCs/>
        </w:rPr>
        <w:t xml:space="preserve"> Syrië en Irak</w:t>
      </w:r>
    </w:p>
    <w:p w:rsidRPr="008F7B32" w:rsidR="00180064" w:rsidP="008F7B32" w:rsidRDefault="00167599" w14:paraId="5AF89081" w14:textId="66E07B5E">
      <w:pPr>
        <w:spacing w:line="276" w:lineRule="auto"/>
        <w:jc w:val="both"/>
      </w:pPr>
      <w:r w:rsidRPr="008F7B32">
        <w:t>Sinds begin januari</w:t>
      </w:r>
      <w:r w:rsidRPr="008F7B32" w:rsidR="00370361">
        <w:t xml:space="preserve"> </w:t>
      </w:r>
      <w:r w:rsidRPr="008F7B32" w:rsidR="00003AA4">
        <w:t xml:space="preserve">2026 </w:t>
      </w:r>
      <w:r w:rsidRPr="008F7B32" w:rsidR="00370361">
        <w:t>hebben zich verschillende ontwikkelingen in Syrië en Irak voorgedaan</w:t>
      </w:r>
      <w:r w:rsidRPr="008F7B32" w:rsidR="001579D6">
        <w:t xml:space="preserve">. Over de ontwikkelingen omtrent uitreizigers met een Nederlandse link is uw </w:t>
      </w:r>
      <w:r w:rsidRPr="008B5260" w:rsidR="001579D6">
        <w:t>Kamer</w:t>
      </w:r>
      <w:r w:rsidRPr="008B5260" w:rsidR="00370361">
        <w:t xml:space="preserve">, conform </w:t>
      </w:r>
      <w:r w:rsidRPr="008B5260" w:rsidR="00AF32A0">
        <w:t xml:space="preserve">de </w:t>
      </w:r>
      <w:r w:rsidRPr="008B5260" w:rsidR="00370361">
        <w:t>motie Michon-</w:t>
      </w:r>
      <w:proofErr w:type="spellStart"/>
      <w:r w:rsidRPr="008B5260" w:rsidR="00370361">
        <w:t>Derkzen</w:t>
      </w:r>
      <w:proofErr w:type="spellEnd"/>
      <w:r w:rsidRPr="008B5260" w:rsidR="00370361">
        <w:t xml:space="preserve"> en van Dijk, op</w:t>
      </w:r>
      <w:r w:rsidRPr="008F7B32" w:rsidR="00370361">
        <w:t xml:space="preserve"> 19 februari jl. geïnformeerd.</w:t>
      </w:r>
      <w:r w:rsidRPr="008F7B32" w:rsidR="00370361">
        <w:rPr>
          <w:rStyle w:val="Voetnootmarkering"/>
        </w:rPr>
        <w:footnoteReference w:id="4"/>
      </w:r>
      <w:r w:rsidRPr="008F7B32" w:rsidR="00370361">
        <w:t xml:space="preserve"> </w:t>
      </w:r>
      <w:r w:rsidRPr="008F7B32" w:rsidR="003872DD">
        <w:t>Destijds heeft het kabinet</w:t>
      </w:r>
      <w:r w:rsidRPr="008F7B32" w:rsidR="00180064">
        <w:t xml:space="preserve"> bevestigd dat mannelijke uitreizigers met een Nederlandse link </w:t>
      </w:r>
      <w:r w:rsidRPr="008F7B32" w:rsidR="00AF32A0">
        <w:t>zijn overgebracht</w:t>
      </w:r>
      <w:r w:rsidRPr="008F7B32" w:rsidR="003872DD">
        <w:t xml:space="preserve"> naar Iraakse detentiecentra</w:t>
      </w:r>
      <w:r w:rsidRPr="008F7B32" w:rsidR="00180064">
        <w:t xml:space="preserve">. </w:t>
      </w:r>
      <w:r w:rsidRPr="008F7B32">
        <w:t>O</w:t>
      </w:r>
      <w:r w:rsidRPr="008F7B32" w:rsidR="00180064">
        <w:t>ver</w:t>
      </w:r>
      <w:r w:rsidRPr="008F7B32">
        <w:t xml:space="preserve"> de</w:t>
      </w:r>
      <w:r w:rsidRPr="008F7B32" w:rsidR="00180064">
        <w:t xml:space="preserve"> aantallen en achtergronden</w:t>
      </w:r>
      <w:r w:rsidRPr="008F7B32">
        <w:t xml:space="preserve"> van deze personen kan geen informatie</w:t>
      </w:r>
      <w:r w:rsidRPr="008F7B32" w:rsidR="001579D6">
        <w:t xml:space="preserve"> worden</w:t>
      </w:r>
      <w:r w:rsidRPr="008F7B32">
        <w:t xml:space="preserve"> gegeven</w:t>
      </w:r>
      <w:r w:rsidRPr="008F7B32" w:rsidR="00AA1C3F">
        <w:t>,</w:t>
      </w:r>
      <w:r w:rsidRPr="008F7B32">
        <w:t xml:space="preserve"> </w:t>
      </w:r>
      <w:r w:rsidRPr="008F7B32" w:rsidR="00AA1C3F">
        <w:t>mede omdat</w:t>
      </w:r>
      <w:r w:rsidRPr="008F7B32">
        <w:t xml:space="preserve"> dit individuele casuïstiek betreft</w:t>
      </w:r>
      <w:r w:rsidRPr="008F7B32" w:rsidR="00180064">
        <w:t xml:space="preserve">. </w:t>
      </w:r>
      <w:bookmarkStart w:name="_Hlk225417360" w:id="0"/>
      <w:r w:rsidRPr="008F7B32" w:rsidR="00552A05">
        <w:t xml:space="preserve">Volgens recente berichten in de media zijn </w:t>
      </w:r>
      <w:r w:rsidRPr="008F7B32" w:rsidR="00511F1D">
        <w:t xml:space="preserve">vrouwelijke </w:t>
      </w:r>
      <w:r w:rsidRPr="008F7B32" w:rsidR="00552A05">
        <w:t xml:space="preserve">uitreizigers die zich tot voor kort in al Hol bevonden grotendeels verplaatst, dan wel ontsnapt, naar andere regio’s in Syrië of Irak. </w:t>
      </w:r>
      <w:r w:rsidRPr="008F7B32" w:rsidR="00D027C4">
        <w:t>Het is op dit moment onduidelijk</w:t>
      </w:r>
      <w:r w:rsidRPr="008F7B32" w:rsidR="00552A05">
        <w:t xml:space="preserve"> waar de vrouwen </w:t>
      </w:r>
      <w:r w:rsidRPr="008F7B32" w:rsidR="00D027C4">
        <w:t xml:space="preserve">en kinderen </w:t>
      </w:r>
      <w:r w:rsidRPr="008F7B32" w:rsidR="00552A05">
        <w:t>met een Nederlandse link zich bevinden.</w:t>
      </w:r>
      <w:bookmarkEnd w:id="0"/>
    </w:p>
    <w:p w:rsidRPr="008F7B32" w:rsidR="004662CA" w:rsidP="008F7B32" w:rsidRDefault="004662CA" w14:paraId="3D8FD950" w14:textId="77777777">
      <w:pPr>
        <w:spacing w:line="276" w:lineRule="auto"/>
        <w:jc w:val="both"/>
      </w:pPr>
    </w:p>
    <w:p w:rsidRPr="008F7B32" w:rsidR="003A4E47" w:rsidP="003A4E47" w:rsidRDefault="00BF3904" w14:paraId="3148D018" w14:textId="3EA4F21D">
      <w:pPr>
        <w:spacing w:line="276" w:lineRule="auto"/>
        <w:jc w:val="both"/>
      </w:pPr>
      <w:bookmarkStart w:name="_Hlk225422381" w:id="1"/>
      <w:bookmarkStart w:name="_Hlk224818487" w:id="2"/>
      <w:r w:rsidRPr="008F7B32">
        <w:t xml:space="preserve">Het kabinetsstandpunt blijft ongewijzigd: berechting van uitreizigers en de tenuitvoerlegging van eventuele gevangenisstraffen moet in de regio plaatsvinden. Nederland staat, samen met andere internationale partners, in contact met de Iraakse autoriteiten om daartoe binnen de (internationale) wettelijke vereisten afspraken te maken. </w:t>
      </w:r>
      <w:r w:rsidRPr="008F7B32" w:rsidR="003872DD">
        <w:t>Ten aanzien van verzoeken tot repatriëring van uitreizigers</w:t>
      </w:r>
      <w:r w:rsidRPr="008F7B32" w:rsidR="004662CA">
        <w:t xml:space="preserve"> </w:t>
      </w:r>
      <w:r w:rsidRPr="008F7B32" w:rsidR="00010F6E">
        <w:t xml:space="preserve">weegt </w:t>
      </w:r>
      <w:r w:rsidRPr="008F7B32" w:rsidR="004662CA">
        <w:t xml:space="preserve">het kabinet in iedere casus </w:t>
      </w:r>
      <w:r w:rsidRPr="008F7B32" w:rsidR="00010F6E">
        <w:t>alle</w:t>
      </w:r>
      <w:r w:rsidRPr="008F7B32" w:rsidR="004662CA">
        <w:t xml:space="preserve"> verschillende omstandigheden en factoren. Daarbij worden onder meer de risico’s voor de nationale veiligheid, internationale betrekkingen, de veiligheidssituatie in het gebied en de veiligheid van de personen bij de eventuele repatriëring</w:t>
      </w:r>
      <w:r w:rsidRPr="008F7B32" w:rsidR="00003AA4">
        <w:t>,</w:t>
      </w:r>
      <w:r w:rsidRPr="008F7B32" w:rsidR="004662CA">
        <w:t xml:space="preserve"> betrokken</w:t>
      </w:r>
      <w:r w:rsidRPr="008F7B32" w:rsidR="00D9045B">
        <w:t xml:space="preserve">. In algemene zin geldt dat mannelijke uitreizigers – ten opzichte van vrouwelijke uitreizigers – een hogere potentiële geweldsdreiging vormen vanwege hun grotere rol in de strijd en gevechtstraining en -ervaring. Tot op heden heeft deze afweging ertoe geleid dat alleen vrouwelijke uitreizigers, in het kader van hun </w:t>
      </w:r>
      <w:r w:rsidR="001E6C1A">
        <w:t>straf</w:t>
      </w:r>
      <w:r w:rsidRPr="008F7B32" w:rsidR="00D9045B">
        <w:t xml:space="preserve">zaak, en kinderen zijn gerepatrieerd. </w:t>
      </w:r>
      <w:r w:rsidRPr="003A4E47" w:rsidR="00D9045B">
        <w:t xml:space="preserve">Wanneer personen zich melden bij een Nederlandse diplomatieke vertegenwoordiging in de regio kan </w:t>
      </w:r>
      <w:r w:rsidR="000C1DA3">
        <w:t xml:space="preserve">reguliere </w:t>
      </w:r>
      <w:r w:rsidRPr="003A4E47" w:rsidR="00D9045B">
        <w:t xml:space="preserve">terugkeer naar Nederland plaatsvinden onder begeleiding van de Koninklijke Marechaussee. Na aankomst in Nederland wordt de verdachte aangehouden voor verhoor en </w:t>
      </w:r>
      <w:r w:rsidR="00D9045B">
        <w:t xml:space="preserve">besluit </w:t>
      </w:r>
      <w:r w:rsidRPr="003A4E47" w:rsidR="00D9045B">
        <w:t>het Openbaar Ministerie</w:t>
      </w:r>
      <w:r w:rsidR="00D9045B">
        <w:t xml:space="preserve"> over de vervolging.</w:t>
      </w:r>
      <w:bookmarkEnd w:id="1"/>
    </w:p>
    <w:bookmarkEnd w:id="2"/>
    <w:p w:rsidRPr="008F7B32" w:rsidR="004662CA" w:rsidP="008F7B32" w:rsidRDefault="004662CA" w14:paraId="4D054DB9" w14:textId="77777777">
      <w:pPr>
        <w:spacing w:line="276" w:lineRule="auto"/>
        <w:jc w:val="both"/>
      </w:pPr>
    </w:p>
    <w:p w:rsidRPr="008F7B32" w:rsidR="004B6139" w:rsidP="008F7B32" w:rsidRDefault="000C1DA3" w14:paraId="5AFA8B50" w14:textId="22D26079">
      <w:pPr>
        <w:spacing w:line="276" w:lineRule="auto"/>
        <w:jc w:val="both"/>
      </w:pPr>
      <w:r>
        <w:t>Om onopgemerkte terugkeer te voorkomen</w:t>
      </w:r>
      <w:r w:rsidRPr="008F7B32" w:rsidR="00003AA4">
        <w:t xml:space="preserve">, </w:t>
      </w:r>
      <w:r w:rsidRPr="008F7B32" w:rsidR="004B6139">
        <w:t xml:space="preserve">zijn verschillende maatregelen getroffen. </w:t>
      </w:r>
      <w:r w:rsidRPr="008F7B32" w:rsidR="0041264C">
        <w:t>Het</w:t>
      </w:r>
      <w:r w:rsidRPr="008F7B32" w:rsidR="00167599">
        <w:t xml:space="preserve"> </w:t>
      </w:r>
      <w:r w:rsidRPr="008F7B32" w:rsidR="002206F8">
        <w:t>O</w:t>
      </w:r>
      <w:r w:rsidRPr="008F7B32" w:rsidR="004B6139">
        <w:t xml:space="preserve">penbaar </w:t>
      </w:r>
      <w:r w:rsidRPr="008F7B32" w:rsidR="002206F8">
        <w:t>M</w:t>
      </w:r>
      <w:r w:rsidRPr="008F7B32" w:rsidR="004B6139">
        <w:t>inisterie</w:t>
      </w:r>
      <w:r w:rsidRPr="008F7B32" w:rsidR="0041264C">
        <w:t xml:space="preserve"> </w:t>
      </w:r>
      <w:r w:rsidRPr="008F7B32" w:rsidR="0061041A">
        <w:t>is</w:t>
      </w:r>
      <w:r w:rsidRPr="008F7B32" w:rsidR="004B6139">
        <w:t xml:space="preserve"> </w:t>
      </w:r>
      <w:r w:rsidRPr="008F7B32" w:rsidR="008F38A9">
        <w:t xml:space="preserve">– waar </w:t>
      </w:r>
      <w:r w:rsidR="00F1441C">
        <w:t>mogelijk</w:t>
      </w:r>
      <w:r w:rsidRPr="008F7B32" w:rsidR="008F38A9">
        <w:t xml:space="preserve"> – </w:t>
      </w:r>
      <w:r w:rsidRPr="008F7B32" w:rsidR="004B6139">
        <w:t xml:space="preserve">tegen alle onderkende uitreizigers met een Nederlandse link een strafrechtelijk onderzoek </w:t>
      </w:r>
      <w:r w:rsidRPr="008F7B32" w:rsidR="0061041A">
        <w:t>gestart</w:t>
      </w:r>
      <w:r w:rsidRPr="008F7B32" w:rsidR="004B6139">
        <w:t>. Daarnaast is ten aanzien van alle onderkende uitreizigers op verschillende momenten bekeken of het Nederlanderschap kon worden ingetrokken op grond van artikel 14</w:t>
      </w:r>
      <w:r w:rsidRPr="008F7B32" w:rsidR="001579D6">
        <w:t>,</w:t>
      </w:r>
      <w:r w:rsidRPr="008F7B32" w:rsidR="004B6139">
        <w:t xml:space="preserve"> lid 4 </w:t>
      </w:r>
      <w:r w:rsidRPr="008F7B32" w:rsidR="00B43808">
        <w:t xml:space="preserve">van de </w:t>
      </w:r>
      <w:r w:rsidRPr="008F7B32" w:rsidR="004B6139">
        <w:t xml:space="preserve">Rijkswet op het Nederlanderschap (RWN). Daar waar mogelijk is het Nederlanderschap ingetrokken en zijn deze personen ongewenst verklaard. Ook zijn de reisdocumenten van uitreizigers – waar mogelijk – ongeldig verklaard en staan deze personen gesignaleerd. Alle betrokken veiligheidspartners zijn alert en </w:t>
      </w:r>
      <w:r w:rsidRPr="008F7B32" w:rsidR="001579D6">
        <w:t xml:space="preserve">er </w:t>
      </w:r>
      <w:r w:rsidRPr="008F7B32" w:rsidR="004B6139">
        <w:t xml:space="preserve">wordt voortdurend onderzocht </w:t>
      </w:r>
      <w:r w:rsidRPr="008F7B32" w:rsidR="003872DD">
        <w:t>o</w:t>
      </w:r>
      <w:r w:rsidRPr="008F7B32" w:rsidR="00AA1C3F">
        <w:t>f</w:t>
      </w:r>
      <w:r w:rsidRPr="008F7B32" w:rsidR="004B6139">
        <w:t xml:space="preserve"> aanvullende maatregelen getroffen kunnen worden.</w:t>
      </w:r>
    </w:p>
    <w:p w:rsidRPr="008F7B32" w:rsidR="0087662F" w:rsidP="008F7B32" w:rsidRDefault="0087662F" w14:paraId="47A00FB5" w14:textId="77777777">
      <w:pPr>
        <w:spacing w:line="276" w:lineRule="auto"/>
        <w:jc w:val="both"/>
        <w:rPr>
          <w:i/>
          <w:iCs/>
        </w:rPr>
      </w:pPr>
    </w:p>
    <w:p w:rsidRPr="008F7B32" w:rsidR="004B6139" w:rsidP="008F7B32" w:rsidRDefault="004B6139" w14:paraId="413ADA7A" w14:textId="37EAD953">
      <w:pPr>
        <w:spacing w:line="276" w:lineRule="auto"/>
        <w:jc w:val="both"/>
      </w:pPr>
      <w:r w:rsidRPr="008F7B32">
        <w:rPr>
          <w:i/>
          <w:iCs/>
        </w:rPr>
        <w:t>Internationale samenwerkingen</w:t>
      </w:r>
      <w:r w:rsidRPr="008F7B32">
        <w:t xml:space="preserve"> </w:t>
      </w:r>
    </w:p>
    <w:p w:rsidR="00F70642" w:rsidP="003A4E47" w:rsidRDefault="005D5DC1" w14:paraId="6A174C43" w14:textId="799D285E">
      <w:pPr>
        <w:spacing w:line="276" w:lineRule="auto"/>
        <w:jc w:val="both"/>
      </w:pPr>
      <w:r w:rsidRPr="008F7B32">
        <w:t>Om de internationale en nationale veiligheid te waarborgen is intensieve internationale samenwerking en informatie-uitwisseling van belang. De motie van de leden Bikker en Erkens verzoekt de regering zich in Europees verband actief in te zetten voor het verbeteren van het delen van relevante informatie en het beter afstemmen van beleid, met als doel de dreiging die uitgaat van jihadisme te verminderen.</w:t>
      </w:r>
      <w:r w:rsidRPr="008F7B32">
        <w:rPr>
          <w:rStyle w:val="Voetnootmarkering"/>
        </w:rPr>
        <w:footnoteReference w:id="5"/>
      </w:r>
      <w:r w:rsidRPr="008F7B32">
        <w:t xml:space="preserve"> In Europees verband </w:t>
      </w:r>
      <w:r w:rsidRPr="008F7B32" w:rsidR="00BF3904">
        <w:t xml:space="preserve">heeft </w:t>
      </w:r>
      <w:r w:rsidRPr="008F7B32">
        <w:t xml:space="preserve">Nederland </w:t>
      </w:r>
      <w:r w:rsidRPr="008F7B32" w:rsidR="00BF3904">
        <w:t xml:space="preserve">hierop </w:t>
      </w:r>
      <w:r w:rsidRPr="008F7B32">
        <w:t>een leidende rol. Binnen de Anti-ISIS Coalitie (AIC) is Nederland</w:t>
      </w:r>
      <w:r w:rsidRPr="008F7B32" w:rsidR="00451B6D">
        <w:t>, samen met  Interpol, de Verenigde Staten</w:t>
      </w:r>
      <w:r w:rsidRPr="008F7B32" w:rsidR="006D71C4">
        <w:t>,</w:t>
      </w:r>
      <w:r w:rsidRPr="008F7B32" w:rsidR="00451B6D">
        <w:t xml:space="preserve"> Turkije</w:t>
      </w:r>
      <w:r w:rsidRPr="008F7B32" w:rsidR="006D71C4">
        <w:t xml:space="preserve"> en Koeweit</w:t>
      </w:r>
      <w:r w:rsidRPr="008F7B32">
        <w:t xml:space="preserve"> covoorzitter van de Terrorist Travel </w:t>
      </w:r>
      <w:proofErr w:type="spellStart"/>
      <w:r w:rsidRPr="008F7B32">
        <w:t>Working</w:t>
      </w:r>
      <w:proofErr w:type="spellEnd"/>
      <w:r w:rsidRPr="008F7B32">
        <w:t xml:space="preserve"> Group en is </w:t>
      </w:r>
      <w:r w:rsidRPr="008F7B32" w:rsidR="00240C6E">
        <w:t xml:space="preserve">Nederland </w:t>
      </w:r>
      <w:r w:rsidRPr="008F7B32">
        <w:t>leidend in het onderzoeken hoe het onderkennen van reisbewegingen van IS-strijders verbeterd kan worden binnen het internationale stelsel.</w:t>
      </w:r>
    </w:p>
    <w:p w:rsidR="006A0D67" w:rsidP="003A4E47" w:rsidRDefault="005D5DC1" w14:paraId="68B9677A" w14:textId="5B9E7C66">
      <w:pPr>
        <w:spacing w:line="276" w:lineRule="auto"/>
        <w:jc w:val="both"/>
      </w:pPr>
      <w:r w:rsidRPr="008F7B32">
        <w:t xml:space="preserve"> </w:t>
      </w:r>
    </w:p>
    <w:p w:rsidRPr="008F7B32" w:rsidR="00847554" w:rsidP="008F7B32" w:rsidRDefault="00847554" w14:paraId="2668ACFF" w14:textId="5C55F589">
      <w:pPr>
        <w:spacing w:line="276" w:lineRule="auto"/>
        <w:rPr>
          <w:b/>
          <w:bCs/>
        </w:rPr>
      </w:pPr>
      <w:bookmarkStart w:name="_Hlk225417513" w:id="3"/>
      <w:r w:rsidRPr="008F7B32">
        <w:rPr>
          <w:b/>
          <w:bCs/>
        </w:rPr>
        <w:t xml:space="preserve">Coördinatie terrorismeveroordeelden uit detentie </w:t>
      </w:r>
      <w:r w:rsidRPr="008F7B32" w:rsidR="003D7A06">
        <w:rPr>
          <w:b/>
          <w:bCs/>
        </w:rPr>
        <w:t xml:space="preserve">met </w:t>
      </w:r>
      <w:r w:rsidRPr="008F7B32" w:rsidR="00AA1C3F">
        <w:rPr>
          <w:b/>
          <w:bCs/>
        </w:rPr>
        <w:t xml:space="preserve">een </w:t>
      </w:r>
      <w:r w:rsidRPr="008F7B32" w:rsidR="003D7A06">
        <w:rPr>
          <w:b/>
          <w:bCs/>
        </w:rPr>
        <w:t xml:space="preserve">hoog dreigingsprofiel </w:t>
      </w:r>
      <w:r w:rsidRPr="008F7B32">
        <w:rPr>
          <w:b/>
          <w:bCs/>
        </w:rPr>
        <w:t>zonder rechtmatig verblijf</w:t>
      </w:r>
    </w:p>
    <w:p w:rsidRPr="008F7B32" w:rsidR="003904A9" w:rsidP="008F7B32" w:rsidRDefault="003904A9" w14:paraId="71FF1F3B" w14:textId="5E510309">
      <w:pPr>
        <w:spacing w:line="276" w:lineRule="auto"/>
        <w:jc w:val="both"/>
      </w:pPr>
      <w:r w:rsidRPr="008F7B32">
        <w:t xml:space="preserve">Wanneer personen in Nederland onherroepelijk zijn veroordeeld voor een </w:t>
      </w:r>
      <w:r w:rsidRPr="008F7B32" w:rsidR="002F29B2">
        <w:t>misdrijf met een terroristisch oogmerk</w:t>
      </w:r>
      <w:r w:rsidRPr="008F7B32">
        <w:t xml:space="preserve"> hebben zij de fundamenten van onze rechtsstaat – en alles waar zij voor staat – bewust verworpen en de aanspraak op het Nederlanderschap verspeeld. Het kabinet kan op grond van artikel 14, tweede lid RWN het Nederlanderschap van deze personen intrekken. Bij iedere casus worden de omstandigheden en factoren nauwkeurig gewogen om te evalueren of de bevoegdheid tot intrekking toegepast kan worden. De intrekking van het Nederlanderschap op grond van artikel 14, tweede lid RWN gaat in de meeste gevallen gepaard met het opleggen van een terugkeerbesluit en een inreisverbod</w:t>
      </w:r>
      <w:r w:rsidR="001E6C1A">
        <w:t xml:space="preserve"> door de Immigratie</w:t>
      </w:r>
      <w:r w:rsidR="000C1DA3">
        <w:t>-</w:t>
      </w:r>
      <w:r w:rsidR="001E6C1A">
        <w:t xml:space="preserve"> en Naturalisatiedienst (IND)</w:t>
      </w:r>
      <w:r w:rsidRPr="008F7B32">
        <w:t>.</w:t>
      </w:r>
      <w:r w:rsidR="001E6C1A">
        <w:t xml:space="preserve"> Hierna dient de persoon Nederland te </w:t>
      </w:r>
      <w:r w:rsidR="00EB55EE">
        <w:t>verlaten</w:t>
      </w:r>
      <w:r w:rsidR="001E6C1A">
        <w:t>.</w:t>
      </w:r>
      <w:r w:rsidRPr="008F7B32">
        <w:t xml:space="preserve"> Bij het uitblijven van vertrek</w:t>
      </w:r>
      <w:r w:rsidRPr="008F7B32" w:rsidR="00BF3904">
        <w:t xml:space="preserve"> naar het land van de overgebleven nationaliteit,</w:t>
      </w:r>
      <w:r w:rsidRPr="008F7B32">
        <w:t xml:space="preserve"> verblijven deze personen onrechtmatig in Nederland. </w:t>
      </w:r>
    </w:p>
    <w:p w:rsidRPr="008F7B32" w:rsidR="003904A9" w:rsidP="008F7B32" w:rsidRDefault="003904A9" w14:paraId="635E0FC5" w14:textId="77777777">
      <w:pPr>
        <w:spacing w:line="276" w:lineRule="auto"/>
        <w:jc w:val="both"/>
      </w:pPr>
    </w:p>
    <w:p w:rsidRPr="008F7B32" w:rsidR="0024022F" w:rsidP="008F7B32" w:rsidRDefault="003904A9" w14:paraId="4D6C0CF2" w14:textId="542AF2E0">
      <w:pPr>
        <w:spacing w:line="276" w:lineRule="auto"/>
        <w:jc w:val="both"/>
      </w:pPr>
      <w:r w:rsidRPr="008F7B32">
        <w:t>Uw Kamer is in de achtste halfjaarlijkse rapportage uitreizigers geïnformeerd over de veiligheidsrisico’s als gevolg van het onrechtmatig verblijf van terrorismeveroordeelden met een hoog dreigingsprofiel.</w:t>
      </w:r>
      <w:r w:rsidRPr="008F7B32" w:rsidR="009F5BDE">
        <w:rPr>
          <w:rStyle w:val="Voetnootmarkering"/>
        </w:rPr>
        <w:footnoteReference w:id="6"/>
      </w:r>
      <w:r w:rsidRPr="008F7B32" w:rsidR="003A0187">
        <w:t xml:space="preserve"> </w:t>
      </w:r>
      <w:r w:rsidRPr="008F7B32" w:rsidR="003F23A8">
        <w:t xml:space="preserve">In deze </w:t>
      </w:r>
      <w:r w:rsidR="006A0D67">
        <w:t xml:space="preserve">Kamerbrief </w:t>
      </w:r>
      <w:r w:rsidRPr="008F7B32" w:rsidR="003F23A8">
        <w:t xml:space="preserve">is toegezegd uw Kamer nader te informeren over de voortgang van motie </w:t>
      </w:r>
      <w:proofErr w:type="spellStart"/>
      <w:r w:rsidRPr="008F7B32" w:rsidR="003F23A8">
        <w:t>Boswijk</w:t>
      </w:r>
      <w:proofErr w:type="spellEnd"/>
      <w:r w:rsidRPr="008F7B32" w:rsidR="003F23A8">
        <w:t xml:space="preserve"> die ziet op het gerichter uitvoeren van het intrekken van het Nederlanderschap en alles op alles te zetten om ervoor te zorgen dat deze personen Nederland daadwerkelijk verlaten.</w:t>
      </w:r>
      <w:r w:rsidRPr="008F7B32" w:rsidR="003F23A8">
        <w:rPr>
          <w:rStyle w:val="Voetnootmarkering"/>
        </w:rPr>
        <w:footnoteReference w:id="7"/>
      </w:r>
      <w:r w:rsidRPr="008F7B32" w:rsidR="003F23A8">
        <w:t xml:space="preserve"> </w:t>
      </w:r>
      <w:r w:rsidRPr="008F7B32">
        <w:t>Onder coördinatie van de NCTV werken</w:t>
      </w:r>
      <w:r w:rsidRPr="008F7B32" w:rsidR="003A0187">
        <w:t xml:space="preserve"> </w:t>
      </w:r>
      <w:r w:rsidRPr="008F7B32">
        <w:t>alle betrokken partners, ieder vanuit de eigen processen en verantwoordelijkheden, intensief samen om de risico’s die van deze casuïstiek uitgaa</w:t>
      </w:r>
      <w:r w:rsidR="00E41043">
        <w:t>n</w:t>
      </w:r>
      <w:r w:rsidRPr="008F7B32">
        <w:t xml:space="preserve"> te mitigeren en zicht te houden op vrijgekomen terrorismeveroordeelden totdat vertrek gerealiseerd is. De aanpak is geïntensiveerd om te voorkomen dat personen uit beeld raken</w:t>
      </w:r>
      <w:r w:rsidRPr="008F7B32" w:rsidR="003D7A06">
        <w:t xml:space="preserve"> en </w:t>
      </w:r>
      <w:r w:rsidRPr="008F7B32" w:rsidR="0024022F">
        <w:t xml:space="preserve">om vertrek te realiseren. </w:t>
      </w:r>
      <w:r w:rsidRPr="004809E5" w:rsidR="0024022F">
        <w:t xml:space="preserve">Hieronder </w:t>
      </w:r>
      <w:r w:rsidRPr="004809E5" w:rsidR="004809E5">
        <w:t>worden</w:t>
      </w:r>
      <w:r w:rsidRPr="004809E5" w:rsidR="0024022F">
        <w:t xml:space="preserve"> enkele aanvullende maatre</w:t>
      </w:r>
      <w:r w:rsidRPr="004809E5" w:rsidR="00397CB5">
        <w:t>ge</w:t>
      </w:r>
      <w:r w:rsidRPr="004809E5" w:rsidR="0024022F">
        <w:t>len</w:t>
      </w:r>
      <w:r w:rsidRPr="004809E5" w:rsidR="004809E5">
        <w:t xml:space="preserve"> nader toegelicht</w:t>
      </w:r>
      <w:r w:rsidRPr="004809E5" w:rsidR="00397CB5">
        <w:t xml:space="preserve">: </w:t>
      </w:r>
      <w:r w:rsidRPr="004809E5" w:rsidR="002465F7">
        <w:t>de intensivering van maatwerk op vertrek</w:t>
      </w:r>
      <w:r w:rsidRPr="004809E5" w:rsidR="00397CB5">
        <w:t>;</w:t>
      </w:r>
      <w:r w:rsidRPr="008F7B32" w:rsidR="002465F7">
        <w:t xml:space="preserve"> de verkenning van een uniforme risicotaxatie</w:t>
      </w:r>
      <w:r w:rsidRPr="008F7B32" w:rsidR="00397CB5">
        <w:t>,</w:t>
      </w:r>
      <w:r w:rsidRPr="008F7B32" w:rsidR="002465F7">
        <w:t xml:space="preserve"> en</w:t>
      </w:r>
      <w:r w:rsidRPr="008F7B32" w:rsidR="00397CB5">
        <w:t>;</w:t>
      </w:r>
      <w:r w:rsidRPr="008F7B32" w:rsidR="002465F7">
        <w:t xml:space="preserve"> verdere risico-mitigerende maatregelen. </w:t>
      </w:r>
    </w:p>
    <w:p w:rsidRPr="008F7B32" w:rsidR="003904A9" w:rsidP="008F7B32" w:rsidRDefault="003904A9" w14:paraId="627F7F2A" w14:textId="77777777">
      <w:pPr>
        <w:spacing w:line="276" w:lineRule="auto"/>
        <w:jc w:val="both"/>
        <w:rPr>
          <w:u w:val="single"/>
        </w:rPr>
      </w:pPr>
    </w:p>
    <w:p w:rsidRPr="008F7B32" w:rsidR="0061235E" w:rsidP="008F7B32" w:rsidRDefault="0061235E" w14:paraId="2D8B5DDC" w14:textId="77777777">
      <w:pPr>
        <w:spacing w:line="276" w:lineRule="auto"/>
        <w:jc w:val="both"/>
        <w:rPr>
          <w:i/>
          <w:iCs/>
        </w:rPr>
      </w:pPr>
      <w:r w:rsidRPr="008F7B32">
        <w:rPr>
          <w:i/>
          <w:iCs/>
        </w:rPr>
        <w:t>Maatwerk op vertrek</w:t>
      </w:r>
    </w:p>
    <w:p w:rsidRPr="008F7B32" w:rsidR="003A0187" w:rsidP="008F7B32" w:rsidRDefault="003A0187" w14:paraId="15A986A8" w14:textId="6DB94911">
      <w:pPr>
        <w:spacing w:line="276" w:lineRule="auto"/>
        <w:jc w:val="both"/>
      </w:pPr>
      <w:bookmarkStart w:name="_Hlk222667382" w:id="4"/>
      <w:r w:rsidRPr="008F7B32">
        <w:t>Het kabinet intensiveert</w:t>
      </w:r>
      <w:r w:rsidRPr="008F7B32" w:rsidR="003F23A8">
        <w:t xml:space="preserve">, conform motie </w:t>
      </w:r>
      <w:proofErr w:type="spellStart"/>
      <w:r w:rsidRPr="008F7B32" w:rsidR="003F23A8">
        <w:t>Boswijk</w:t>
      </w:r>
      <w:proofErr w:type="spellEnd"/>
      <w:r w:rsidRPr="008F7B32" w:rsidR="003F23A8">
        <w:t>,</w:t>
      </w:r>
      <w:r w:rsidRPr="008F7B32">
        <w:t xml:space="preserve"> de inzet op het maatwerk van vertrek van personen die een risico vormen voor de nationale veiligheid en geen rechtmatig verblijf (meer) hebben.</w:t>
      </w:r>
      <w:r w:rsidRPr="008F7B32" w:rsidR="003F23A8">
        <w:rPr>
          <w:rStyle w:val="Voetnootmarkering"/>
        </w:rPr>
        <w:footnoteReference w:id="8"/>
      </w:r>
      <w:r w:rsidRPr="008F7B32">
        <w:t xml:space="preserve"> Deze inzet richt zich op het borgen van een vroegtijdige en gerichte start van het terugkeerproces en het daarbij benutten van het </w:t>
      </w:r>
      <w:r w:rsidR="004763DB">
        <w:t>maatwerk</w:t>
      </w:r>
      <w:r w:rsidRPr="008F7B32">
        <w:t xml:space="preserve"> en het versterken van samenwerking en afstemming tussen de</w:t>
      </w:r>
      <w:r w:rsidRPr="008F7B32" w:rsidR="0048678C">
        <w:t xml:space="preserve"> relevante</w:t>
      </w:r>
      <w:r w:rsidRPr="008F7B32">
        <w:t xml:space="preserve"> betrokken partners. Er wordt ingezet op een gerichte en meer samenhangende aanpak voor deze complexe dossiers, gebaseerd op verschillende sessies met de betrokken organisaties waarin werkwijzen en ervaringen zijn geëvalueerd.</w:t>
      </w:r>
      <w:r w:rsidRPr="008F7B32" w:rsidR="006F5EF8">
        <w:t xml:space="preserve"> </w:t>
      </w:r>
      <w:r w:rsidRPr="008F7B32">
        <w:t>Tegelijk wordt onderzocht waar het bestaande instrumentarium in de praktijk kan worden versterkt of doorontwikkeld om knelpunten gerichter te kunnen adresseren.</w:t>
      </w:r>
    </w:p>
    <w:p w:rsidRPr="008F7B32" w:rsidR="003A0187" w:rsidP="008F7B32" w:rsidRDefault="003A0187" w14:paraId="239F9F98" w14:textId="77777777">
      <w:pPr>
        <w:spacing w:line="276" w:lineRule="auto"/>
        <w:jc w:val="both"/>
      </w:pPr>
    </w:p>
    <w:p w:rsidRPr="008F7B32" w:rsidR="00477746" w:rsidP="008F7B32" w:rsidRDefault="003A0187" w14:paraId="7C4E5F35" w14:textId="5AF9C749">
      <w:pPr>
        <w:spacing w:line="276" w:lineRule="auto"/>
        <w:jc w:val="both"/>
      </w:pPr>
      <w:r w:rsidRPr="008F7B32">
        <w:t>Het realiseren van vertrek in deze dossiers blijft mede afhankelijk van externe factoren, waaronder de medewerking van landen van herkomst en individuele juridische procedures.</w:t>
      </w:r>
      <w:r w:rsidRPr="00A5332A" w:rsidR="00A5332A">
        <w:t xml:space="preserve"> </w:t>
      </w:r>
      <w:r w:rsidRPr="00DF20C2" w:rsidR="00A5332A">
        <w:t xml:space="preserve">Juist omdat medewerking van herkomstlanden </w:t>
      </w:r>
      <w:r w:rsidR="00A5332A">
        <w:t>e</w:t>
      </w:r>
      <w:r w:rsidRPr="00DF20C2" w:rsidR="00A5332A">
        <w:t xml:space="preserve">n juridische procedures vaak een lange doorlooptijd hebben, </w:t>
      </w:r>
      <w:r w:rsidRPr="008F7B32" w:rsidR="00A5332A">
        <w:t>wordt ingezet op een proactieve en samenhangende benadering, zodat beschikbare interventies tijdig en effectief kunnen worden benut en diplomatieke inzet goed kan worden voorbereid.</w:t>
      </w:r>
      <w:r w:rsidR="00A5332A">
        <w:t xml:space="preserve"> </w:t>
      </w:r>
      <w:r w:rsidRPr="008F7B32" w:rsidR="00A5332A">
        <w:t>Er wordt gewerkt aan een gefaseerde implementatie van deze werkwijze in de l</w:t>
      </w:r>
      <w:r w:rsidR="00A5332A">
        <w:t>o</w:t>
      </w:r>
      <w:r w:rsidRPr="008F7B32" w:rsidR="00A5332A">
        <w:t>pende casuïstiek, waarbij het intensiveren van maatwerk op vertrek centraal staat</w:t>
      </w:r>
      <w:r w:rsidR="009F7D7A">
        <w:t>.</w:t>
      </w:r>
      <w:r w:rsidRPr="008F7B32">
        <w:t xml:space="preserve"> Deze versterkte aanpak loopt parallel aan de uitvoering van het coalitieakkoord ten aanzien van het vergroten van de mogelijkheden voor toezicht op personen die (nog) niet kunnen vertrekken.</w:t>
      </w:r>
      <w:r w:rsidR="008B5260">
        <w:t xml:space="preserve"> De pilot van het Landelijk Afstemmingsoverleg Vertrek (LAOV</w:t>
      </w:r>
      <w:r w:rsidR="00834DF1">
        <w:t>)</w:t>
      </w:r>
      <w:r w:rsidR="008B5260">
        <w:t xml:space="preserve"> is reeds ingericht op het versterken van de inzet op het vertrek van terrorismeveroordeelden zonder rechtmatig verblijf. Na bestuurlijke besluitvorming wordt het LAOV </w:t>
      </w:r>
      <w:r w:rsidR="004763DB">
        <w:t>bestendigd</w:t>
      </w:r>
      <w:r w:rsidR="008B5260">
        <w:t xml:space="preserve"> met een versmalde doelstelling: landelijk zicht houden tot aan vertrek en casuïstiekafstemming.</w:t>
      </w:r>
      <w:bookmarkEnd w:id="4"/>
    </w:p>
    <w:bookmarkEnd w:id="3"/>
    <w:p w:rsidRPr="008F7B32" w:rsidR="003F23A8" w:rsidP="008F7B32" w:rsidRDefault="003F23A8" w14:paraId="0B0E52B5" w14:textId="77777777">
      <w:pPr>
        <w:spacing w:line="276" w:lineRule="auto"/>
        <w:jc w:val="both"/>
        <w:rPr>
          <w:i/>
          <w:iCs/>
        </w:rPr>
      </w:pPr>
    </w:p>
    <w:p w:rsidRPr="008F7B32" w:rsidR="00F176A2" w:rsidP="00F176A2" w:rsidRDefault="00F176A2" w14:paraId="31C7E030" w14:textId="77777777">
      <w:pPr>
        <w:spacing w:line="276" w:lineRule="auto"/>
        <w:jc w:val="both"/>
        <w:rPr>
          <w:i/>
          <w:iCs/>
        </w:rPr>
      </w:pPr>
      <w:bookmarkStart w:name="_Hlk225417772" w:id="5"/>
      <w:r w:rsidRPr="008F7B32">
        <w:rPr>
          <w:i/>
          <w:iCs/>
        </w:rPr>
        <w:t>Verkenning uniforme risicotaxatie</w:t>
      </w:r>
    </w:p>
    <w:p w:rsidRPr="008F7B32" w:rsidR="00F176A2" w:rsidP="00F176A2" w:rsidRDefault="00F176A2" w14:paraId="5BF0565F" w14:textId="77777777">
      <w:pPr>
        <w:spacing w:line="276" w:lineRule="auto"/>
        <w:jc w:val="both"/>
      </w:pPr>
      <w:r w:rsidRPr="008F7B32">
        <w:t xml:space="preserve">Het is van belang om een eenduidig risicobeeld te ontwikkelen van personen zonder rechtmatig verblijf, </w:t>
      </w:r>
      <w:r>
        <w:t>om in te kunnen schatten of zij</w:t>
      </w:r>
      <w:r w:rsidRPr="008F7B32">
        <w:t xml:space="preserve"> een dreiging voor de nationale veiligheid vormen. Door de verschillende en soms beperkte informatieposities van betrokken organisaties is dit niet altijd mogelijk en kunnen maatregelen </w:t>
      </w:r>
      <w:r>
        <w:t>omtrent</w:t>
      </w:r>
      <w:r w:rsidRPr="008F7B32">
        <w:t xml:space="preserve"> terrorismeveroordeelden zonder rechtmatig verblijf niet altijd optimaal op elkaar aansluiten. </w:t>
      </w:r>
    </w:p>
    <w:p w:rsidRPr="008F7B32" w:rsidR="00F176A2" w:rsidP="00F176A2" w:rsidRDefault="00F176A2" w14:paraId="2E2E588C" w14:textId="77777777">
      <w:pPr>
        <w:spacing w:line="276" w:lineRule="auto"/>
        <w:jc w:val="both"/>
      </w:pPr>
    </w:p>
    <w:p w:rsidRPr="008F7B32" w:rsidR="00F176A2" w:rsidP="00F176A2" w:rsidRDefault="00F176A2" w14:paraId="4307CB20" w14:textId="77777777">
      <w:pPr>
        <w:spacing w:line="276" w:lineRule="auto"/>
        <w:jc w:val="both"/>
      </w:pPr>
      <w:r w:rsidRPr="008F7B32">
        <w:t xml:space="preserve">Met deze reden is een verkenning uitgevoerd of, en op welke manier, verbetering van beeldvorming en uniformering van risicotaxaties van toegevoegde waarde kan zijn. Uit gesprekken met lokale partners en ketenpartners bleek een breed gedeelde erkenning van de problematiek. Dit komt doordat betrokken partners een beperkte informatiepositie hebben ten aanzien van casuïstiek, omdat zij zich </w:t>
      </w:r>
      <w:r>
        <w:t xml:space="preserve">grotendeels </w:t>
      </w:r>
      <w:r w:rsidRPr="008F7B32">
        <w:t xml:space="preserve">moeten baseren op de informatie die alleen bij de eigen organisatie bekend is. Hierdoor is het niet mogelijk om op eenduidige wijze de risico’s die deze personen vormen in te schatten. </w:t>
      </w:r>
    </w:p>
    <w:p w:rsidRPr="008F7B32" w:rsidR="00F176A2" w:rsidP="00F176A2" w:rsidRDefault="00F176A2" w14:paraId="1D08636B" w14:textId="77777777">
      <w:pPr>
        <w:spacing w:line="276" w:lineRule="auto"/>
        <w:jc w:val="both"/>
      </w:pPr>
    </w:p>
    <w:p w:rsidRPr="008F7B32" w:rsidR="00F176A2" w:rsidP="00F176A2" w:rsidRDefault="00F176A2" w14:paraId="65DABCB6" w14:textId="310DD8BA">
      <w:pPr>
        <w:spacing w:line="276" w:lineRule="auto"/>
        <w:jc w:val="both"/>
      </w:pPr>
      <w:r w:rsidRPr="008F7B32">
        <w:t xml:space="preserve">Uniforme risicotaxaties die met de betrokken ketenpartners gedeeld kunnen worden, zijn van meerwaarde in de fase voorafgaand aan een besluit over intrekking van het Nederlanderschap, en in situaties waarin het Nederlanderschap al is ingetrokken maar er geen perspectief is op vertrek. Dit jaar start </w:t>
      </w:r>
      <w:r w:rsidR="00903FCA">
        <w:t>de vormgeving</w:t>
      </w:r>
      <w:r>
        <w:t xml:space="preserve"> van een manier waarop </w:t>
      </w:r>
      <w:r w:rsidRPr="002F2AE7">
        <w:t>betrokken partners</w:t>
      </w:r>
      <w:r w:rsidRPr="008F7B32">
        <w:t xml:space="preserve"> door een integrale benadering, uniforme risicotaxaties kunnen opstellen om gerichte en effectieve maatregelen te treffen. </w:t>
      </w:r>
    </w:p>
    <w:bookmarkEnd w:id="5"/>
    <w:p w:rsidRPr="008F7B32" w:rsidR="0061235E" w:rsidP="008F7B32" w:rsidRDefault="0061235E" w14:paraId="3CE46A23" w14:textId="77777777">
      <w:pPr>
        <w:spacing w:line="276" w:lineRule="auto"/>
        <w:jc w:val="both"/>
      </w:pPr>
    </w:p>
    <w:p w:rsidRPr="008F7B32" w:rsidR="0061235E" w:rsidP="008F7B32" w:rsidRDefault="0061235E" w14:paraId="21C89922" w14:textId="10583108">
      <w:pPr>
        <w:spacing w:line="276" w:lineRule="auto"/>
        <w:jc w:val="both"/>
        <w:rPr>
          <w:i/>
          <w:iCs/>
        </w:rPr>
      </w:pPr>
      <w:r w:rsidRPr="008F7B32">
        <w:rPr>
          <w:i/>
          <w:iCs/>
        </w:rPr>
        <w:t>Risico</w:t>
      </w:r>
      <w:r w:rsidRPr="008F7B32" w:rsidR="00A658F6">
        <w:rPr>
          <w:i/>
          <w:iCs/>
        </w:rPr>
        <w:t>-</w:t>
      </w:r>
      <w:r w:rsidRPr="008F7B32">
        <w:rPr>
          <w:i/>
          <w:iCs/>
        </w:rPr>
        <w:t>mitigerende maatregelen</w:t>
      </w:r>
    </w:p>
    <w:p w:rsidRPr="008F7B32" w:rsidR="00A22C80" w:rsidP="008F7B32" w:rsidRDefault="00676E58" w14:paraId="1118623F" w14:textId="3928DC37">
      <w:pPr>
        <w:spacing w:line="276" w:lineRule="auto"/>
        <w:jc w:val="both"/>
      </w:pPr>
      <w:r>
        <w:t xml:space="preserve">Dit kabinet zet volop in op het realiseren van aanvullende maatregelen </w:t>
      </w:r>
      <w:r w:rsidR="005E3F90">
        <w:t xml:space="preserve">om de risico’s te mitigeren die uitgaan van ex-gedetineerde terrorismeveroordeelden met een hoog dreigingsprofiel en onrechtmatig verblijf. Daarom is met </w:t>
      </w:r>
      <w:r w:rsidRPr="008F7B32" w:rsidR="003A0187">
        <w:t xml:space="preserve">oog op de noodzakelijke uitbreiding van risico-mitigerende maatregelen een internationale </w:t>
      </w:r>
      <w:r>
        <w:t>uitvraag</w:t>
      </w:r>
      <w:r w:rsidRPr="008F7B32">
        <w:t xml:space="preserve"> </w:t>
      </w:r>
      <w:r w:rsidR="005E3F90">
        <w:t>gedaan</w:t>
      </w:r>
      <w:r w:rsidRPr="008F7B32" w:rsidR="005E3F90">
        <w:t xml:space="preserve"> </w:t>
      </w:r>
      <w:r w:rsidRPr="008F7B32" w:rsidR="003A0187">
        <w:t>naar hoe andere landen met</w:t>
      </w:r>
      <w:r w:rsidRPr="008F7B32" w:rsidR="00235318">
        <w:t xml:space="preserve"> het onrechtmatig verblijf van </w:t>
      </w:r>
      <w:r w:rsidRPr="008F7B32" w:rsidR="0090040A">
        <w:t xml:space="preserve">ex-gedetineerde </w:t>
      </w:r>
      <w:r w:rsidRPr="008F7B32" w:rsidR="00235318">
        <w:t>terrorismeveroordeelden met een hoog dreigingsprofiel</w:t>
      </w:r>
      <w:r w:rsidRPr="008F7B32" w:rsidR="003A0187">
        <w:t xml:space="preserve"> omgaan. Uit deze </w:t>
      </w:r>
      <w:r>
        <w:t>uitvraa</w:t>
      </w:r>
      <w:r w:rsidRPr="008F7B32">
        <w:t xml:space="preserve">g </w:t>
      </w:r>
      <w:r w:rsidRPr="008F7B32" w:rsidR="003A0187">
        <w:t xml:space="preserve">volgt dat andere landen deze problematiek herkennen waarbij elk land een wettelijke aanpak heeft gekozen die past binnen het eigen rechtssysteem. De </w:t>
      </w:r>
      <w:r>
        <w:t>uitvraag</w:t>
      </w:r>
      <w:r w:rsidRPr="008F7B32">
        <w:t xml:space="preserve"> </w:t>
      </w:r>
      <w:r w:rsidRPr="008F7B32" w:rsidR="003A0187">
        <w:t>ziet op Duitsland, Frankrijk, het Verenigd Koninkrijk, Zweden en Denemarken. Een aantal van de</w:t>
      </w:r>
      <w:r w:rsidRPr="008F7B32" w:rsidR="006F5EF8">
        <w:t>ze</w:t>
      </w:r>
      <w:r w:rsidRPr="008F7B32" w:rsidR="003A0187">
        <w:t xml:space="preserve"> landen kent een multidisciplinaire aanpak met mogelijkheden voor specifieke organisaties om toezichtmaatregelen op te leggen, waaronder meldplicht en gebiedsverboden. Dit kan in bepaalde gevallen gehandhaafd worden met elektronisch toezicht. </w:t>
      </w:r>
    </w:p>
    <w:p w:rsidRPr="008F7B32" w:rsidR="00A22C80" w:rsidP="008F7B32" w:rsidRDefault="00A22C80" w14:paraId="72C14B6A" w14:textId="77777777">
      <w:pPr>
        <w:spacing w:line="276" w:lineRule="auto"/>
        <w:jc w:val="both"/>
      </w:pPr>
    </w:p>
    <w:p w:rsidRPr="008F7B32" w:rsidR="003A0187" w:rsidP="008F7B32" w:rsidRDefault="003A0187" w14:paraId="255D37A4" w14:textId="0B30E7FB">
      <w:pPr>
        <w:spacing w:line="276" w:lineRule="auto"/>
        <w:jc w:val="both"/>
      </w:pPr>
      <w:r w:rsidRPr="008F7B32">
        <w:t>Het Nederlandse rechtssysteem biedt soortgelijke mogelijkheden. Zo kan een rechter in een strafzaak inzake een terroristisch misdrijf toezichtmaatregelen opleggen op grond van de Wet langdurig toezicht</w:t>
      </w:r>
      <w:r w:rsidRPr="008F7B32" w:rsidR="00E02C76">
        <w:t>, bijvoorbeeld een</w:t>
      </w:r>
      <w:r w:rsidRPr="008F7B32" w:rsidR="00B17D42">
        <w:t xml:space="preserve"> </w:t>
      </w:r>
      <w:r w:rsidRPr="008F7B32" w:rsidR="00451B6D">
        <w:t xml:space="preserve">locatie- of gebiedsverbod. </w:t>
      </w:r>
      <w:r w:rsidRPr="008F7B32">
        <w:t xml:space="preserve">Deze toezichtmaatregelen kunnen worden opgelegd voor de duur van twee tot vijf jaar na detentie en – </w:t>
      </w:r>
      <w:r w:rsidRPr="008F7B32" w:rsidR="008F7B32">
        <w:t>als</w:t>
      </w:r>
      <w:r w:rsidRPr="008F7B32">
        <w:t xml:space="preserve"> aan de voorwaarden wordt voldaan – met eenzelfde termijn worden verlengd. Daarnaast </w:t>
      </w:r>
      <w:r w:rsidRPr="008F7B32" w:rsidR="0065015F">
        <w:t xml:space="preserve">kunnen </w:t>
      </w:r>
      <w:r w:rsidRPr="008F7B32">
        <w:t xml:space="preserve">op grond van de </w:t>
      </w:r>
      <w:r w:rsidRPr="008F7B32" w:rsidR="00C838EF">
        <w:t>T</w:t>
      </w:r>
      <w:r w:rsidR="001E6C1A">
        <w:t xml:space="preserve">ijdelijke </w:t>
      </w:r>
      <w:r w:rsidRPr="008F7B32">
        <w:t>w</w:t>
      </w:r>
      <w:r w:rsidR="001E6C1A">
        <w:t xml:space="preserve">et </w:t>
      </w:r>
      <w:r w:rsidRPr="008F7B32">
        <w:t>b</w:t>
      </w:r>
      <w:r w:rsidR="001E6C1A">
        <w:t xml:space="preserve">estuurlijke </w:t>
      </w:r>
      <w:r w:rsidRPr="008F7B32">
        <w:t>m</w:t>
      </w:r>
      <w:r w:rsidR="001E6C1A">
        <w:t xml:space="preserve">aatregelen </w:t>
      </w:r>
      <w:r w:rsidRPr="008F7B32">
        <w:t>t</w:t>
      </w:r>
      <w:r w:rsidR="001E6C1A">
        <w:t>errorismebestrijding (</w:t>
      </w:r>
      <w:proofErr w:type="spellStart"/>
      <w:r w:rsidR="001E6C1A">
        <w:t>Twbmt</w:t>
      </w:r>
      <w:proofErr w:type="spellEnd"/>
      <w:r w:rsidR="001E6C1A">
        <w:t>)</w:t>
      </w:r>
      <w:r w:rsidRPr="008F7B32">
        <w:t xml:space="preserve"> </w:t>
      </w:r>
      <w:r w:rsidRPr="008F7B32" w:rsidR="0065015F">
        <w:t xml:space="preserve">aan een persoon </w:t>
      </w:r>
      <w:r w:rsidRPr="008F7B32">
        <w:t xml:space="preserve">vrijheidsbeperkende maatregelen worden opgelegd </w:t>
      </w:r>
      <w:r w:rsidRPr="008F7B32" w:rsidR="0065015F">
        <w:t xml:space="preserve">in het belang van de nationale veiligheid, </w:t>
      </w:r>
      <w:r w:rsidRPr="008F7B32" w:rsidR="008F7B32">
        <w:t>als</w:t>
      </w:r>
      <w:r w:rsidRPr="008F7B32" w:rsidR="0065015F">
        <w:t xml:space="preserve"> de betreffende persoon op grond van zijn of haar gedragingen in verband kan worden gebracht met terroristische activiteiten of de ondersteuning daarvan.</w:t>
      </w:r>
      <w:r w:rsidRPr="008F7B32">
        <w:t xml:space="preserve"> Hiertoe behoren maatregelen als een meldplicht, contactverbod en gebiedsverbod. Deze maatregelen worden opgelegd voor de duur van zes maanden en kunnen worden verlengd als er op dat moment concrete gedragingen zijn die wijzen op een gecontinueerde dreiging voor de nationale veiligheid</w:t>
      </w:r>
      <w:r w:rsidRPr="008F7B32" w:rsidR="0065015F">
        <w:t>.</w:t>
      </w:r>
      <w:r w:rsidRPr="008F7B32" w:rsidR="00D87A4A">
        <w:t xml:space="preserve"> </w:t>
      </w:r>
      <w:r w:rsidRPr="008F7B32">
        <w:t xml:space="preserve">Ten </w:t>
      </w:r>
      <w:r w:rsidRPr="008F7B32" w:rsidR="00D87A4A">
        <w:t xml:space="preserve">behoeve </w:t>
      </w:r>
      <w:r w:rsidRPr="008F7B32">
        <w:t xml:space="preserve">van de handhaving van een gebiedsverbod in het kader van de </w:t>
      </w:r>
      <w:proofErr w:type="spellStart"/>
      <w:r w:rsidRPr="008F7B32">
        <w:t>Twbmt</w:t>
      </w:r>
      <w:proofErr w:type="spellEnd"/>
      <w:r w:rsidRPr="008F7B32">
        <w:t xml:space="preserve"> is elektronische monitoring mogelijk. </w:t>
      </w:r>
      <w:r w:rsidR="005E3F90">
        <w:t xml:space="preserve">Het kabinet voert voortvarend de afspraken uit het coalitieakkoord uit waaronder de permanentmaking van de </w:t>
      </w:r>
      <w:proofErr w:type="spellStart"/>
      <w:r w:rsidR="005E3F90">
        <w:t>Twbmt</w:t>
      </w:r>
      <w:proofErr w:type="spellEnd"/>
      <w:r w:rsidR="005E3F90">
        <w:t>.</w:t>
      </w:r>
      <w:r w:rsidRPr="008F7B32" w:rsidR="00C838EF">
        <w:t xml:space="preserve"> </w:t>
      </w:r>
      <w:r w:rsidRPr="00276D27" w:rsidR="00C838EF">
        <w:t xml:space="preserve">Zo is het advies van de Raad van State verwerkt en </w:t>
      </w:r>
      <w:r w:rsidR="00276D27">
        <w:t>is het wetsvoorstel op 24 maart jl. bij uw Kamer ingediend.</w:t>
      </w:r>
      <w:r w:rsidR="00276D27">
        <w:rPr>
          <w:rStyle w:val="Voetnootmarkering"/>
        </w:rPr>
        <w:footnoteReference w:id="9"/>
      </w:r>
      <w:r w:rsidR="00276D27">
        <w:t xml:space="preserve"> </w:t>
      </w:r>
      <w:r w:rsidRPr="008F7B32">
        <w:t xml:space="preserve">Daarnaast </w:t>
      </w:r>
      <w:r w:rsidRPr="008F7B32" w:rsidR="00451B6D">
        <w:t>z</w:t>
      </w:r>
      <w:r w:rsidRPr="008F7B32" w:rsidR="00C838EF">
        <w:t>et</w:t>
      </w:r>
      <w:r w:rsidRPr="008F7B32" w:rsidR="008C7999">
        <w:t xml:space="preserve"> het kabinet </w:t>
      </w:r>
      <w:r w:rsidRPr="008F7B32" w:rsidR="00C838EF">
        <w:t>zich</w:t>
      </w:r>
      <w:r w:rsidRPr="008F7B32" w:rsidR="00511F1D">
        <w:t>, conform het coalitieakkoord</w:t>
      </w:r>
      <w:r w:rsidRPr="008F7B32" w:rsidR="00C838EF">
        <w:t xml:space="preserve"> </w:t>
      </w:r>
      <w:r w:rsidRPr="008F7B32" w:rsidR="008C7999">
        <w:t>in om de</w:t>
      </w:r>
      <w:r w:rsidRPr="008F7B32">
        <w:t xml:space="preserve"> wettelijke mogelijkheid </w:t>
      </w:r>
      <w:r w:rsidRPr="008F7B32" w:rsidR="008C7999">
        <w:t>te creëren</w:t>
      </w:r>
      <w:r w:rsidRPr="008F7B32">
        <w:t xml:space="preserve"> om ter bescherming van de nationale veiligheid elektronische monitoring in combinatie met een gebiedsgebod op te leggen. </w:t>
      </w:r>
      <w:r w:rsidRPr="008F7B32" w:rsidR="00D87A4A">
        <w:t xml:space="preserve">Tot slot </w:t>
      </w:r>
      <w:r w:rsidRPr="008F7B32">
        <w:t>kunnen er vreemdelingenrechtelijke maatregelen worden opgelegd om betrokkene beschikbaar te houden voor vertrek. Hierbij valt te denken aan een meldplicht, een gebiedsgebod en wanneer daadwerkelijk zicht is op vertrek: vreemdelingendetentie. Aan deze maatregelen kan geen elektronische monitoring worden gekoppeld. Vreemdelingendetentie geldt voor een beperkte duur, waarbij doorlopend een proportionaliteitstoets plaatsvindt.</w:t>
      </w:r>
    </w:p>
    <w:p w:rsidRPr="008F7B32" w:rsidR="0061235E" w:rsidP="008F7B32" w:rsidRDefault="0061235E" w14:paraId="5D28E071" w14:textId="77777777">
      <w:pPr>
        <w:spacing w:line="276" w:lineRule="auto"/>
        <w:jc w:val="both"/>
      </w:pPr>
    </w:p>
    <w:p w:rsidR="003A0187" w:rsidP="008F7B32" w:rsidRDefault="003A0187" w14:paraId="64DC74AE" w14:textId="0F090910">
      <w:pPr>
        <w:spacing w:line="276" w:lineRule="auto"/>
        <w:jc w:val="both"/>
      </w:pPr>
      <w:r w:rsidRPr="008F7B32">
        <w:t>Het Verenigd Koninkrijk heeft de mogelijkheid om een beperkte en tijdelijke juridische voorziening op te leggen om op verschillende manieren en door verschillende organisaties duurzaam (toe)zicht te houden op vrijgekomen terrorismeveroordeelden</w:t>
      </w:r>
      <w:r w:rsidRPr="008F7B32" w:rsidR="00CC4649">
        <w:t>, waaronder ook vreemdelingen</w:t>
      </w:r>
      <w:r w:rsidRPr="008F7B32" w:rsidR="00E52ED5">
        <w:t xml:space="preserve"> </w:t>
      </w:r>
      <w:r w:rsidRPr="008F7B32">
        <w:t>zonder rechtmatig verblijf. Dit kan doordat er strenge vrijheidsbeperkende voorwaarden aan deze voorziening zijn gekoppeld. Conform het coalitieakkoord wordt gekeken naar de mogelijkheden om in Nederland een tijdelijke toezichtmaatregel ten behoeve van de nationale veiligheid in te voeren, naar analogie van het Verenigd Koninkrijk. Hierbij geldt als uitgangspunt dat de toezichtmaatregel geen (permanente) aanspraak op voorzieningen oplevert.</w:t>
      </w:r>
      <w:r w:rsidR="00F54363">
        <w:t xml:space="preserve"> Deze tijdelijke voorziening </w:t>
      </w:r>
      <w:r w:rsidR="00C613EB">
        <w:t xml:space="preserve">dient enkel ter bescherming van de nationale veiligheid en wordt zo ingericht dat er geen rechten uit voort komen. </w:t>
      </w:r>
    </w:p>
    <w:p w:rsidRPr="008F7B32" w:rsidR="002F2AE7" w:rsidP="008F7B32" w:rsidRDefault="002F2AE7" w14:paraId="54CCF1CF" w14:textId="77777777">
      <w:pPr>
        <w:spacing w:line="276" w:lineRule="auto"/>
        <w:jc w:val="both"/>
      </w:pPr>
    </w:p>
    <w:p w:rsidR="003A0187" w:rsidP="008F7B32" w:rsidRDefault="0090040A" w14:paraId="3FED9C72" w14:textId="7D8086BB">
      <w:pPr>
        <w:spacing w:line="276" w:lineRule="auto"/>
        <w:jc w:val="both"/>
      </w:pPr>
      <w:r w:rsidRPr="008F7B32">
        <w:t xml:space="preserve">Tot slot </w:t>
      </w:r>
      <w:r w:rsidRPr="008F7B32" w:rsidR="003A0187">
        <w:t xml:space="preserve">zijn gesprekken gevoerd met ketenpartners en lokale partners om bij </w:t>
      </w:r>
      <w:r w:rsidRPr="008F7B32">
        <w:t>onrechtmatig verblijvende ex-gedetineerde terrorismeveroordeelden met een hoog dreigingsprofiel</w:t>
      </w:r>
      <w:r w:rsidRPr="008F7B32" w:rsidDel="0090040A">
        <w:t xml:space="preserve"> </w:t>
      </w:r>
      <w:r w:rsidRPr="008F7B32" w:rsidR="003A0187">
        <w:t xml:space="preserve">meer zichtmomenten te creëren. Zo worden de mogelijkheden om toezicht te houden ter voorkoming van recidive onderzocht door onder meer Reclassering Nederland en betrokken operationele partners. Ook worden </w:t>
      </w:r>
      <w:r w:rsidRPr="008F7B32" w:rsidR="003A0187">
        <w:rPr>
          <w:i/>
          <w:iCs/>
        </w:rPr>
        <w:t xml:space="preserve">best </w:t>
      </w:r>
      <w:proofErr w:type="spellStart"/>
      <w:r w:rsidRPr="008F7B32" w:rsidR="003A0187">
        <w:rPr>
          <w:i/>
          <w:iCs/>
        </w:rPr>
        <w:t>practices</w:t>
      </w:r>
      <w:proofErr w:type="spellEnd"/>
      <w:r w:rsidRPr="008F7B32" w:rsidR="003A0187">
        <w:t xml:space="preserve"> gedeeld met lokale partners die in de toekomst</w:t>
      </w:r>
      <w:r w:rsidRPr="008F7B32" w:rsidR="002D7736">
        <w:t xml:space="preserve"> mogelijk</w:t>
      </w:r>
      <w:r w:rsidRPr="008F7B32" w:rsidR="003A0187">
        <w:t xml:space="preserve"> te maken krijgen met soortgelijke casuïstiek, om zo de inzet vanuit gemeenten te versterken. </w:t>
      </w:r>
      <w:r w:rsidRPr="002F2AE7" w:rsidR="003A0187">
        <w:t xml:space="preserve">Over de voortgang van </w:t>
      </w:r>
      <w:r w:rsidRPr="002F2AE7" w:rsidR="002F2AE7">
        <w:t xml:space="preserve">bovenstaande risico-mitigerende </w:t>
      </w:r>
      <w:r w:rsidRPr="002F2AE7" w:rsidR="003A0187">
        <w:t>maatregelen wordt uw Kamer</w:t>
      </w:r>
      <w:r w:rsidRPr="002F2AE7" w:rsidR="00086250">
        <w:t xml:space="preserve"> </w:t>
      </w:r>
      <w:r w:rsidRPr="002F2AE7" w:rsidR="00CC4649">
        <w:t xml:space="preserve">voor eind 2026 </w:t>
      </w:r>
      <w:r w:rsidRPr="002F2AE7" w:rsidR="003A0187">
        <w:t>geïnformeerd.</w:t>
      </w:r>
    </w:p>
    <w:p w:rsidRPr="008F7B32" w:rsidR="001B2679" w:rsidP="008F7B32" w:rsidRDefault="001B2679" w14:paraId="34534E25" w14:textId="77777777">
      <w:pPr>
        <w:spacing w:line="276" w:lineRule="auto"/>
        <w:jc w:val="both"/>
        <w:rPr>
          <w:b/>
          <w:bCs/>
        </w:rPr>
      </w:pPr>
    </w:p>
    <w:p w:rsidRPr="008F7B32" w:rsidR="00453D2D" w:rsidP="008F7B32" w:rsidRDefault="00855187" w14:paraId="6190F3CE" w14:textId="1AA12D4B">
      <w:pPr>
        <w:spacing w:line="276" w:lineRule="auto"/>
        <w:jc w:val="both"/>
        <w:rPr>
          <w:b/>
          <w:bCs/>
        </w:rPr>
      </w:pPr>
      <w:r w:rsidRPr="008F7B32">
        <w:rPr>
          <w:b/>
          <w:bCs/>
        </w:rPr>
        <w:t>Tot slot</w:t>
      </w:r>
    </w:p>
    <w:p w:rsidRPr="008F7B32" w:rsidR="00714D46" w:rsidP="008F7B32" w:rsidRDefault="00714D46" w14:paraId="42CEDC1D" w14:textId="09F9CD51">
      <w:pPr>
        <w:spacing w:line="276" w:lineRule="auto"/>
        <w:jc w:val="both"/>
      </w:pPr>
      <w:r w:rsidRPr="008F7B32">
        <w:t xml:space="preserve">De onvoorspelbare wereld anno 2026 brengt grote uitdagingen met zich mee om Nederland veilig te houden en te beschermen </w:t>
      </w:r>
      <w:r w:rsidRPr="008F7B32" w:rsidR="00D87A4A">
        <w:t xml:space="preserve">tegen </w:t>
      </w:r>
      <w:r w:rsidRPr="008F7B32">
        <w:t>terroristische dreigingen en aanslagen. De aanhoudende dreiging die uitgaat van terrorisme en extremisme vraagt om een vastberaden, doordachte en proportionele aanpak. In een tijd waarin veiligheid en vrijheid onder druk staan, is het van essentieel belang dat deze aanpak niet alleen effectief is, maar ook recht doet aan onze rechtsstaat en onze kernwaarden bescherm</w:t>
      </w:r>
      <w:r w:rsidRPr="008F7B32" w:rsidR="00C35805">
        <w:t>t</w:t>
      </w:r>
      <w:r w:rsidRPr="008F7B32">
        <w:t xml:space="preserve">. </w:t>
      </w:r>
    </w:p>
    <w:p w:rsidRPr="008F7B32" w:rsidR="00FE52FD" w:rsidP="008F7B32" w:rsidRDefault="00FE52FD" w14:paraId="21B2D798" w14:textId="77777777">
      <w:pPr>
        <w:spacing w:line="276" w:lineRule="auto"/>
        <w:jc w:val="both"/>
      </w:pPr>
    </w:p>
    <w:p w:rsidRPr="008F7B32" w:rsidR="00FE52FD" w:rsidP="008F7B32" w:rsidRDefault="00FE52FD" w14:paraId="255A7C29" w14:textId="77777777">
      <w:pPr>
        <w:spacing w:line="276" w:lineRule="auto"/>
        <w:jc w:val="both"/>
      </w:pPr>
    </w:p>
    <w:p w:rsidRPr="008F7B32" w:rsidR="002110EF" w:rsidP="008F7B32" w:rsidRDefault="00744C00" w14:paraId="0046CD7A" w14:textId="77777777">
      <w:pPr>
        <w:spacing w:line="276" w:lineRule="auto"/>
        <w:jc w:val="both"/>
      </w:pPr>
      <w:r w:rsidRPr="008F7B32">
        <w:t>De Minister van Justitie en Veiligheid,</w:t>
      </w:r>
    </w:p>
    <w:p w:rsidRPr="008F7B32" w:rsidR="002110EF" w:rsidP="008F7B32" w:rsidRDefault="002110EF" w14:paraId="37455F5E" w14:textId="77777777">
      <w:pPr>
        <w:spacing w:line="276" w:lineRule="auto"/>
        <w:jc w:val="both"/>
      </w:pPr>
    </w:p>
    <w:p w:rsidRPr="008F7B32" w:rsidR="00F029F0" w:rsidP="008F7B32" w:rsidRDefault="00F029F0" w14:paraId="0BC4D05F" w14:textId="77777777">
      <w:pPr>
        <w:spacing w:line="276" w:lineRule="auto"/>
        <w:jc w:val="both"/>
      </w:pPr>
    </w:p>
    <w:p w:rsidRPr="008F7B32" w:rsidR="00F029F0" w:rsidP="008F7B32" w:rsidRDefault="00F029F0" w14:paraId="397D2972" w14:textId="77777777">
      <w:pPr>
        <w:spacing w:line="276" w:lineRule="auto"/>
        <w:jc w:val="both"/>
      </w:pPr>
    </w:p>
    <w:p w:rsidRPr="008F7B32" w:rsidR="002110EF" w:rsidP="008F7B32" w:rsidRDefault="002110EF" w14:paraId="7B686CC4" w14:textId="77777777">
      <w:pPr>
        <w:spacing w:line="276" w:lineRule="auto"/>
        <w:jc w:val="both"/>
      </w:pPr>
    </w:p>
    <w:p w:rsidR="002110EF" w:rsidP="008F7B32" w:rsidRDefault="00744C00" w14:paraId="1EA86CAB" w14:textId="5AB79FF5">
      <w:pPr>
        <w:spacing w:line="276" w:lineRule="auto"/>
        <w:jc w:val="both"/>
      </w:pPr>
      <w:r w:rsidRPr="008F7B32">
        <w:t>D.</w:t>
      </w:r>
      <w:r w:rsidRPr="008F7B32" w:rsidR="00D22EA6">
        <w:t>M.</w:t>
      </w:r>
      <w:r w:rsidRPr="008F7B32">
        <w:t xml:space="preserve"> van We</w:t>
      </w:r>
      <w:r w:rsidRPr="008F7B32" w:rsidR="0039649B">
        <w:t>el</w:t>
      </w:r>
    </w:p>
    <w:p w:rsidR="00306E92" w:rsidP="008F7B32" w:rsidRDefault="00306E92" w14:paraId="3C81FE21" w14:textId="77777777">
      <w:pPr>
        <w:spacing w:line="276" w:lineRule="auto"/>
        <w:jc w:val="both"/>
      </w:pPr>
    </w:p>
    <w:p w:rsidR="00936BC8" w:rsidP="008F7B32" w:rsidRDefault="00936BC8" w14:paraId="1D416534" w14:textId="77777777">
      <w:pPr>
        <w:spacing w:line="276" w:lineRule="auto"/>
        <w:jc w:val="both"/>
      </w:pPr>
    </w:p>
    <w:p w:rsidRPr="00936BC8" w:rsidR="00936BC8" w:rsidP="00936BC8" w:rsidRDefault="00936BC8" w14:paraId="134385CA" w14:textId="77777777">
      <w:pPr>
        <w:spacing w:line="276" w:lineRule="auto"/>
        <w:jc w:val="both"/>
      </w:pPr>
      <w:r w:rsidRPr="00936BC8">
        <w:t xml:space="preserve">De Minister van Asiel en Migratie, </w:t>
      </w:r>
    </w:p>
    <w:p w:rsidRPr="00936BC8" w:rsidR="00936BC8" w:rsidP="00936BC8" w:rsidRDefault="00936BC8" w14:paraId="2070419E" w14:textId="77777777">
      <w:pPr>
        <w:spacing w:line="276" w:lineRule="auto"/>
        <w:jc w:val="both"/>
        <w:rPr>
          <w:i/>
          <w:iCs/>
        </w:rPr>
      </w:pPr>
    </w:p>
    <w:p w:rsidRPr="00936BC8" w:rsidR="00936BC8" w:rsidP="00936BC8" w:rsidRDefault="00936BC8" w14:paraId="0D921CD3" w14:textId="77777777">
      <w:pPr>
        <w:spacing w:line="276" w:lineRule="auto"/>
        <w:jc w:val="both"/>
        <w:rPr>
          <w:i/>
          <w:iCs/>
        </w:rPr>
      </w:pPr>
    </w:p>
    <w:p w:rsidRPr="00936BC8" w:rsidR="00936BC8" w:rsidP="00936BC8" w:rsidRDefault="00936BC8" w14:paraId="396876A3" w14:textId="77777777">
      <w:pPr>
        <w:spacing w:line="276" w:lineRule="auto"/>
        <w:jc w:val="both"/>
        <w:rPr>
          <w:i/>
          <w:iCs/>
        </w:rPr>
      </w:pPr>
    </w:p>
    <w:p w:rsidRPr="00936BC8" w:rsidR="00936BC8" w:rsidP="00936BC8" w:rsidRDefault="00936BC8" w14:paraId="779C1697" w14:textId="77777777">
      <w:pPr>
        <w:spacing w:line="276" w:lineRule="auto"/>
        <w:jc w:val="both"/>
        <w:rPr>
          <w:i/>
          <w:iCs/>
        </w:rPr>
      </w:pPr>
    </w:p>
    <w:p w:rsidRPr="00936BC8" w:rsidR="00936BC8" w:rsidP="00936BC8" w:rsidRDefault="00936BC8" w14:paraId="3A1B94B8" w14:textId="77777777">
      <w:pPr>
        <w:spacing w:line="276" w:lineRule="auto"/>
        <w:jc w:val="both"/>
      </w:pPr>
      <w:r w:rsidRPr="00936BC8">
        <w:t xml:space="preserve">Bart van den Brink </w:t>
      </w:r>
    </w:p>
    <w:p w:rsidRPr="00936BC8" w:rsidR="00936BC8" w:rsidP="00936BC8" w:rsidRDefault="00936BC8" w14:paraId="4F25260B" w14:textId="77777777">
      <w:pPr>
        <w:spacing w:line="276" w:lineRule="auto"/>
        <w:jc w:val="both"/>
      </w:pPr>
    </w:p>
    <w:p w:rsidRPr="008F7B32" w:rsidR="00936BC8" w:rsidP="008F7B32" w:rsidRDefault="00936BC8" w14:paraId="7F1020DF" w14:textId="77777777">
      <w:pPr>
        <w:spacing w:line="276" w:lineRule="auto"/>
        <w:jc w:val="both"/>
      </w:pPr>
    </w:p>
    <w:sectPr w:rsidRPr="008F7B32" w:rsidR="00936BC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C1474" w14:textId="77777777" w:rsidR="00AA7682" w:rsidRDefault="00AA7682">
      <w:pPr>
        <w:spacing w:line="240" w:lineRule="auto"/>
      </w:pPr>
      <w:r>
        <w:separator/>
      </w:r>
    </w:p>
  </w:endnote>
  <w:endnote w:type="continuationSeparator" w:id="0">
    <w:p w14:paraId="776D7F3B" w14:textId="77777777" w:rsidR="00AA7682" w:rsidRDefault="00AA76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Sans">
    <w:altName w:val="Sylfaen"/>
    <w:charset w:val="00"/>
    <w:family w:val="swiss"/>
    <w:pitch w:val="variable"/>
    <w:sig w:usb0="E7002EFF" w:usb1="D200FDFF" w:usb2="0A046029" w:usb3="00000000" w:csb0="800001FF" w:csb1="00000000"/>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EBBFE I+ Univers">
    <w:altName w:val="Univers"/>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59A5" w14:textId="77777777" w:rsidR="002110EF" w:rsidRDefault="002110E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88C9D" w14:textId="77777777" w:rsidR="00AA7682" w:rsidRDefault="00AA7682">
      <w:pPr>
        <w:spacing w:line="240" w:lineRule="auto"/>
      </w:pPr>
      <w:r>
        <w:separator/>
      </w:r>
    </w:p>
  </w:footnote>
  <w:footnote w:type="continuationSeparator" w:id="0">
    <w:p w14:paraId="6429BE0C" w14:textId="77777777" w:rsidR="00AA7682" w:rsidRDefault="00AA7682">
      <w:pPr>
        <w:spacing w:line="240" w:lineRule="auto"/>
      </w:pPr>
      <w:r>
        <w:continuationSeparator/>
      </w:r>
    </w:p>
  </w:footnote>
  <w:footnote w:id="1">
    <w:p w14:paraId="1B099359" w14:textId="57D99573" w:rsidR="00676E58" w:rsidRDefault="00676E58">
      <w:pPr>
        <w:pStyle w:val="Voetnoottekst"/>
      </w:pPr>
      <w:r w:rsidRPr="00B02E42">
        <w:rPr>
          <w:rStyle w:val="Voetnootmarkering"/>
          <w:sz w:val="16"/>
          <w:szCs w:val="16"/>
        </w:rPr>
        <w:footnoteRef/>
      </w:r>
      <w:r>
        <w:t xml:space="preserve"> </w:t>
      </w:r>
      <w:r w:rsidRPr="006A0D67">
        <w:rPr>
          <w:sz w:val="16"/>
          <w:szCs w:val="16"/>
        </w:rPr>
        <w:t>Dreigingsbeeld Terrorisme Nederland, december 2025.</w:t>
      </w:r>
    </w:p>
  </w:footnote>
  <w:footnote w:id="2">
    <w:p w14:paraId="3B130FCC" w14:textId="0CB2D687" w:rsidR="008F7B32" w:rsidRPr="006A0D67" w:rsidRDefault="008F7B32">
      <w:pPr>
        <w:pStyle w:val="Voetnoottekst"/>
        <w:rPr>
          <w:sz w:val="16"/>
          <w:szCs w:val="16"/>
        </w:rPr>
      </w:pPr>
      <w:r w:rsidRPr="006A0D67">
        <w:rPr>
          <w:rStyle w:val="Voetnootmarkering"/>
          <w:sz w:val="16"/>
          <w:szCs w:val="16"/>
        </w:rPr>
        <w:footnoteRef/>
      </w:r>
      <w:r w:rsidRPr="006A0D67">
        <w:rPr>
          <w:sz w:val="16"/>
          <w:szCs w:val="16"/>
        </w:rPr>
        <w:t xml:space="preserve"> Kamerstukken II, 2024-2025, 29754, nr. 753.</w:t>
      </w:r>
    </w:p>
  </w:footnote>
  <w:footnote w:id="3">
    <w:p w14:paraId="104EA5B4" w14:textId="597A11A3" w:rsidR="005C1BC5" w:rsidRDefault="005C1BC5">
      <w:pPr>
        <w:pStyle w:val="Voetnoottekst"/>
      </w:pPr>
      <w:r w:rsidRPr="006A0D67">
        <w:rPr>
          <w:rStyle w:val="Voetnootmarkering"/>
          <w:sz w:val="16"/>
          <w:szCs w:val="16"/>
        </w:rPr>
        <w:footnoteRef/>
      </w:r>
      <w:r>
        <w:t xml:space="preserve"> </w:t>
      </w:r>
      <w:r w:rsidR="006A0D67" w:rsidRPr="00341F5E">
        <w:rPr>
          <w:sz w:val="16"/>
          <w:szCs w:val="16"/>
        </w:rPr>
        <w:t>Kamerstukken II 2020-2021, 29754, nr. 597.</w:t>
      </w:r>
    </w:p>
  </w:footnote>
  <w:footnote w:id="4">
    <w:p w14:paraId="7BB9E1B9" w14:textId="0F931930" w:rsidR="00370361" w:rsidRPr="00370361" w:rsidRDefault="00370361">
      <w:pPr>
        <w:pStyle w:val="Voetnoottekst"/>
        <w:rPr>
          <w:sz w:val="16"/>
          <w:szCs w:val="16"/>
        </w:rPr>
      </w:pPr>
      <w:r w:rsidRPr="00370361">
        <w:rPr>
          <w:rStyle w:val="Voetnootmarkering"/>
          <w:sz w:val="16"/>
          <w:szCs w:val="16"/>
        </w:rPr>
        <w:footnoteRef/>
      </w:r>
      <w:r w:rsidRPr="00370361">
        <w:rPr>
          <w:sz w:val="16"/>
          <w:szCs w:val="16"/>
        </w:rPr>
        <w:t xml:space="preserve"> Kamerstukken II, 2026-2027, </w:t>
      </w:r>
      <w:r w:rsidR="00474B40">
        <w:rPr>
          <w:sz w:val="16"/>
          <w:szCs w:val="16"/>
        </w:rPr>
        <w:t>36800, nr. 81</w:t>
      </w:r>
      <w:r w:rsidRPr="00370361">
        <w:rPr>
          <w:sz w:val="16"/>
          <w:szCs w:val="16"/>
        </w:rPr>
        <w:t xml:space="preserve">; Kamerstukken II, 2026-2027, </w:t>
      </w:r>
      <w:r w:rsidR="00474B40">
        <w:rPr>
          <w:sz w:val="16"/>
          <w:szCs w:val="16"/>
        </w:rPr>
        <w:t>29754, nr. 776</w:t>
      </w:r>
      <w:r w:rsidRPr="00370361">
        <w:rPr>
          <w:sz w:val="16"/>
          <w:szCs w:val="16"/>
        </w:rPr>
        <w:t xml:space="preserve">. </w:t>
      </w:r>
    </w:p>
  </w:footnote>
  <w:footnote w:id="5">
    <w:p w14:paraId="5F01C0B7" w14:textId="34314385" w:rsidR="005D5DC1" w:rsidRPr="00474B40" w:rsidRDefault="005D5DC1" w:rsidP="005D5DC1">
      <w:pPr>
        <w:pStyle w:val="Voetnoottekst"/>
        <w:rPr>
          <w:sz w:val="16"/>
          <w:szCs w:val="16"/>
        </w:rPr>
      </w:pPr>
      <w:r w:rsidRPr="00474B40">
        <w:rPr>
          <w:rStyle w:val="Voetnootmarkering"/>
          <w:sz w:val="16"/>
          <w:szCs w:val="16"/>
        </w:rPr>
        <w:footnoteRef/>
      </w:r>
      <w:r w:rsidRPr="00474B40">
        <w:rPr>
          <w:sz w:val="16"/>
          <w:szCs w:val="16"/>
        </w:rPr>
        <w:t xml:space="preserve"> Kamerstukken II, 2025-2026, 21501, nr. 20.</w:t>
      </w:r>
    </w:p>
  </w:footnote>
  <w:footnote w:id="6">
    <w:p w14:paraId="3734F6BE" w14:textId="175853EC" w:rsidR="009F5BDE" w:rsidRPr="005748AC" w:rsidRDefault="009F5BDE">
      <w:pPr>
        <w:pStyle w:val="Voetnoottekst"/>
        <w:rPr>
          <w:sz w:val="16"/>
          <w:szCs w:val="16"/>
        </w:rPr>
      </w:pPr>
      <w:r w:rsidRPr="005748AC">
        <w:rPr>
          <w:rStyle w:val="Voetnootmarkering"/>
          <w:sz w:val="16"/>
          <w:szCs w:val="16"/>
        </w:rPr>
        <w:footnoteRef/>
      </w:r>
      <w:r w:rsidRPr="005748AC">
        <w:rPr>
          <w:sz w:val="16"/>
          <w:szCs w:val="16"/>
        </w:rPr>
        <w:t xml:space="preserve"> </w:t>
      </w:r>
      <w:r w:rsidRPr="003F23A8">
        <w:rPr>
          <w:sz w:val="16"/>
          <w:szCs w:val="16"/>
        </w:rPr>
        <w:t xml:space="preserve">Kamerstukken II, 2024-2025, 29 754, nr. 753. </w:t>
      </w:r>
    </w:p>
  </w:footnote>
  <w:footnote w:id="7">
    <w:p w14:paraId="3C6225AC" w14:textId="13E9A237" w:rsidR="003F23A8" w:rsidRPr="005748AC" w:rsidRDefault="003F23A8">
      <w:pPr>
        <w:pStyle w:val="Voetnoottekst"/>
        <w:rPr>
          <w:sz w:val="16"/>
          <w:szCs w:val="16"/>
        </w:rPr>
      </w:pPr>
      <w:r w:rsidRPr="005748AC">
        <w:rPr>
          <w:rStyle w:val="Voetnootmarkering"/>
          <w:sz w:val="16"/>
          <w:szCs w:val="16"/>
        </w:rPr>
        <w:footnoteRef/>
      </w:r>
      <w:r w:rsidRPr="005748AC">
        <w:rPr>
          <w:sz w:val="16"/>
          <w:szCs w:val="16"/>
        </w:rPr>
        <w:t xml:space="preserve"> Kamerstukken II, 2024-25, 29754, nr. 743.</w:t>
      </w:r>
    </w:p>
  </w:footnote>
  <w:footnote w:id="8">
    <w:p w14:paraId="093A0605" w14:textId="1E936DF1" w:rsidR="003F23A8" w:rsidRPr="005748AC" w:rsidRDefault="003F23A8">
      <w:pPr>
        <w:pStyle w:val="Voetnoottekst"/>
        <w:rPr>
          <w:sz w:val="16"/>
          <w:szCs w:val="16"/>
        </w:rPr>
      </w:pPr>
      <w:r w:rsidRPr="005748AC">
        <w:rPr>
          <w:rStyle w:val="Voetnootmarkering"/>
          <w:sz w:val="16"/>
          <w:szCs w:val="16"/>
        </w:rPr>
        <w:footnoteRef/>
      </w:r>
      <w:r w:rsidRPr="005748AC">
        <w:rPr>
          <w:sz w:val="16"/>
          <w:szCs w:val="16"/>
        </w:rPr>
        <w:t xml:space="preserve"> Kamerstukken II, 2024-25, 29754, nr. 743.</w:t>
      </w:r>
    </w:p>
  </w:footnote>
  <w:footnote w:id="9">
    <w:p w14:paraId="53D03AD4" w14:textId="7CEF2984" w:rsidR="00276D27" w:rsidRPr="00276D27" w:rsidRDefault="00276D27">
      <w:pPr>
        <w:pStyle w:val="Voetnoottekst"/>
        <w:rPr>
          <w:sz w:val="16"/>
          <w:szCs w:val="16"/>
        </w:rPr>
      </w:pPr>
      <w:r w:rsidRPr="00276D27">
        <w:rPr>
          <w:rStyle w:val="Voetnootmarkering"/>
          <w:sz w:val="16"/>
          <w:szCs w:val="16"/>
        </w:rPr>
        <w:footnoteRef/>
      </w:r>
      <w:r w:rsidRPr="00276D27">
        <w:rPr>
          <w:sz w:val="16"/>
          <w:szCs w:val="16"/>
        </w:rPr>
        <w:t xml:space="preserve"> Kamerstukken II 2025-2026, 36918, nr. 2</w:t>
      </w:r>
      <w:r w:rsidR="0021259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1EC8" w14:textId="6AFF12C7" w:rsidR="002110EF" w:rsidRDefault="00744C00">
    <w:r>
      <w:rPr>
        <w:noProof/>
      </w:rPr>
      <mc:AlternateContent>
        <mc:Choice Requires="wps">
          <w:drawing>
            <wp:anchor distT="0" distB="0" distL="0" distR="0" simplePos="0" relativeHeight="251652608" behindDoc="0" locked="1" layoutInCell="1" allowOverlap="1" wp14:anchorId="4E8CCAC4" wp14:editId="0A4BA7A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7C605B" w14:textId="0EF3AA40" w:rsidR="002110EF" w:rsidRDefault="00AD15E8">
                          <w:pPr>
                            <w:pStyle w:val="Referentiegegevens"/>
                          </w:pPr>
                          <w:r w:rsidRPr="00AD15E8">
                            <w:rPr>
                              <w:b/>
                              <w:bCs/>
                            </w:rPr>
                            <w:t>Ministerie van Justitie en Veiligheid</w:t>
                          </w:r>
                          <w:r w:rsidR="00A70CF7">
                            <w:br/>
                          </w:r>
                        </w:p>
                        <w:p w14:paraId="018933C4" w14:textId="77777777" w:rsidR="002110EF" w:rsidRDefault="002110EF">
                          <w:pPr>
                            <w:pStyle w:val="WitregelW2"/>
                          </w:pPr>
                        </w:p>
                        <w:p w14:paraId="07939C3B" w14:textId="77777777" w:rsidR="002110EF" w:rsidRDefault="00744C00">
                          <w:pPr>
                            <w:pStyle w:val="Referentiegegevensbold"/>
                          </w:pPr>
                          <w:r>
                            <w:t>Datum</w:t>
                          </w:r>
                        </w:p>
                        <w:p w14:paraId="44DD357D" w14:textId="20F76993" w:rsidR="002110EF" w:rsidRDefault="00AA7682">
                          <w:pPr>
                            <w:pStyle w:val="Referentiegegevens"/>
                          </w:pPr>
                          <w:sdt>
                            <w:sdtPr>
                              <w:id w:val="-2120279500"/>
                              <w:date w:fullDate="2026-04-22T00:00:00Z">
                                <w:dateFormat w:val="d MMMM yyyy"/>
                                <w:lid w:val="nl"/>
                                <w:storeMappedDataAs w:val="dateTime"/>
                                <w:calendar w:val="gregorian"/>
                              </w:date>
                            </w:sdtPr>
                            <w:sdtEndPr/>
                            <w:sdtContent>
                              <w:r w:rsidR="001034B6">
                                <w:rPr>
                                  <w:lang w:val="nl"/>
                                </w:rPr>
                                <w:t>22 april 2026</w:t>
                              </w:r>
                            </w:sdtContent>
                          </w:sdt>
                        </w:p>
                        <w:p w14:paraId="7559C846" w14:textId="77777777" w:rsidR="002110EF" w:rsidRDefault="002110EF">
                          <w:pPr>
                            <w:pStyle w:val="WitregelW1"/>
                          </w:pPr>
                        </w:p>
                        <w:p w14:paraId="10650F15" w14:textId="77777777" w:rsidR="002110EF" w:rsidRDefault="00744C00">
                          <w:pPr>
                            <w:pStyle w:val="Referentiegegevensbold"/>
                          </w:pPr>
                          <w:r>
                            <w:t>Onze referentie</w:t>
                          </w:r>
                        </w:p>
                        <w:p w14:paraId="1000509B" w14:textId="722E6D7E" w:rsidR="002110EF" w:rsidRDefault="009D6319">
                          <w:pPr>
                            <w:pStyle w:val="Referentiegegevens"/>
                          </w:pPr>
                          <w:r>
                            <w:t>7240488</w:t>
                          </w:r>
                        </w:p>
                      </w:txbxContent>
                    </wps:txbx>
                    <wps:bodyPr vert="horz" wrap="square" lIns="0" tIns="0" rIns="0" bIns="0" anchor="t" anchorCtr="0"/>
                  </wps:wsp>
                </a:graphicData>
              </a:graphic>
            </wp:anchor>
          </w:drawing>
        </mc:Choice>
        <mc:Fallback>
          <w:pict>
            <v:shapetype w14:anchorId="4E8CCAC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F7C605B" w14:textId="0EF3AA40" w:rsidR="002110EF" w:rsidRDefault="00AD15E8">
                    <w:pPr>
                      <w:pStyle w:val="Referentiegegevens"/>
                    </w:pPr>
                    <w:r w:rsidRPr="00AD15E8">
                      <w:rPr>
                        <w:b/>
                        <w:bCs/>
                      </w:rPr>
                      <w:t>Ministerie van Justitie en Veiligheid</w:t>
                    </w:r>
                    <w:r w:rsidR="00A70CF7">
                      <w:br/>
                    </w:r>
                  </w:p>
                  <w:p w14:paraId="018933C4" w14:textId="77777777" w:rsidR="002110EF" w:rsidRDefault="002110EF">
                    <w:pPr>
                      <w:pStyle w:val="WitregelW2"/>
                    </w:pPr>
                  </w:p>
                  <w:p w14:paraId="07939C3B" w14:textId="77777777" w:rsidR="002110EF" w:rsidRDefault="00744C00">
                    <w:pPr>
                      <w:pStyle w:val="Referentiegegevensbold"/>
                    </w:pPr>
                    <w:r>
                      <w:t>Datum</w:t>
                    </w:r>
                  </w:p>
                  <w:p w14:paraId="44DD357D" w14:textId="20F76993" w:rsidR="002110EF" w:rsidRDefault="00AA7682">
                    <w:pPr>
                      <w:pStyle w:val="Referentiegegevens"/>
                    </w:pPr>
                    <w:sdt>
                      <w:sdtPr>
                        <w:id w:val="-2120279500"/>
                        <w:date w:fullDate="2026-04-22T00:00:00Z">
                          <w:dateFormat w:val="d MMMM yyyy"/>
                          <w:lid w:val="nl"/>
                          <w:storeMappedDataAs w:val="dateTime"/>
                          <w:calendar w:val="gregorian"/>
                        </w:date>
                      </w:sdtPr>
                      <w:sdtEndPr/>
                      <w:sdtContent>
                        <w:r w:rsidR="001034B6">
                          <w:rPr>
                            <w:lang w:val="nl"/>
                          </w:rPr>
                          <w:t>22 april 2026</w:t>
                        </w:r>
                      </w:sdtContent>
                    </w:sdt>
                  </w:p>
                  <w:p w14:paraId="7559C846" w14:textId="77777777" w:rsidR="002110EF" w:rsidRDefault="002110EF">
                    <w:pPr>
                      <w:pStyle w:val="WitregelW1"/>
                    </w:pPr>
                  </w:p>
                  <w:p w14:paraId="10650F15" w14:textId="77777777" w:rsidR="002110EF" w:rsidRDefault="00744C00">
                    <w:pPr>
                      <w:pStyle w:val="Referentiegegevensbold"/>
                    </w:pPr>
                    <w:r>
                      <w:t>Onze referentie</w:t>
                    </w:r>
                  </w:p>
                  <w:p w14:paraId="1000509B" w14:textId="722E6D7E" w:rsidR="002110EF" w:rsidRDefault="009D6319">
                    <w:pPr>
                      <w:pStyle w:val="Referentiegegevens"/>
                    </w:pPr>
                    <w:r>
                      <w:t>7240488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36AB0F2" wp14:editId="7F12E52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5E60E83" w14:textId="77777777" w:rsidR="006219A6" w:rsidRDefault="006219A6"/>
                      </w:txbxContent>
                    </wps:txbx>
                    <wps:bodyPr vert="horz" wrap="square" lIns="0" tIns="0" rIns="0" bIns="0" anchor="t" anchorCtr="0"/>
                  </wps:wsp>
                </a:graphicData>
              </a:graphic>
            </wp:anchor>
          </w:drawing>
        </mc:Choice>
        <mc:Fallback>
          <w:pict>
            <v:shape w14:anchorId="136AB0F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5E60E83" w14:textId="77777777" w:rsidR="006219A6" w:rsidRDefault="006219A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2ED7CE2" wp14:editId="3BDCA5A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C6A7C0" w14:textId="22C3CC2A" w:rsidR="002110EF" w:rsidRDefault="00744C00">
                          <w:pPr>
                            <w:pStyle w:val="Referentiegegevens"/>
                          </w:pPr>
                          <w:r>
                            <w:t xml:space="preserve">Pagina </w:t>
                          </w:r>
                          <w:r>
                            <w:fldChar w:fldCharType="begin"/>
                          </w:r>
                          <w:r>
                            <w:instrText>PAGE</w:instrText>
                          </w:r>
                          <w:r>
                            <w:fldChar w:fldCharType="separate"/>
                          </w:r>
                          <w:r w:rsidR="00CB5710">
                            <w:rPr>
                              <w:noProof/>
                            </w:rPr>
                            <w:t>2</w:t>
                          </w:r>
                          <w:r>
                            <w:fldChar w:fldCharType="end"/>
                          </w:r>
                          <w:r>
                            <w:t xml:space="preserve"> van </w:t>
                          </w:r>
                          <w:r>
                            <w:fldChar w:fldCharType="begin"/>
                          </w:r>
                          <w:r>
                            <w:instrText>NUMPAGES</w:instrText>
                          </w:r>
                          <w:r>
                            <w:fldChar w:fldCharType="separate"/>
                          </w:r>
                          <w:r w:rsidR="00CB5710">
                            <w:rPr>
                              <w:noProof/>
                            </w:rPr>
                            <w:t>1</w:t>
                          </w:r>
                          <w:r>
                            <w:fldChar w:fldCharType="end"/>
                          </w:r>
                        </w:p>
                      </w:txbxContent>
                    </wps:txbx>
                    <wps:bodyPr vert="horz" wrap="square" lIns="0" tIns="0" rIns="0" bIns="0" anchor="t" anchorCtr="0"/>
                  </wps:wsp>
                </a:graphicData>
              </a:graphic>
            </wp:anchor>
          </w:drawing>
        </mc:Choice>
        <mc:Fallback>
          <w:pict>
            <v:shape w14:anchorId="12ED7CE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5C6A7C0" w14:textId="22C3CC2A" w:rsidR="002110EF" w:rsidRDefault="00744C00">
                    <w:pPr>
                      <w:pStyle w:val="Referentiegegevens"/>
                    </w:pPr>
                    <w:r>
                      <w:t xml:space="preserve">Pagina </w:t>
                    </w:r>
                    <w:r>
                      <w:fldChar w:fldCharType="begin"/>
                    </w:r>
                    <w:r>
                      <w:instrText>PAGE</w:instrText>
                    </w:r>
                    <w:r>
                      <w:fldChar w:fldCharType="separate"/>
                    </w:r>
                    <w:r w:rsidR="00CB5710">
                      <w:rPr>
                        <w:noProof/>
                      </w:rPr>
                      <w:t>2</w:t>
                    </w:r>
                    <w:r>
                      <w:fldChar w:fldCharType="end"/>
                    </w:r>
                    <w:r>
                      <w:t xml:space="preserve"> van </w:t>
                    </w:r>
                    <w:r>
                      <w:fldChar w:fldCharType="begin"/>
                    </w:r>
                    <w:r>
                      <w:instrText>NUMPAGES</w:instrText>
                    </w:r>
                    <w:r>
                      <w:fldChar w:fldCharType="separate"/>
                    </w:r>
                    <w:r w:rsidR="00CB571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8FA0" w14:textId="3CFF47D3" w:rsidR="002110EF" w:rsidRDefault="00744C00">
    <w:pPr>
      <w:spacing w:after="6377" w:line="14" w:lineRule="exact"/>
    </w:pPr>
    <w:r>
      <w:rPr>
        <w:noProof/>
      </w:rPr>
      <mc:AlternateContent>
        <mc:Choice Requires="wps">
          <w:drawing>
            <wp:anchor distT="0" distB="0" distL="0" distR="0" simplePos="0" relativeHeight="251655680" behindDoc="0" locked="1" layoutInCell="1" allowOverlap="1" wp14:anchorId="1ACC7A79" wp14:editId="3183364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32D0645" w14:textId="6887A8DB" w:rsidR="002F325F" w:rsidRDefault="001034B6" w:rsidP="00A36994">
                          <w:pPr>
                            <w:pStyle w:val="adres"/>
                          </w:pPr>
                          <w:r w:rsidRPr="001034B6">
                            <w:t xml:space="preserve">Aan </w:t>
                          </w:r>
                          <w:r w:rsidR="00A36994" w:rsidRPr="001034B6">
                            <w:t xml:space="preserve">de Voorzitter van de </w:t>
                          </w:r>
                          <w:r w:rsidR="00F4447B" w:rsidRPr="001034B6">
                            <w:t xml:space="preserve">Tweede Kamer </w:t>
                          </w:r>
                          <w:r w:rsidR="0071283A" w:rsidRPr="001034B6">
                            <w:br/>
                          </w:r>
                          <w:r w:rsidR="00F4447B" w:rsidRPr="001034B6">
                            <w:t>der</w:t>
                          </w:r>
                          <w:r w:rsidR="00F4447B">
                            <w:t xml:space="preserve"> Staten-Generaal</w:t>
                          </w:r>
                        </w:p>
                        <w:p w14:paraId="60C37690" w14:textId="77777777" w:rsidR="002F325F" w:rsidRDefault="002F325F" w:rsidP="00A36994">
                          <w:pPr>
                            <w:pStyle w:val="adres"/>
                          </w:pPr>
                          <w:r>
                            <w:t>Postbus 20018</w:t>
                          </w:r>
                        </w:p>
                        <w:p w14:paraId="58441B47" w14:textId="34A17AE7" w:rsidR="00A36994" w:rsidRPr="00A3241D" w:rsidRDefault="002F325F" w:rsidP="00A36994">
                          <w:pPr>
                            <w:pStyle w:val="adres"/>
                          </w:pPr>
                          <w:r>
                            <w:t>2500 EA DEN HAAG</w:t>
                          </w:r>
                          <w:r w:rsidR="00A36994" w:rsidRPr="00A3241D">
                            <w:fldChar w:fldCharType="begin"/>
                          </w:r>
                          <w:r w:rsidR="00A36994" w:rsidRPr="00A3241D">
                            <w:instrText xml:space="preserve"> DOCVARIABLE adres *\MERGEFORMAT </w:instrText>
                          </w:r>
                          <w:r w:rsidR="00A36994" w:rsidRPr="00A3241D">
                            <w:fldChar w:fldCharType="end"/>
                          </w:r>
                        </w:p>
                        <w:p w14:paraId="6546F212" w14:textId="3DB0D914" w:rsidR="002110EF" w:rsidRDefault="002110EF"/>
                      </w:txbxContent>
                    </wps:txbx>
                    <wps:bodyPr vert="horz" wrap="square" lIns="0" tIns="0" rIns="0" bIns="0" anchor="t" anchorCtr="0"/>
                  </wps:wsp>
                </a:graphicData>
              </a:graphic>
            </wp:anchor>
          </w:drawing>
        </mc:Choice>
        <mc:Fallback>
          <w:pict>
            <v:shapetype w14:anchorId="1ACC7A7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32D0645" w14:textId="6887A8DB" w:rsidR="002F325F" w:rsidRDefault="001034B6" w:rsidP="00A36994">
                    <w:pPr>
                      <w:pStyle w:val="adres"/>
                    </w:pPr>
                    <w:r w:rsidRPr="001034B6">
                      <w:t xml:space="preserve">Aan </w:t>
                    </w:r>
                    <w:r w:rsidR="00A36994" w:rsidRPr="001034B6">
                      <w:t xml:space="preserve">de Voorzitter van de </w:t>
                    </w:r>
                    <w:r w:rsidR="00F4447B" w:rsidRPr="001034B6">
                      <w:t xml:space="preserve">Tweede Kamer </w:t>
                    </w:r>
                    <w:r w:rsidR="0071283A" w:rsidRPr="001034B6">
                      <w:br/>
                    </w:r>
                    <w:r w:rsidR="00F4447B" w:rsidRPr="001034B6">
                      <w:t>der</w:t>
                    </w:r>
                    <w:r w:rsidR="00F4447B">
                      <w:t xml:space="preserve"> Staten-Generaal</w:t>
                    </w:r>
                  </w:p>
                  <w:p w14:paraId="60C37690" w14:textId="77777777" w:rsidR="002F325F" w:rsidRDefault="002F325F" w:rsidP="00A36994">
                    <w:pPr>
                      <w:pStyle w:val="adres"/>
                    </w:pPr>
                    <w:r>
                      <w:t>Postbus 20018</w:t>
                    </w:r>
                  </w:p>
                  <w:p w14:paraId="58441B47" w14:textId="34A17AE7" w:rsidR="00A36994" w:rsidRPr="00A3241D" w:rsidRDefault="002F325F" w:rsidP="00A36994">
                    <w:pPr>
                      <w:pStyle w:val="adres"/>
                    </w:pPr>
                    <w:r>
                      <w:t>2500 EA DEN HAAG</w:t>
                    </w:r>
                    <w:r w:rsidR="00A36994" w:rsidRPr="00A3241D">
                      <w:fldChar w:fldCharType="begin"/>
                    </w:r>
                    <w:r w:rsidR="00A36994" w:rsidRPr="00A3241D">
                      <w:instrText xml:space="preserve"> DOCVARIABLE adres *\MERGEFORMAT </w:instrText>
                    </w:r>
                    <w:r w:rsidR="00A36994" w:rsidRPr="00A3241D">
                      <w:fldChar w:fldCharType="end"/>
                    </w:r>
                  </w:p>
                  <w:p w14:paraId="6546F212" w14:textId="3DB0D914" w:rsidR="002110EF" w:rsidRDefault="002110EF"/>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1C5C565" wp14:editId="6B325C60">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110EF" w14:paraId="5D95E4D2" w14:textId="77777777">
                            <w:trPr>
                              <w:trHeight w:val="240"/>
                            </w:trPr>
                            <w:tc>
                              <w:tcPr>
                                <w:tcW w:w="1140" w:type="dxa"/>
                              </w:tcPr>
                              <w:p w14:paraId="33C18393" w14:textId="77777777" w:rsidR="002110EF" w:rsidRDefault="00744C00">
                                <w:r>
                                  <w:t>Datum</w:t>
                                </w:r>
                              </w:p>
                            </w:tc>
                            <w:tc>
                              <w:tcPr>
                                <w:tcW w:w="5918" w:type="dxa"/>
                              </w:tcPr>
                              <w:p w14:paraId="21E15C12" w14:textId="775D0AE0" w:rsidR="002110EF" w:rsidRDefault="00AA7682">
                                <w:sdt>
                                  <w:sdtPr>
                                    <w:id w:val="-1585052573"/>
                                    <w:date w:fullDate="2026-04-22T00:00:00Z">
                                      <w:dateFormat w:val="d MMMM yyyy"/>
                                      <w:lid w:val="nl"/>
                                      <w:storeMappedDataAs w:val="dateTime"/>
                                      <w:calendar w:val="gregorian"/>
                                    </w:date>
                                  </w:sdtPr>
                                  <w:sdtEndPr/>
                                  <w:sdtContent>
                                    <w:r w:rsidR="005E3F90">
                                      <w:rPr>
                                        <w:lang w:val="nl"/>
                                      </w:rPr>
                                      <w:t>2</w:t>
                                    </w:r>
                                    <w:r w:rsidR="00A4642C">
                                      <w:rPr>
                                        <w:lang w:val="nl"/>
                                      </w:rPr>
                                      <w:t>2</w:t>
                                    </w:r>
                                    <w:r w:rsidR="00903FCA">
                                      <w:rPr>
                                        <w:lang w:val="nl"/>
                                      </w:rPr>
                                      <w:t xml:space="preserve"> april 2026</w:t>
                                    </w:r>
                                  </w:sdtContent>
                                </w:sdt>
                              </w:p>
                            </w:tc>
                          </w:tr>
                          <w:tr w:rsidR="002110EF" w14:paraId="3B4C1893" w14:textId="77777777">
                            <w:trPr>
                              <w:trHeight w:val="240"/>
                            </w:trPr>
                            <w:tc>
                              <w:tcPr>
                                <w:tcW w:w="1140" w:type="dxa"/>
                              </w:tcPr>
                              <w:p w14:paraId="5A7834AA" w14:textId="77777777" w:rsidR="002110EF" w:rsidRDefault="00744C00">
                                <w:r>
                                  <w:t>Betreft</w:t>
                                </w:r>
                              </w:p>
                            </w:tc>
                            <w:tc>
                              <w:tcPr>
                                <w:tcW w:w="5918" w:type="dxa"/>
                              </w:tcPr>
                              <w:p w14:paraId="50893892" w14:textId="45337BDA" w:rsidR="002110EF" w:rsidRDefault="004264B0">
                                <w:r>
                                  <w:t>Coördinatie operationeel contraterrorismebeleid</w:t>
                                </w:r>
                              </w:p>
                            </w:tc>
                          </w:tr>
                        </w:tbl>
                        <w:p w14:paraId="71578994" w14:textId="77777777" w:rsidR="006219A6" w:rsidRDefault="006219A6"/>
                      </w:txbxContent>
                    </wps:txbx>
                    <wps:bodyPr vert="horz" wrap="square" lIns="0" tIns="0" rIns="0" bIns="0" anchor="t" anchorCtr="0"/>
                  </wps:wsp>
                </a:graphicData>
              </a:graphic>
            </wp:anchor>
          </w:drawing>
        </mc:Choice>
        <mc:Fallback>
          <w:pict>
            <v:shape w14:anchorId="11C5C565"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110EF" w14:paraId="5D95E4D2" w14:textId="77777777">
                      <w:trPr>
                        <w:trHeight w:val="240"/>
                      </w:trPr>
                      <w:tc>
                        <w:tcPr>
                          <w:tcW w:w="1140" w:type="dxa"/>
                        </w:tcPr>
                        <w:p w14:paraId="33C18393" w14:textId="77777777" w:rsidR="002110EF" w:rsidRDefault="00744C00">
                          <w:r>
                            <w:t>Datum</w:t>
                          </w:r>
                        </w:p>
                      </w:tc>
                      <w:tc>
                        <w:tcPr>
                          <w:tcW w:w="5918" w:type="dxa"/>
                        </w:tcPr>
                        <w:p w14:paraId="21E15C12" w14:textId="775D0AE0" w:rsidR="002110EF" w:rsidRDefault="00AA7682">
                          <w:sdt>
                            <w:sdtPr>
                              <w:id w:val="-1585052573"/>
                              <w:date w:fullDate="2026-04-22T00:00:00Z">
                                <w:dateFormat w:val="d MMMM yyyy"/>
                                <w:lid w:val="nl"/>
                                <w:storeMappedDataAs w:val="dateTime"/>
                                <w:calendar w:val="gregorian"/>
                              </w:date>
                            </w:sdtPr>
                            <w:sdtEndPr/>
                            <w:sdtContent>
                              <w:r w:rsidR="005E3F90">
                                <w:rPr>
                                  <w:lang w:val="nl"/>
                                </w:rPr>
                                <w:t>2</w:t>
                              </w:r>
                              <w:r w:rsidR="00A4642C">
                                <w:rPr>
                                  <w:lang w:val="nl"/>
                                </w:rPr>
                                <w:t>2</w:t>
                              </w:r>
                              <w:r w:rsidR="00903FCA">
                                <w:rPr>
                                  <w:lang w:val="nl"/>
                                </w:rPr>
                                <w:t xml:space="preserve"> april 2026</w:t>
                              </w:r>
                            </w:sdtContent>
                          </w:sdt>
                        </w:p>
                      </w:tc>
                    </w:tr>
                    <w:tr w:rsidR="002110EF" w14:paraId="3B4C1893" w14:textId="77777777">
                      <w:trPr>
                        <w:trHeight w:val="240"/>
                      </w:trPr>
                      <w:tc>
                        <w:tcPr>
                          <w:tcW w:w="1140" w:type="dxa"/>
                        </w:tcPr>
                        <w:p w14:paraId="5A7834AA" w14:textId="77777777" w:rsidR="002110EF" w:rsidRDefault="00744C00">
                          <w:r>
                            <w:t>Betreft</w:t>
                          </w:r>
                        </w:p>
                      </w:tc>
                      <w:tc>
                        <w:tcPr>
                          <w:tcW w:w="5918" w:type="dxa"/>
                        </w:tcPr>
                        <w:p w14:paraId="50893892" w14:textId="45337BDA" w:rsidR="002110EF" w:rsidRDefault="004264B0">
                          <w:r>
                            <w:t>Coördinatie operationeel contraterrorismebeleid</w:t>
                          </w:r>
                        </w:p>
                      </w:tc>
                    </w:tr>
                  </w:tbl>
                  <w:p w14:paraId="71578994" w14:textId="77777777" w:rsidR="006219A6" w:rsidRDefault="006219A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60EC0EB" wp14:editId="17DC574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96E0EA" w14:textId="77777777" w:rsidR="00A36994" w:rsidRDefault="00A36994" w:rsidP="00A36994">
                          <w:pPr>
                            <w:pStyle w:val="afzendgegevens-bold"/>
                          </w:pPr>
                          <w:r>
                            <w:t xml:space="preserve">Ministerie van Justitie en Veiligheid </w:t>
                          </w:r>
                        </w:p>
                        <w:p w14:paraId="303F5437" w14:textId="77777777" w:rsidR="00A36994" w:rsidRDefault="00A36994" w:rsidP="00A36994">
                          <w:pPr>
                            <w:pStyle w:val="witregel1"/>
                          </w:pPr>
                          <w:r>
                            <w:t> </w:t>
                          </w:r>
                        </w:p>
                        <w:p w14:paraId="088E8858" w14:textId="77777777" w:rsidR="00A36994" w:rsidRDefault="00A36994" w:rsidP="00A36994">
                          <w:pPr>
                            <w:pStyle w:val="afzendgegevens"/>
                          </w:pPr>
                          <w:r>
                            <w:t>Turfmarkt 147</w:t>
                          </w:r>
                        </w:p>
                        <w:p w14:paraId="5F113A96" w14:textId="77777777" w:rsidR="00A36994" w:rsidRPr="004D4B7C" w:rsidRDefault="00A36994" w:rsidP="00A36994">
                          <w:pPr>
                            <w:pStyle w:val="afzendgegevens"/>
                            <w:rPr>
                              <w:lang w:val="de-DE"/>
                            </w:rPr>
                          </w:pPr>
                          <w:r w:rsidRPr="004D4B7C">
                            <w:rPr>
                              <w:lang w:val="de-DE"/>
                            </w:rPr>
                            <w:t>2511 DP  Den Haag</w:t>
                          </w:r>
                        </w:p>
                        <w:p w14:paraId="3301632F" w14:textId="77777777" w:rsidR="00A36994" w:rsidRPr="004D4B7C" w:rsidRDefault="00A36994" w:rsidP="00A36994">
                          <w:pPr>
                            <w:pStyle w:val="afzendgegevens"/>
                            <w:rPr>
                              <w:lang w:val="de-DE"/>
                            </w:rPr>
                          </w:pPr>
                          <w:r w:rsidRPr="004D4B7C">
                            <w:rPr>
                              <w:lang w:val="de-DE"/>
                            </w:rPr>
                            <w:t>Postbus 20301</w:t>
                          </w:r>
                        </w:p>
                        <w:p w14:paraId="5746E1FB" w14:textId="77777777" w:rsidR="00A36994" w:rsidRPr="004D4B7C" w:rsidRDefault="00A36994" w:rsidP="00A36994">
                          <w:pPr>
                            <w:pStyle w:val="afzendgegevens"/>
                            <w:rPr>
                              <w:lang w:val="de-DE"/>
                            </w:rPr>
                          </w:pPr>
                          <w:r w:rsidRPr="004D4B7C">
                            <w:rPr>
                              <w:lang w:val="de-DE"/>
                            </w:rPr>
                            <w:t>2500 EH  Den Haag</w:t>
                          </w:r>
                        </w:p>
                        <w:p w14:paraId="55584734" w14:textId="77777777" w:rsidR="00A36994" w:rsidRPr="004D4B7C" w:rsidRDefault="00A36994" w:rsidP="00A36994">
                          <w:pPr>
                            <w:pStyle w:val="afzendgegevens"/>
                            <w:rPr>
                              <w:lang w:val="de-DE"/>
                            </w:rPr>
                          </w:pPr>
                          <w:r w:rsidRPr="004D4B7C">
                            <w:rPr>
                              <w:lang w:val="de-DE"/>
                            </w:rPr>
                            <w:t>www.rijksoverheid.nl/jenv</w:t>
                          </w:r>
                        </w:p>
                        <w:p w14:paraId="7EDC900E" w14:textId="77777777" w:rsidR="00A36994" w:rsidRPr="006847BB" w:rsidRDefault="00A36994" w:rsidP="00A36994">
                          <w:pPr>
                            <w:pStyle w:val="witregel2"/>
                            <w:rPr>
                              <w:lang w:val="de-DE"/>
                            </w:rPr>
                          </w:pPr>
                          <w:r w:rsidRPr="006847BB">
                            <w:rPr>
                              <w:lang w:val="de-DE"/>
                            </w:rPr>
                            <w:t> </w:t>
                          </w:r>
                        </w:p>
                        <w:p w14:paraId="6E8F6E9B" w14:textId="77777777" w:rsidR="00A36994" w:rsidRDefault="00A36994" w:rsidP="00A36994">
                          <w:pPr>
                            <w:pStyle w:val="referentiekopjes"/>
                          </w:pPr>
                          <w:r>
                            <w:t>Ons kenmerk</w:t>
                          </w:r>
                        </w:p>
                        <w:p w14:paraId="38092530" w14:textId="11ECC20B" w:rsidR="00A36994" w:rsidRDefault="0048182A" w:rsidP="00A36994">
                          <w:pPr>
                            <w:pStyle w:val="Referentiegegevens"/>
                          </w:pPr>
                          <w:r>
                            <w:t>72</w:t>
                          </w:r>
                          <w:r w:rsidR="00F33D5D">
                            <w:t>40488</w:t>
                          </w:r>
                        </w:p>
                        <w:p w14:paraId="5228F01D" w14:textId="77777777" w:rsidR="001034B6" w:rsidRDefault="001034B6" w:rsidP="001034B6"/>
                        <w:p w14:paraId="488E0059" w14:textId="1D24CAB1" w:rsidR="001034B6" w:rsidRPr="001034B6" w:rsidRDefault="001034B6" w:rsidP="001034B6">
                          <w:pPr>
                            <w:rPr>
                              <w:b/>
                              <w:bCs/>
                              <w:sz w:val="13"/>
                              <w:szCs w:val="13"/>
                            </w:rPr>
                          </w:pPr>
                          <w:r w:rsidRPr="001034B6">
                            <w:rPr>
                              <w:b/>
                              <w:bCs/>
                              <w:sz w:val="13"/>
                              <w:szCs w:val="13"/>
                            </w:rPr>
                            <w:t>Bijlagen</w:t>
                          </w:r>
                        </w:p>
                        <w:p w14:paraId="16878C9F" w14:textId="2780B3E8" w:rsidR="001034B6" w:rsidRPr="001034B6" w:rsidRDefault="001034B6" w:rsidP="001034B6">
                          <w:pPr>
                            <w:rPr>
                              <w:sz w:val="13"/>
                              <w:szCs w:val="13"/>
                            </w:rPr>
                          </w:pPr>
                          <w:r w:rsidRPr="001034B6">
                            <w:rPr>
                              <w:sz w:val="13"/>
                              <w:szCs w:val="13"/>
                            </w:rPr>
                            <w:t>1</w:t>
                          </w:r>
                        </w:p>
                        <w:p w14:paraId="1AECF808" w14:textId="77777777" w:rsidR="00A36994" w:rsidRDefault="00A36994" w:rsidP="00A36994">
                          <w:pPr>
                            <w:pStyle w:val="witregel1"/>
                          </w:pPr>
                          <w:r>
                            <w:t> </w:t>
                          </w:r>
                        </w:p>
                        <w:p w14:paraId="27C9B6CA" w14:textId="77777777" w:rsidR="001034B6" w:rsidRDefault="001034B6" w:rsidP="00A36994">
                          <w:pPr>
                            <w:pStyle w:val="witregel1"/>
                          </w:pPr>
                        </w:p>
                        <w:p w14:paraId="1B010EC2" w14:textId="77777777" w:rsidR="002110EF" w:rsidRPr="00A36994" w:rsidRDefault="002110EF">
                          <w:pPr>
                            <w:pStyle w:val="WitregelW2"/>
                          </w:pPr>
                        </w:p>
                        <w:p w14:paraId="129FE506" w14:textId="51E4832B" w:rsidR="002110EF" w:rsidRPr="006847BB" w:rsidRDefault="002110EF">
                          <w:pPr>
                            <w:pStyle w:val="Referentiegegevensbold"/>
                          </w:pPr>
                        </w:p>
                      </w:txbxContent>
                    </wps:txbx>
                    <wps:bodyPr vert="horz" wrap="square" lIns="0" tIns="0" rIns="0" bIns="0" anchor="t" anchorCtr="0"/>
                  </wps:wsp>
                </a:graphicData>
              </a:graphic>
            </wp:anchor>
          </w:drawing>
        </mc:Choice>
        <mc:Fallback>
          <w:pict>
            <v:shape w14:anchorId="060EC0E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D96E0EA" w14:textId="77777777" w:rsidR="00A36994" w:rsidRDefault="00A36994" w:rsidP="00A36994">
                    <w:pPr>
                      <w:pStyle w:val="afzendgegevens-bold"/>
                    </w:pPr>
                    <w:r>
                      <w:t xml:space="preserve">Ministerie van Justitie en Veiligheid </w:t>
                    </w:r>
                  </w:p>
                  <w:p w14:paraId="303F5437" w14:textId="77777777" w:rsidR="00A36994" w:rsidRDefault="00A36994" w:rsidP="00A36994">
                    <w:pPr>
                      <w:pStyle w:val="witregel1"/>
                    </w:pPr>
                    <w:r>
                      <w:t> </w:t>
                    </w:r>
                  </w:p>
                  <w:p w14:paraId="088E8858" w14:textId="77777777" w:rsidR="00A36994" w:rsidRDefault="00A36994" w:rsidP="00A36994">
                    <w:pPr>
                      <w:pStyle w:val="afzendgegevens"/>
                    </w:pPr>
                    <w:r>
                      <w:t>Turfmarkt 147</w:t>
                    </w:r>
                  </w:p>
                  <w:p w14:paraId="5F113A96" w14:textId="77777777" w:rsidR="00A36994" w:rsidRPr="004D4B7C" w:rsidRDefault="00A36994" w:rsidP="00A36994">
                    <w:pPr>
                      <w:pStyle w:val="afzendgegevens"/>
                      <w:rPr>
                        <w:lang w:val="de-DE"/>
                      </w:rPr>
                    </w:pPr>
                    <w:r w:rsidRPr="004D4B7C">
                      <w:rPr>
                        <w:lang w:val="de-DE"/>
                      </w:rPr>
                      <w:t>2511 DP  Den Haag</w:t>
                    </w:r>
                  </w:p>
                  <w:p w14:paraId="3301632F" w14:textId="77777777" w:rsidR="00A36994" w:rsidRPr="004D4B7C" w:rsidRDefault="00A36994" w:rsidP="00A36994">
                    <w:pPr>
                      <w:pStyle w:val="afzendgegevens"/>
                      <w:rPr>
                        <w:lang w:val="de-DE"/>
                      </w:rPr>
                    </w:pPr>
                    <w:r w:rsidRPr="004D4B7C">
                      <w:rPr>
                        <w:lang w:val="de-DE"/>
                      </w:rPr>
                      <w:t>Postbus 20301</w:t>
                    </w:r>
                  </w:p>
                  <w:p w14:paraId="5746E1FB" w14:textId="77777777" w:rsidR="00A36994" w:rsidRPr="004D4B7C" w:rsidRDefault="00A36994" w:rsidP="00A36994">
                    <w:pPr>
                      <w:pStyle w:val="afzendgegevens"/>
                      <w:rPr>
                        <w:lang w:val="de-DE"/>
                      </w:rPr>
                    </w:pPr>
                    <w:r w:rsidRPr="004D4B7C">
                      <w:rPr>
                        <w:lang w:val="de-DE"/>
                      </w:rPr>
                      <w:t>2500 EH  Den Haag</w:t>
                    </w:r>
                  </w:p>
                  <w:p w14:paraId="55584734" w14:textId="77777777" w:rsidR="00A36994" w:rsidRPr="004D4B7C" w:rsidRDefault="00A36994" w:rsidP="00A36994">
                    <w:pPr>
                      <w:pStyle w:val="afzendgegevens"/>
                      <w:rPr>
                        <w:lang w:val="de-DE"/>
                      </w:rPr>
                    </w:pPr>
                    <w:r w:rsidRPr="004D4B7C">
                      <w:rPr>
                        <w:lang w:val="de-DE"/>
                      </w:rPr>
                      <w:t>www.rijksoverheid.nl/jenv</w:t>
                    </w:r>
                  </w:p>
                  <w:p w14:paraId="7EDC900E" w14:textId="77777777" w:rsidR="00A36994" w:rsidRPr="006847BB" w:rsidRDefault="00A36994" w:rsidP="00A36994">
                    <w:pPr>
                      <w:pStyle w:val="witregel2"/>
                      <w:rPr>
                        <w:lang w:val="de-DE"/>
                      </w:rPr>
                    </w:pPr>
                    <w:r w:rsidRPr="006847BB">
                      <w:rPr>
                        <w:lang w:val="de-DE"/>
                      </w:rPr>
                      <w:t> </w:t>
                    </w:r>
                  </w:p>
                  <w:p w14:paraId="6E8F6E9B" w14:textId="77777777" w:rsidR="00A36994" w:rsidRDefault="00A36994" w:rsidP="00A36994">
                    <w:pPr>
                      <w:pStyle w:val="referentiekopjes"/>
                    </w:pPr>
                    <w:r>
                      <w:t>Ons kenmerk</w:t>
                    </w:r>
                  </w:p>
                  <w:p w14:paraId="38092530" w14:textId="11ECC20B" w:rsidR="00A36994" w:rsidRDefault="0048182A" w:rsidP="00A36994">
                    <w:pPr>
                      <w:pStyle w:val="Referentiegegevens"/>
                    </w:pPr>
                    <w:r>
                      <w:t>72</w:t>
                    </w:r>
                    <w:r w:rsidR="00F33D5D">
                      <w:t>40488</w:t>
                    </w:r>
                  </w:p>
                  <w:p w14:paraId="5228F01D" w14:textId="77777777" w:rsidR="001034B6" w:rsidRDefault="001034B6" w:rsidP="001034B6"/>
                  <w:p w14:paraId="488E0059" w14:textId="1D24CAB1" w:rsidR="001034B6" w:rsidRPr="001034B6" w:rsidRDefault="001034B6" w:rsidP="001034B6">
                    <w:pPr>
                      <w:rPr>
                        <w:b/>
                        <w:bCs/>
                        <w:sz w:val="13"/>
                        <w:szCs w:val="13"/>
                      </w:rPr>
                    </w:pPr>
                    <w:r w:rsidRPr="001034B6">
                      <w:rPr>
                        <w:b/>
                        <w:bCs/>
                        <w:sz w:val="13"/>
                        <w:szCs w:val="13"/>
                      </w:rPr>
                      <w:t>Bijlagen</w:t>
                    </w:r>
                  </w:p>
                  <w:p w14:paraId="16878C9F" w14:textId="2780B3E8" w:rsidR="001034B6" w:rsidRPr="001034B6" w:rsidRDefault="001034B6" w:rsidP="001034B6">
                    <w:pPr>
                      <w:rPr>
                        <w:sz w:val="13"/>
                        <w:szCs w:val="13"/>
                      </w:rPr>
                    </w:pPr>
                    <w:r w:rsidRPr="001034B6">
                      <w:rPr>
                        <w:sz w:val="13"/>
                        <w:szCs w:val="13"/>
                      </w:rPr>
                      <w:t>1</w:t>
                    </w:r>
                  </w:p>
                  <w:p w14:paraId="1AECF808" w14:textId="77777777" w:rsidR="00A36994" w:rsidRDefault="00A36994" w:rsidP="00A36994">
                    <w:pPr>
                      <w:pStyle w:val="witregel1"/>
                    </w:pPr>
                    <w:r>
                      <w:t> </w:t>
                    </w:r>
                  </w:p>
                  <w:p w14:paraId="27C9B6CA" w14:textId="77777777" w:rsidR="001034B6" w:rsidRDefault="001034B6" w:rsidP="00A36994">
                    <w:pPr>
                      <w:pStyle w:val="witregel1"/>
                    </w:pPr>
                  </w:p>
                  <w:p w14:paraId="1B010EC2" w14:textId="77777777" w:rsidR="002110EF" w:rsidRPr="00A36994" w:rsidRDefault="002110EF">
                    <w:pPr>
                      <w:pStyle w:val="WitregelW2"/>
                    </w:pPr>
                  </w:p>
                  <w:p w14:paraId="129FE506" w14:textId="51E4832B" w:rsidR="002110EF" w:rsidRPr="006847BB" w:rsidRDefault="002110EF">
                    <w:pPr>
                      <w:pStyle w:val="Referentiegegevensbold"/>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04C79FD" wp14:editId="10F0849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510FE6" w14:textId="77777777" w:rsidR="006219A6" w:rsidRDefault="006219A6"/>
                      </w:txbxContent>
                    </wps:txbx>
                    <wps:bodyPr vert="horz" wrap="square" lIns="0" tIns="0" rIns="0" bIns="0" anchor="t" anchorCtr="0"/>
                  </wps:wsp>
                </a:graphicData>
              </a:graphic>
            </wp:anchor>
          </w:drawing>
        </mc:Choice>
        <mc:Fallback>
          <w:pict>
            <v:shape w14:anchorId="004C79F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0510FE6" w14:textId="77777777" w:rsidR="006219A6" w:rsidRDefault="006219A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61BC96E" wp14:editId="230B861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D124572" w14:textId="77777777" w:rsidR="002110EF" w:rsidRDefault="00744C00">
                          <w:pPr>
                            <w:pStyle w:val="Referentiegegevens"/>
                          </w:pPr>
                          <w:r>
                            <w:t xml:space="preserve">Pagina </w:t>
                          </w:r>
                          <w:r>
                            <w:fldChar w:fldCharType="begin"/>
                          </w:r>
                          <w:r>
                            <w:instrText>PAGE</w:instrText>
                          </w:r>
                          <w:r>
                            <w:fldChar w:fldCharType="separate"/>
                          </w:r>
                          <w:r w:rsidR="00CB5710">
                            <w:rPr>
                              <w:noProof/>
                            </w:rPr>
                            <w:t>1</w:t>
                          </w:r>
                          <w:r>
                            <w:fldChar w:fldCharType="end"/>
                          </w:r>
                          <w:r>
                            <w:t xml:space="preserve"> van </w:t>
                          </w:r>
                          <w:r>
                            <w:fldChar w:fldCharType="begin"/>
                          </w:r>
                          <w:r>
                            <w:instrText>NUMPAGES</w:instrText>
                          </w:r>
                          <w:r>
                            <w:fldChar w:fldCharType="separate"/>
                          </w:r>
                          <w:r w:rsidR="00CB5710">
                            <w:rPr>
                              <w:noProof/>
                            </w:rPr>
                            <w:t>1</w:t>
                          </w:r>
                          <w:r>
                            <w:fldChar w:fldCharType="end"/>
                          </w:r>
                        </w:p>
                      </w:txbxContent>
                    </wps:txbx>
                    <wps:bodyPr vert="horz" wrap="square" lIns="0" tIns="0" rIns="0" bIns="0" anchor="t" anchorCtr="0"/>
                  </wps:wsp>
                </a:graphicData>
              </a:graphic>
            </wp:anchor>
          </w:drawing>
        </mc:Choice>
        <mc:Fallback>
          <w:pict>
            <v:shape w14:anchorId="761BC96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D124572" w14:textId="77777777" w:rsidR="002110EF" w:rsidRDefault="00744C00">
                    <w:pPr>
                      <w:pStyle w:val="Referentiegegevens"/>
                    </w:pPr>
                    <w:r>
                      <w:t xml:space="preserve">Pagina </w:t>
                    </w:r>
                    <w:r>
                      <w:fldChar w:fldCharType="begin"/>
                    </w:r>
                    <w:r>
                      <w:instrText>PAGE</w:instrText>
                    </w:r>
                    <w:r>
                      <w:fldChar w:fldCharType="separate"/>
                    </w:r>
                    <w:r w:rsidR="00CB5710">
                      <w:rPr>
                        <w:noProof/>
                      </w:rPr>
                      <w:t>1</w:t>
                    </w:r>
                    <w:r>
                      <w:fldChar w:fldCharType="end"/>
                    </w:r>
                    <w:r>
                      <w:t xml:space="preserve"> van </w:t>
                    </w:r>
                    <w:r>
                      <w:fldChar w:fldCharType="begin"/>
                    </w:r>
                    <w:r>
                      <w:instrText>NUMPAGES</w:instrText>
                    </w:r>
                    <w:r>
                      <w:fldChar w:fldCharType="separate"/>
                    </w:r>
                    <w:r w:rsidR="00CB571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C23F973" wp14:editId="5B25632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1A29052" w14:textId="77777777" w:rsidR="002110EF" w:rsidRDefault="00744C00">
                          <w:pPr>
                            <w:spacing w:line="240" w:lineRule="auto"/>
                          </w:pPr>
                          <w:r>
                            <w:rPr>
                              <w:noProof/>
                            </w:rPr>
                            <w:drawing>
                              <wp:inline distT="0" distB="0" distL="0" distR="0" wp14:anchorId="195296EC" wp14:editId="1074A89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23F97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1A29052" w14:textId="77777777" w:rsidR="002110EF" w:rsidRDefault="00744C00">
                    <w:pPr>
                      <w:spacing w:line="240" w:lineRule="auto"/>
                    </w:pPr>
                    <w:r>
                      <w:rPr>
                        <w:noProof/>
                      </w:rPr>
                      <w:drawing>
                        <wp:inline distT="0" distB="0" distL="0" distR="0" wp14:anchorId="195296EC" wp14:editId="1074A89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458C53A" wp14:editId="1C930C8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8B8340" w14:textId="54571517" w:rsidR="002110EF" w:rsidRDefault="00A36994">
                          <w:pPr>
                            <w:spacing w:line="240" w:lineRule="auto"/>
                          </w:pPr>
                          <w:bookmarkStart w:id="6" w:name="woordmerk_bk"/>
                          <w:r>
                            <w:rPr>
                              <w:noProof/>
                            </w:rPr>
                            <w:drawing>
                              <wp:inline distT="0" distB="0" distL="0" distR="0" wp14:anchorId="2BD0FCB5" wp14:editId="6D810274">
                                <wp:extent cx="2339975" cy="1582626"/>
                                <wp:effectExtent l="0" t="0" r="3175" b="0"/>
                                <wp:docPr id="1246765761" name="Afbeelding 124676576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1582626"/>
                                        </a:xfrm>
                                        <a:prstGeom prst="rect">
                                          <a:avLst/>
                                        </a:prstGeom>
                                      </pic:spPr>
                                    </pic:pic>
                                  </a:graphicData>
                                </a:graphic>
                              </wp:inline>
                            </w:drawing>
                          </w:r>
                          <w:bookmarkEnd w:id="6"/>
                          <w:r w:rsidR="00744C00">
                            <w:rPr>
                              <w:noProof/>
                            </w:rPr>
                            <w:drawing>
                              <wp:inline distT="0" distB="0" distL="0" distR="0" wp14:anchorId="66755072" wp14:editId="3D9C1535">
                                <wp:extent cx="2339975" cy="1582834"/>
                                <wp:effectExtent l="0" t="0" r="0" b="0"/>
                                <wp:docPr id="12" name="Logotyp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58C53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A8B8340" w14:textId="54571517" w:rsidR="002110EF" w:rsidRDefault="00A36994">
                    <w:pPr>
                      <w:spacing w:line="240" w:lineRule="auto"/>
                    </w:pPr>
                    <w:bookmarkStart w:id="7" w:name="woordmerk_bk"/>
                    <w:r>
                      <w:rPr>
                        <w:noProof/>
                      </w:rPr>
                      <w:drawing>
                        <wp:inline distT="0" distB="0" distL="0" distR="0" wp14:anchorId="2BD0FCB5" wp14:editId="6D810274">
                          <wp:extent cx="2339975" cy="1582626"/>
                          <wp:effectExtent l="0" t="0" r="3175" b="0"/>
                          <wp:docPr id="1246765761" name="Afbeelding 124676576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1582626"/>
                                  </a:xfrm>
                                  <a:prstGeom prst="rect">
                                    <a:avLst/>
                                  </a:prstGeom>
                                </pic:spPr>
                              </pic:pic>
                            </a:graphicData>
                          </a:graphic>
                        </wp:inline>
                      </w:drawing>
                    </w:r>
                    <w:bookmarkEnd w:id="7"/>
                    <w:r w:rsidR="00744C00">
                      <w:rPr>
                        <w:noProof/>
                      </w:rPr>
                      <w:drawing>
                        <wp:inline distT="0" distB="0" distL="0" distR="0" wp14:anchorId="66755072" wp14:editId="3D9C1535">
                          <wp:extent cx="2339975" cy="1582834"/>
                          <wp:effectExtent l="0" t="0" r="0" b="0"/>
                          <wp:docPr id="12" name="Logotyp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05545D4" wp14:editId="7264B03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9AD5ED" w14:textId="1493134F" w:rsidR="002110EF" w:rsidRDefault="00744C00">
                          <w:pPr>
                            <w:pStyle w:val="Referentiegegevens"/>
                          </w:pPr>
                          <w:r>
                            <w:t>&gt; Retouradres</w:t>
                          </w:r>
                          <w:r w:rsidR="00B1129C">
                            <w:t xml:space="preserve"> Postbus 202301 2500 EH Den Haag</w:t>
                          </w:r>
                          <w:r>
                            <w:t xml:space="preserve">   </w:t>
                          </w:r>
                        </w:p>
                      </w:txbxContent>
                    </wps:txbx>
                    <wps:bodyPr vert="horz" wrap="square" lIns="0" tIns="0" rIns="0" bIns="0" anchor="t" anchorCtr="0"/>
                  </wps:wsp>
                </a:graphicData>
              </a:graphic>
            </wp:anchor>
          </w:drawing>
        </mc:Choice>
        <mc:Fallback>
          <w:pict>
            <v:shape w14:anchorId="505545D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79AD5ED" w14:textId="1493134F" w:rsidR="002110EF" w:rsidRDefault="00744C00">
                    <w:pPr>
                      <w:pStyle w:val="Referentiegegevens"/>
                    </w:pPr>
                    <w:r>
                      <w:t>&gt; Retouradres</w:t>
                    </w:r>
                    <w:r w:rsidR="00B1129C">
                      <w:t xml:space="preserve"> Postbus 202301 2500 EH Den Haag</w:t>
                    </w:r>
                    <w:r>
                      <w:t xml:space="preserve">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BC6133"/>
    <w:multiLevelType w:val="multilevel"/>
    <w:tmpl w:val="22BDB85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7E69037"/>
    <w:multiLevelType w:val="multilevel"/>
    <w:tmpl w:val="18124C3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28C6BA8"/>
    <w:multiLevelType w:val="multilevel"/>
    <w:tmpl w:val="D89B414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6A34F98"/>
    <w:multiLevelType w:val="multilevel"/>
    <w:tmpl w:val="7E435D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0DA34A5D"/>
    <w:multiLevelType w:val="multilevel"/>
    <w:tmpl w:val="780E21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11163072"/>
    <w:multiLevelType w:val="hybridMultilevel"/>
    <w:tmpl w:val="FA8EC0AC"/>
    <w:lvl w:ilvl="0" w:tplc="6A98DD9A">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CE2113"/>
    <w:multiLevelType w:val="hybridMultilevel"/>
    <w:tmpl w:val="3552E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E22162"/>
    <w:multiLevelType w:val="multilevel"/>
    <w:tmpl w:val="BEA8A58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2D320279"/>
    <w:multiLevelType w:val="hybridMultilevel"/>
    <w:tmpl w:val="25801A6E"/>
    <w:lvl w:ilvl="0" w:tplc="3AC05E4A">
      <w:start w:val="1"/>
      <w:numFmt w:val="decimal"/>
      <w:lvlText w:val="%1."/>
      <w:lvlJc w:val="left"/>
      <w:pPr>
        <w:ind w:left="1020" w:hanging="360"/>
      </w:pPr>
    </w:lvl>
    <w:lvl w:ilvl="1" w:tplc="CA468C8C">
      <w:start w:val="1"/>
      <w:numFmt w:val="decimal"/>
      <w:lvlText w:val="%2."/>
      <w:lvlJc w:val="left"/>
      <w:pPr>
        <w:ind w:left="1020" w:hanging="360"/>
      </w:pPr>
    </w:lvl>
    <w:lvl w:ilvl="2" w:tplc="47A29328">
      <w:start w:val="1"/>
      <w:numFmt w:val="decimal"/>
      <w:lvlText w:val="%3."/>
      <w:lvlJc w:val="left"/>
      <w:pPr>
        <w:ind w:left="1020" w:hanging="360"/>
      </w:pPr>
    </w:lvl>
    <w:lvl w:ilvl="3" w:tplc="DAA2FCCA">
      <w:start w:val="1"/>
      <w:numFmt w:val="decimal"/>
      <w:lvlText w:val="%4."/>
      <w:lvlJc w:val="left"/>
      <w:pPr>
        <w:ind w:left="1020" w:hanging="360"/>
      </w:pPr>
    </w:lvl>
    <w:lvl w:ilvl="4" w:tplc="6C06B8F2">
      <w:start w:val="1"/>
      <w:numFmt w:val="decimal"/>
      <w:lvlText w:val="%5."/>
      <w:lvlJc w:val="left"/>
      <w:pPr>
        <w:ind w:left="1020" w:hanging="360"/>
      </w:pPr>
    </w:lvl>
    <w:lvl w:ilvl="5" w:tplc="A6C67A24">
      <w:start w:val="1"/>
      <w:numFmt w:val="decimal"/>
      <w:lvlText w:val="%6."/>
      <w:lvlJc w:val="left"/>
      <w:pPr>
        <w:ind w:left="1020" w:hanging="360"/>
      </w:pPr>
    </w:lvl>
    <w:lvl w:ilvl="6" w:tplc="4CE2D04C">
      <w:start w:val="1"/>
      <w:numFmt w:val="decimal"/>
      <w:lvlText w:val="%7."/>
      <w:lvlJc w:val="left"/>
      <w:pPr>
        <w:ind w:left="1020" w:hanging="360"/>
      </w:pPr>
    </w:lvl>
    <w:lvl w:ilvl="7" w:tplc="68DC5A04">
      <w:start w:val="1"/>
      <w:numFmt w:val="decimal"/>
      <w:lvlText w:val="%8."/>
      <w:lvlJc w:val="left"/>
      <w:pPr>
        <w:ind w:left="1020" w:hanging="360"/>
      </w:pPr>
    </w:lvl>
    <w:lvl w:ilvl="8" w:tplc="E2D82DEE">
      <w:start w:val="1"/>
      <w:numFmt w:val="decimal"/>
      <w:lvlText w:val="%9."/>
      <w:lvlJc w:val="left"/>
      <w:pPr>
        <w:ind w:left="1020" w:hanging="360"/>
      </w:pPr>
    </w:lvl>
  </w:abstractNum>
  <w:abstractNum w:abstractNumId="11" w15:restartNumberingAfterBreak="0">
    <w:nsid w:val="365B0288"/>
    <w:multiLevelType w:val="multilevel"/>
    <w:tmpl w:val="4CBB7AD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3BF1466F"/>
    <w:multiLevelType w:val="hybridMultilevel"/>
    <w:tmpl w:val="BBC0297E"/>
    <w:lvl w:ilvl="0" w:tplc="9D46033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2464606"/>
    <w:multiLevelType w:val="hybridMultilevel"/>
    <w:tmpl w:val="3294E1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60C00BD"/>
    <w:multiLevelType w:val="hybridMultilevel"/>
    <w:tmpl w:val="1DE896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CB87460"/>
    <w:multiLevelType w:val="hybridMultilevel"/>
    <w:tmpl w:val="8E562358"/>
    <w:lvl w:ilvl="0" w:tplc="BDA0213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BEC2648"/>
    <w:multiLevelType w:val="hybridMultilevel"/>
    <w:tmpl w:val="7FC2B78E"/>
    <w:lvl w:ilvl="0" w:tplc="7CF64A4A">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B72056"/>
    <w:multiLevelType w:val="hybridMultilevel"/>
    <w:tmpl w:val="60FC236C"/>
    <w:lvl w:ilvl="0" w:tplc="0EB48742">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6606984">
    <w:abstractNumId w:val="0"/>
  </w:num>
  <w:num w:numId="2" w16cid:durableId="1494637843">
    <w:abstractNumId w:val="9"/>
  </w:num>
  <w:num w:numId="3" w16cid:durableId="1704208669">
    <w:abstractNumId w:val="2"/>
  </w:num>
  <w:num w:numId="4" w16cid:durableId="835925015">
    <w:abstractNumId w:val="3"/>
  </w:num>
  <w:num w:numId="5" w16cid:durableId="48193851">
    <w:abstractNumId w:val="1"/>
  </w:num>
  <w:num w:numId="6" w16cid:durableId="1310400001">
    <w:abstractNumId w:val="11"/>
  </w:num>
  <w:num w:numId="7" w16cid:durableId="1509637279">
    <w:abstractNumId w:val="12"/>
  </w:num>
  <w:num w:numId="8" w16cid:durableId="1165438228">
    <w:abstractNumId w:val="6"/>
  </w:num>
  <w:num w:numId="9" w16cid:durableId="1123570788">
    <w:abstractNumId w:val="14"/>
  </w:num>
  <w:num w:numId="10" w16cid:durableId="690885521">
    <w:abstractNumId w:val="5"/>
  </w:num>
  <w:num w:numId="11" w16cid:durableId="1996294353">
    <w:abstractNumId w:val="4"/>
  </w:num>
  <w:num w:numId="12" w16cid:durableId="474490668">
    <w:abstractNumId w:val="17"/>
  </w:num>
  <w:num w:numId="13" w16cid:durableId="531460608">
    <w:abstractNumId w:val="7"/>
  </w:num>
  <w:num w:numId="14" w16cid:durableId="682317704">
    <w:abstractNumId w:val="13"/>
  </w:num>
  <w:num w:numId="15" w16cid:durableId="639194955">
    <w:abstractNumId w:val="8"/>
  </w:num>
  <w:num w:numId="16" w16cid:durableId="96562542">
    <w:abstractNumId w:val="15"/>
  </w:num>
  <w:num w:numId="17" w16cid:durableId="228613551">
    <w:abstractNumId w:val="16"/>
  </w:num>
  <w:num w:numId="18" w16cid:durableId="9996976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10"/>
    <w:rsid w:val="00003AA4"/>
    <w:rsid w:val="00010F6E"/>
    <w:rsid w:val="00011A99"/>
    <w:rsid w:val="00011BDA"/>
    <w:rsid w:val="00013018"/>
    <w:rsid w:val="00022D78"/>
    <w:rsid w:val="00025336"/>
    <w:rsid w:val="00025429"/>
    <w:rsid w:val="00025901"/>
    <w:rsid w:val="0003023F"/>
    <w:rsid w:val="000311F2"/>
    <w:rsid w:val="00032E1B"/>
    <w:rsid w:val="0003300A"/>
    <w:rsid w:val="0003763E"/>
    <w:rsid w:val="0004016F"/>
    <w:rsid w:val="00050E8A"/>
    <w:rsid w:val="00053B75"/>
    <w:rsid w:val="00055D49"/>
    <w:rsid w:val="00056B06"/>
    <w:rsid w:val="00057040"/>
    <w:rsid w:val="0005757A"/>
    <w:rsid w:val="00064F37"/>
    <w:rsid w:val="0006604F"/>
    <w:rsid w:val="00066630"/>
    <w:rsid w:val="00066944"/>
    <w:rsid w:val="00070A54"/>
    <w:rsid w:val="0007152B"/>
    <w:rsid w:val="00073F38"/>
    <w:rsid w:val="000741C2"/>
    <w:rsid w:val="00074E37"/>
    <w:rsid w:val="0008437A"/>
    <w:rsid w:val="00084EE0"/>
    <w:rsid w:val="00086250"/>
    <w:rsid w:val="0008786A"/>
    <w:rsid w:val="00087ABD"/>
    <w:rsid w:val="00087DD6"/>
    <w:rsid w:val="0009054D"/>
    <w:rsid w:val="0009317E"/>
    <w:rsid w:val="000933CF"/>
    <w:rsid w:val="0009432B"/>
    <w:rsid w:val="000949DF"/>
    <w:rsid w:val="00094B91"/>
    <w:rsid w:val="000957B3"/>
    <w:rsid w:val="00096753"/>
    <w:rsid w:val="000967F6"/>
    <w:rsid w:val="000A1859"/>
    <w:rsid w:val="000A3BF1"/>
    <w:rsid w:val="000A472E"/>
    <w:rsid w:val="000A5D4D"/>
    <w:rsid w:val="000A6C4C"/>
    <w:rsid w:val="000A74C3"/>
    <w:rsid w:val="000B0A41"/>
    <w:rsid w:val="000B0BB9"/>
    <w:rsid w:val="000B159A"/>
    <w:rsid w:val="000B3EFE"/>
    <w:rsid w:val="000B4391"/>
    <w:rsid w:val="000B6003"/>
    <w:rsid w:val="000C13A7"/>
    <w:rsid w:val="000C163F"/>
    <w:rsid w:val="000C1DA3"/>
    <w:rsid w:val="000C26FA"/>
    <w:rsid w:val="000C300D"/>
    <w:rsid w:val="000C3239"/>
    <w:rsid w:val="000C3743"/>
    <w:rsid w:val="000C50F1"/>
    <w:rsid w:val="000D0E8F"/>
    <w:rsid w:val="000D3437"/>
    <w:rsid w:val="000D3C51"/>
    <w:rsid w:val="000D4F03"/>
    <w:rsid w:val="000D7672"/>
    <w:rsid w:val="000E0EF2"/>
    <w:rsid w:val="000E12E4"/>
    <w:rsid w:val="000E3B7B"/>
    <w:rsid w:val="000E69BF"/>
    <w:rsid w:val="000F0FCB"/>
    <w:rsid w:val="000F39D5"/>
    <w:rsid w:val="000F4A8D"/>
    <w:rsid w:val="000F4D4C"/>
    <w:rsid w:val="000F77A6"/>
    <w:rsid w:val="00101E11"/>
    <w:rsid w:val="001021E3"/>
    <w:rsid w:val="00103317"/>
    <w:rsid w:val="001034B6"/>
    <w:rsid w:val="0010535D"/>
    <w:rsid w:val="001103D0"/>
    <w:rsid w:val="00111BE4"/>
    <w:rsid w:val="0011779D"/>
    <w:rsid w:val="001200DF"/>
    <w:rsid w:val="001202E3"/>
    <w:rsid w:val="00121473"/>
    <w:rsid w:val="00121F23"/>
    <w:rsid w:val="00125461"/>
    <w:rsid w:val="0012641E"/>
    <w:rsid w:val="00126F7D"/>
    <w:rsid w:val="00127C3D"/>
    <w:rsid w:val="00130B34"/>
    <w:rsid w:val="00132085"/>
    <w:rsid w:val="00143185"/>
    <w:rsid w:val="00145862"/>
    <w:rsid w:val="001501D1"/>
    <w:rsid w:val="00150387"/>
    <w:rsid w:val="00155098"/>
    <w:rsid w:val="0015659A"/>
    <w:rsid w:val="001579D6"/>
    <w:rsid w:val="001607EA"/>
    <w:rsid w:val="001621DC"/>
    <w:rsid w:val="00164279"/>
    <w:rsid w:val="00167599"/>
    <w:rsid w:val="00167B21"/>
    <w:rsid w:val="00171984"/>
    <w:rsid w:val="00172EB5"/>
    <w:rsid w:val="001731CE"/>
    <w:rsid w:val="00180064"/>
    <w:rsid w:val="0018392F"/>
    <w:rsid w:val="00184574"/>
    <w:rsid w:val="00184E27"/>
    <w:rsid w:val="0019001D"/>
    <w:rsid w:val="00190A50"/>
    <w:rsid w:val="001914E2"/>
    <w:rsid w:val="00192C4D"/>
    <w:rsid w:val="00196BDE"/>
    <w:rsid w:val="001A7A77"/>
    <w:rsid w:val="001B067B"/>
    <w:rsid w:val="001B1FF9"/>
    <w:rsid w:val="001B2679"/>
    <w:rsid w:val="001C1FBB"/>
    <w:rsid w:val="001C23EA"/>
    <w:rsid w:val="001D1900"/>
    <w:rsid w:val="001D2D72"/>
    <w:rsid w:val="001D4D43"/>
    <w:rsid w:val="001E07DC"/>
    <w:rsid w:val="001E2CCA"/>
    <w:rsid w:val="001E5644"/>
    <w:rsid w:val="001E5E99"/>
    <w:rsid w:val="001E6C1A"/>
    <w:rsid w:val="001E6E68"/>
    <w:rsid w:val="001E7790"/>
    <w:rsid w:val="001F02E7"/>
    <w:rsid w:val="001F1736"/>
    <w:rsid w:val="001F17B5"/>
    <w:rsid w:val="001F2010"/>
    <w:rsid w:val="001F2631"/>
    <w:rsid w:val="001F4504"/>
    <w:rsid w:val="001F56C0"/>
    <w:rsid w:val="001F5A45"/>
    <w:rsid w:val="001F5F13"/>
    <w:rsid w:val="001F7635"/>
    <w:rsid w:val="00207506"/>
    <w:rsid w:val="002110EF"/>
    <w:rsid w:val="002117F8"/>
    <w:rsid w:val="0021259F"/>
    <w:rsid w:val="00213301"/>
    <w:rsid w:val="00214E0A"/>
    <w:rsid w:val="002206F8"/>
    <w:rsid w:val="002208F1"/>
    <w:rsid w:val="00220A7E"/>
    <w:rsid w:val="00220E7A"/>
    <w:rsid w:val="002254FB"/>
    <w:rsid w:val="002267B4"/>
    <w:rsid w:val="00226C15"/>
    <w:rsid w:val="00227701"/>
    <w:rsid w:val="002279E7"/>
    <w:rsid w:val="002305D2"/>
    <w:rsid w:val="00235318"/>
    <w:rsid w:val="002361CF"/>
    <w:rsid w:val="00236C1A"/>
    <w:rsid w:val="0024022F"/>
    <w:rsid w:val="0024030C"/>
    <w:rsid w:val="00240A4D"/>
    <w:rsid w:val="00240C6E"/>
    <w:rsid w:val="002411F4"/>
    <w:rsid w:val="00241897"/>
    <w:rsid w:val="00242C17"/>
    <w:rsid w:val="00244F62"/>
    <w:rsid w:val="002465F7"/>
    <w:rsid w:val="00251DD5"/>
    <w:rsid w:val="00252629"/>
    <w:rsid w:val="00253037"/>
    <w:rsid w:val="00256575"/>
    <w:rsid w:val="00264695"/>
    <w:rsid w:val="00264E8E"/>
    <w:rsid w:val="0027408C"/>
    <w:rsid w:val="00276B32"/>
    <w:rsid w:val="00276B85"/>
    <w:rsid w:val="00276D27"/>
    <w:rsid w:val="00282E10"/>
    <w:rsid w:val="00283007"/>
    <w:rsid w:val="00284F09"/>
    <w:rsid w:val="002938B3"/>
    <w:rsid w:val="00293917"/>
    <w:rsid w:val="002A034E"/>
    <w:rsid w:val="002A1712"/>
    <w:rsid w:val="002A42B4"/>
    <w:rsid w:val="002B0135"/>
    <w:rsid w:val="002B02AD"/>
    <w:rsid w:val="002B099D"/>
    <w:rsid w:val="002C002D"/>
    <w:rsid w:val="002C1A91"/>
    <w:rsid w:val="002C29DD"/>
    <w:rsid w:val="002C381A"/>
    <w:rsid w:val="002C45BA"/>
    <w:rsid w:val="002C64BF"/>
    <w:rsid w:val="002C7E6F"/>
    <w:rsid w:val="002D0FED"/>
    <w:rsid w:val="002D3BB7"/>
    <w:rsid w:val="002D7736"/>
    <w:rsid w:val="002D782A"/>
    <w:rsid w:val="002E0468"/>
    <w:rsid w:val="002E144B"/>
    <w:rsid w:val="002E204D"/>
    <w:rsid w:val="002E580F"/>
    <w:rsid w:val="002F1A08"/>
    <w:rsid w:val="002F29B2"/>
    <w:rsid w:val="002F2AE7"/>
    <w:rsid w:val="002F325F"/>
    <w:rsid w:val="002F5C32"/>
    <w:rsid w:val="002F6D30"/>
    <w:rsid w:val="0030219B"/>
    <w:rsid w:val="003048F2"/>
    <w:rsid w:val="00306E92"/>
    <w:rsid w:val="00314120"/>
    <w:rsid w:val="00314A57"/>
    <w:rsid w:val="003153E1"/>
    <w:rsid w:val="00321609"/>
    <w:rsid w:val="003241B2"/>
    <w:rsid w:val="0032774D"/>
    <w:rsid w:val="003319CC"/>
    <w:rsid w:val="00333EF6"/>
    <w:rsid w:val="00343C51"/>
    <w:rsid w:val="003512F7"/>
    <w:rsid w:val="0035362F"/>
    <w:rsid w:val="00354B3F"/>
    <w:rsid w:val="00356531"/>
    <w:rsid w:val="003625CD"/>
    <w:rsid w:val="00366678"/>
    <w:rsid w:val="00366EE7"/>
    <w:rsid w:val="00370361"/>
    <w:rsid w:val="00371A78"/>
    <w:rsid w:val="00371E05"/>
    <w:rsid w:val="00377B5D"/>
    <w:rsid w:val="0038285A"/>
    <w:rsid w:val="0038502F"/>
    <w:rsid w:val="00385324"/>
    <w:rsid w:val="0038594C"/>
    <w:rsid w:val="003872DD"/>
    <w:rsid w:val="003904A9"/>
    <w:rsid w:val="00390A0A"/>
    <w:rsid w:val="0039163A"/>
    <w:rsid w:val="00393D42"/>
    <w:rsid w:val="00395F35"/>
    <w:rsid w:val="0039649B"/>
    <w:rsid w:val="00397CB5"/>
    <w:rsid w:val="003A0187"/>
    <w:rsid w:val="003A0AED"/>
    <w:rsid w:val="003A2280"/>
    <w:rsid w:val="003A4C0E"/>
    <w:rsid w:val="003A4E47"/>
    <w:rsid w:val="003B1C3C"/>
    <w:rsid w:val="003B3052"/>
    <w:rsid w:val="003B4CDA"/>
    <w:rsid w:val="003B74E9"/>
    <w:rsid w:val="003C04FD"/>
    <w:rsid w:val="003C117D"/>
    <w:rsid w:val="003C2DBC"/>
    <w:rsid w:val="003C3720"/>
    <w:rsid w:val="003C4291"/>
    <w:rsid w:val="003C448C"/>
    <w:rsid w:val="003C653B"/>
    <w:rsid w:val="003C7904"/>
    <w:rsid w:val="003D02F5"/>
    <w:rsid w:val="003D1B39"/>
    <w:rsid w:val="003D1B9F"/>
    <w:rsid w:val="003D2B0C"/>
    <w:rsid w:val="003D35F0"/>
    <w:rsid w:val="003D4B03"/>
    <w:rsid w:val="003D7A06"/>
    <w:rsid w:val="003E0D69"/>
    <w:rsid w:val="003E163C"/>
    <w:rsid w:val="003E237B"/>
    <w:rsid w:val="003E3D17"/>
    <w:rsid w:val="003E4941"/>
    <w:rsid w:val="003E6B73"/>
    <w:rsid w:val="003E7413"/>
    <w:rsid w:val="003E77C3"/>
    <w:rsid w:val="003E7942"/>
    <w:rsid w:val="003F23A8"/>
    <w:rsid w:val="003F28B7"/>
    <w:rsid w:val="003F5DAC"/>
    <w:rsid w:val="003F71BE"/>
    <w:rsid w:val="0040158C"/>
    <w:rsid w:val="004017E4"/>
    <w:rsid w:val="004055AB"/>
    <w:rsid w:val="00405A99"/>
    <w:rsid w:val="00405C6F"/>
    <w:rsid w:val="004102E6"/>
    <w:rsid w:val="00410A97"/>
    <w:rsid w:val="00410D13"/>
    <w:rsid w:val="004118C4"/>
    <w:rsid w:val="0041264C"/>
    <w:rsid w:val="00416AB8"/>
    <w:rsid w:val="00421FEF"/>
    <w:rsid w:val="00423354"/>
    <w:rsid w:val="00425AF4"/>
    <w:rsid w:val="004264B0"/>
    <w:rsid w:val="00427D47"/>
    <w:rsid w:val="004307B3"/>
    <w:rsid w:val="004324FE"/>
    <w:rsid w:val="00433518"/>
    <w:rsid w:val="00444E01"/>
    <w:rsid w:val="00445505"/>
    <w:rsid w:val="00445A79"/>
    <w:rsid w:val="004473C6"/>
    <w:rsid w:val="00451B6D"/>
    <w:rsid w:val="00453D2D"/>
    <w:rsid w:val="0045506E"/>
    <w:rsid w:val="00455BC9"/>
    <w:rsid w:val="00457B80"/>
    <w:rsid w:val="0046567D"/>
    <w:rsid w:val="004662CA"/>
    <w:rsid w:val="0046758C"/>
    <w:rsid w:val="00467D8F"/>
    <w:rsid w:val="004715DA"/>
    <w:rsid w:val="004732A7"/>
    <w:rsid w:val="00474B40"/>
    <w:rsid w:val="0047600A"/>
    <w:rsid w:val="004763DB"/>
    <w:rsid w:val="00477746"/>
    <w:rsid w:val="004809E5"/>
    <w:rsid w:val="0048182A"/>
    <w:rsid w:val="0048678C"/>
    <w:rsid w:val="0048776B"/>
    <w:rsid w:val="00492643"/>
    <w:rsid w:val="004A01E3"/>
    <w:rsid w:val="004A0F70"/>
    <w:rsid w:val="004A2267"/>
    <w:rsid w:val="004A2A49"/>
    <w:rsid w:val="004A2DD1"/>
    <w:rsid w:val="004A6A94"/>
    <w:rsid w:val="004B2060"/>
    <w:rsid w:val="004B225D"/>
    <w:rsid w:val="004B36A6"/>
    <w:rsid w:val="004B3A5B"/>
    <w:rsid w:val="004B5CF7"/>
    <w:rsid w:val="004B6139"/>
    <w:rsid w:val="004B7A5D"/>
    <w:rsid w:val="004C37CE"/>
    <w:rsid w:val="004C6C6D"/>
    <w:rsid w:val="004D04B6"/>
    <w:rsid w:val="004D2FDD"/>
    <w:rsid w:val="004D3E19"/>
    <w:rsid w:val="004E2174"/>
    <w:rsid w:val="004E2E95"/>
    <w:rsid w:val="004E36A8"/>
    <w:rsid w:val="004E405F"/>
    <w:rsid w:val="004E560E"/>
    <w:rsid w:val="004F0ED7"/>
    <w:rsid w:val="004F0EDC"/>
    <w:rsid w:val="004F1258"/>
    <w:rsid w:val="004F2EC4"/>
    <w:rsid w:val="004F5403"/>
    <w:rsid w:val="004F6836"/>
    <w:rsid w:val="005037DC"/>
    <w:rsid w:val="00507601"/>
    <w:rsid w:val="00511F1D"/>
    <w:rsid w:val="00514C3C"/>
    <w:rsid w:val="0051532E"/>
    <w:rsid w:val="00515E0D"/>
    <w:rsid w:val="005207BA"/>
    <w:rsid w:val="00521D50"/>
    <w:rsid w:val="00526461"/>
    <w:rsid w:val="00526A85"/>
    <w:rsid w:val="00532C0E"/>
    <w:rsid w:val="00535B70"/>
    <w:rsid w:val="0054084A"/>
    <w:rsid w:val="0054254D"/>
    <w:rsid w:val="00550AD8"/>
    <w:rsid w:val="00552A05"/>
    <w:rsid w:val="00552C34"/>
    <w:rsid w:val="005538E7"/>
    <w:rsid w:val="005575F5"/>
    <w:rsid w:val="00561B04"/>
    <w:rsid w:val="00562499"/>
    <w:rsid w:val="00564786"/>
    <w:rsid w:val="00564BC5"/>
    <w:rsid w:val="005677A8"/>
    <w:rsid w:val="00567F72"/>
    <w:rsid w:val="00570483"/>
    <w:rsid w:val="00571751"/>
    <w:rsid w:val="005748AC"/>
    <w:rsid w:val="005756C6"/>
    <w:rsid w:val="00576089"/>
    <w:rsid w:val="0057750C"/>
    <w:rsid w:val="00577514"/>
    <w:rsid w:val="00581107"/>
    <w:rsid w:val="00582163"/>
    <w:rsid w:val="005826FD"/>
    <w:rsid w:val="005924DA"/>
    <w:rsid w:val="00592F7D"/>
    <w:rsid w:val="005943AB"/>
    <w:rsid w:val="005948C5"/>
    <w:rsid w:val="0059619E"/>
    <w:rsid w:val="00596308"/>
    <w:rsid w:val="00597ED1"/>
    <w:rsid w:val="00597FD8"/>
    <w:rsid w:val="005A091A"/>
    <w:rsid w:val="005A6020"/>
    <w:rsid w:val="005A6CC8"/>
    <w:rsid w:val="005A784E"/>
    <w:rsid w:val="005B2083"/>
    <w:rsid w:val="005C0173"/>
    <w:rsid w:val="005C09D9"/>
    <w:rsid w:val="005C155E"/>
    <w:rsid w:val="005C1BC5"/>
    <w:rsid w:val="005C1F5E"/>
    <w:rsid w:val="005C24F9"/>
    <w:rsid w:val="005C27F9"/>
    <w:rsid w:val="005C3E7A"/>
    <w:rsid w:val="005C4CA3"/>
    <w:rsid w:val="005C6974"/>
    <w:rsid w:val="005D0569"/>
    <w:rsid w:val="005D1337"/>
    <w:rsid w:val="005D16C2"/>
    <w:rsid w:val="005D357E"/>
    <w:rsid w:val="005D42F5"/>
    <w:rsid w:val="005D5DC1"/>
    <w:rsid w:val="005D624F"/>
    <w:rsid w:val="005E37D6"/>
    <w:rsid w:val="005E3F90"/>
    <w:rsid w:val="005F401B"/>
    <w:rsid w:val="005F4E90"/>
    <w:rsid w:val="005F590F"/>
    <w:rsid w:val="00600AD7"/>
    <w:rsid w:val="00601470"/>
    <w:rsid w:val="00603398"/>
    <w:rsid w:val="00603F5E"/>
    <w:rsid w:val="0060424B"/>
    <w:rsid w:val="0060637A"/>
    <w:rsid w:val="00607BDB"/>
    <w:rsid w:val="0061041A"/>
    <w:rsid w:val="00610D64"/>
    <w:rsid w:val="0061235E"/>
    <w:rsid w:val="00613324"/>
    <w:rsid w:val="00620F73"/>
    <w:rsid w:val="00621317"/>
    <w:rsid w:val="006219A6"/>
    <w:rsid w:val="00623567"/>
    <w:rsid w:val="00627ABC"/>
    <w:rsid w:val="0063054B"/>
    <w:rsid w:val="00630559"/>
    <w:rsid w:val="00634AA9"/>
    <w:rsid w:val="00641452"/>
    <w:rsid w:val="0064278F"/>
    <w:rsid w:val="00644FE6"/>
    <w:rsid w:val="006450EB"/>
    <w:rsid w:val="00645165"/>
    <w:rsid w:val="00645FB0"/>
    <w:rsid w:val="00646074"/>
    <w:rsid w:val="006461A5"/>
    <w:rsid w:val="0065015F"/>
    <w:rsid w:val="00650597"/>
    <w:rsid w:val="00650EA5"/>
    <w:rsid w:val="006552A5"/>
    <w:rsid w:val="00660937"/>
    <w:rsid w:val="00667A2A"/>
    <w:rsid w:val="0067384D"/>
    <w:rsid w:val="00673B2E"/>
    <w:rsid w:val="00676E58"/>
    <w:rsid w:val="006807DF"/>
    <w:rsid w:val="006847BB"/>
    <w:rsid w:val="0068584B"/>
    <w:rsid w:val="00687B7F"/>
    <w:rsid w:val="006928DD"/>
    <w:rsid w:val="006949ED"/>
    <w:rsid w:val="00694A66"/>
    <w:rsid w:val="00697D17"/>
    <w:rsid w:val="00697F20"/>
    <w:rsid w:val="006A0D67"/>
    <w:rsid w:val="006A0DD0"/>
    <w:rsid w:val="006A11C3"/>
    <w:rsid w:val="006A1A4B"/>
    <w:rsid w:val="006A348A"/>
    <w:rsid w:val="006A556D"/>
    <w:rsid w:val="006A6575"/>
    <w:rsid w:val="006B4D14"/>
    <w:rsid w:val="006B55C6"/>
    <w:rsid w:val="006B6D1B"/>
    <w:rsid w:val="006B7364"/>
    <w:rsid w:val="006B7CD6"/>
    <w:rsid w:val="006C1418"/>
    <w:rsid w:val="006C1570"/>
    <w:rsid w:val="006C46CE"/>
    <w:rsid w:val="006C4765"/>
    <w:rsid w:val="006C603D"/>
    <w:rsid w:val="006C68D6"/>
    <w:rsid w:val="006D02F5"/>
    <w:rsid w:val="006D25E6"/>
    <w:rsid w:val="006D3DA5"/>
    <w:rsid w:val="006D5DCD"/>
    <w:rsid w:val="006D6CAD"/>
    <w:rsid w:val="006D71C4"/>
    <w:rsid w:val="006D7D89"/>
    <w:rsid w:val="006E0075"/>
    <w:rsid w:val="006E18AC"/>
    <w:rsid w:val="006E24CF"/>
    <w:rsid w:val="006E6820"/>
    <w:rsid w:val="006F1A2D"/>
    <w:rsid w:val="006F22C9"/>
    <w:rsid w:val="006F2984"/>
    <w:rsid w:val="006F35DE"/>
    <w:rsid w:val="006F5EF8"/>
    <w:rsid w:val="006F614D"/>
    <w:rsid w:val="006F6995"/>
    <w:rsid w:val="00701211"/>
    <w:rsid w:val="00703D59"/>
    <w:rsid w:val="0070571D"/>
    <w:rsid w:val="00707FE0"/>
    <w:rsid w:val="00711D42"/>
    <w:rsid w:val="00711E38"/>
    <w:rsid w:val="0071283A"/>
    <w:rsid w:val="00714D46"/>
    <w:rsid w:val="00716B67"/>
    <w:rsid w:val="007200B5"/>
    <w:rsid w:val="00720A5C"/>
    <w:rsid w:val="00720A84"/>
    <w:rsid w:val="0072599A"/>
    <w:rsid w:val="00731093"/>
    <w:rsid w:val="00731AA0"/>
    <w:rsid w:val="0073364F"/>
    <w:rsid w:val="00733663"/>
    <w:rsid w:val="00734B7E"/>
    <w:rsid w:val="00735D34"/>
    <w:rsid w:val="00740F44"/>
    <w:rsid w:val="007410A6"/>
    <w:rsid w:val="0074130A"/>
    <w:rsid w:val="00741EB5"/>
    <w:rsid w:val="0074392A"/>
    <w:rsid w:val="00744C00"/>
    <w:rsid w:val="00745C25"/>
    <w:rsid w:val="0074612C"/>
    <w:rsid w:val="0075020C"/>
    <w:rsid w:val="0075173F"/>
    <w:rsid w:val="00753368"/>
    <w:rsid w:val="007538F9"/>
    <w:rsid w:val="00753C0C"/>
    <w:rsid w:val="00756654"/>
    <w:rsid w:val="00760492"/>
    <w:rsid w:val="00761FC3"/>
    <w:rsid w:val="007622B6"/>
    <w:rsid w:val="007635F1"/>
    <w:rsid w:val="007639A5"/>
    <w:rsid w:val="00764C1D"/>
    <w:rsid w:val="00770DCB"/>
    <w:rsid w:val="007711A8"/>
    <w:rsid w:val="0077435F"/>
    <w:rsid w:val="00774B13"/>
    <w:rsid w:val="00775F1C"/>
    <w:rsid w:val="00777FB0"/>
    <w:rsid w:val="00781C8B"/>
    <w:rsid w:val="00783AF6"/>
    <w:rsid w:val="00790C20"/>
    <w:rsid w:val="007938F6"/>
    <w:rsid w:val="00793A21"/>
    <w:rsid w:val="00794D40"/>
    <w:rsid w:val="007A2999"/>
    <w:rsid w:val="007A4EFC"/>
    <w:rsid w:val="007A7CF0"/>
    <w:rsid w:val="007B040F"/>
    <w:rsid w:val="007B0A45"/>
    <w:rsid w:val="007B17C3"/>
    <w:rsid w:val="007B3875"/>
    <w:rsid w:val="007B7D79"/>
    <w:rsid w:val="007C21EA"/>
    <w:rsid w:val="007C2FD5"/>
    <w:rsid w:val="007C35E9"/>
    <w:rsid w:val="007C5428"/>
    <w:rsid w:val="007C77D4"/>
    <w:rsid w:val="007C7C07"/>
    <w:rsid w:val="007D0C40"/>
    <w:rsid w:val="007D31C9"/>
    <w:rsid w:val="007D3BCD"/>
    <w:rsid w:val="007D4AC7"/>
    <w:rsid w:val="007D50CB"/>
    <w:rsid w:val="007D5CB9"/>
    <w:rsid w:val="007D6CA0"/>
    <w:rsid w:val="007D7F16"/>
    <w:rsid w:val="007E0250"/>
    <w:rsid w:val="007E0F6A"/>
    <w:rsid w:val="007E41B2"/>
    <w:rsid w:val="007E432A"/>
    <w:rsid w:val="007F03EF"/>
    <w:rsid w:val="007F0A79"/>
    <w:rsid w:val="007F655A"/>
    <w:rsid w:val="0080175A"/>
    <w:rsid w:val="00803572"/>
    <w:rsid w:val="00804096"/>
    <w:rsid w:val="008121A3"/>
    <w:rsid w:val="008121E4"/>
    <w:rsid w:val="00817C65"/>
    <w:rsid w:val="00817C7F"/>
    <w:rsid w:val="008206C3"/>
    <w:rsid w:val="00820E36"/>
    <w:rsid w:val="00823344"/>
    <w:rsid w:val="00823B7D"/>
    <w:rsid w:val="00825ABC"/>
    <w:rsid w:val="008274CB"/>
    <w:rsid w:val="00833222"/>
    <w:rsid w:val="008337DC"/>
    <w:rsid w:val="00834350"/>
    <w:rsid w:val="00834A16"/>
    <w:rsid w:val="00834DF1"/>
    <w:rsid w:val="00840DE2"/>
    <w:rsid w:val="0084250A"/>
    <w:rsid w:val="00843CC6"/>
    <w:rsid w:val="00843F27"/>
    <w:rsid w:val="00845514"/>
    <w:rsid w:val="00845BD5"/>
    <w:rsid w:val="00846920"/>
    <w:rsid w:val="0084732C"/>
    <w:rsid w:val="00847554"/>
    <w:rsid w:val="0085046E"/>
    <w:rsid w:val="00853BD1"/>
    <w:rsid w:val="00855187"/>
    <w:rsid w:val="008554B9"/>
    <w:rsid w:val="008554F2"/>
    <w:rsid w:val="0085739D"/>
    <w:rsid w:val="00861396"/>
    <w:rsid w:val="00862BA0"/>
    <w:rsid w:val="00863386"/>
    <w:rsid w:val="00865203"/>
    <w:rsid w:val="00867697"/>
    <w:rsid w:val="00872024"/>
    <w:rsid w:val="008747F7"/>
    <w:rsid w:val="00874BAF"/>
    <w:rsid w:val="00875683"/>
    <w:rsid w:val="0087662F"/>
    <w:rsid w:val="0088311D"/>
    <w:rsid w:val="00883594"/>
    <w:rsid w:val="00883924"/>
    <w:rsid w:val="00884A86"/>
    <w:rsid w:val="00884A9F"/>
    <w:rsid w:val="008872DD"/>
    <w:rsid w:val="00893D4F"/>
    <w:rsid w:val="0089499F"/>
    <w:rsid w:val="00896D3D"/>
    <w:rsid w:val="008A0B77"/>
    <w:rsid w:val="008A2F1D"/>
    <w:rsid w:val="008A33D7"/>
    <w:rsid w:val="008A460F"/>
    <w:rsid w:val="008A4EF3"/>
    <w:rsid w:val="008A7970"/>
    <w:rsid w:val="008A7C88"/>
    <w:rsid w:val="008B1BEA"/>
    <w:rsid w:val="008B3E09"/>
    <w:rsid w:val="008B5260"/>
    <w:rsid w:val="008B6BB3"/>
    <w:rsid w:val="008C0A8F"/>
    <w:rsid w:val="008C7468"/>
    <w:rsid w:val="008C7999"/>
    <w:rsid w:val="008D0424"/>
    <w:rsid w:val="008D1DAE"/>
    <w:rsid w:val="008D2240"/>
    <w:rsid w:val="008D2598"/>
    <w:rsid w:val="008D30E1"/>
    <w:rsid w:val="008D72F0"/>
    <w:rsid w:val="008E22F1"/>
    <w:rsid w:val="008E3F2C"/>
    <w:rsid w:val="008E5D05"/>
    <w:rsid w:val="008E66DA"/>
    <w:rsid w:val="008F1FB5"/>
    <w:rsid w:val="008F2D2D"/>
    <w:rsid w:val="008F355E"/>
    <w:rsid w:val="008F38A9"/>
    <w:rsid w:val="008F4CCA"/>
    <w:rsid w:val="008F5B41"/>
    <w:rsid w:val="008F5D7C"/>
    <w:rsid w:val="008F7B32"/>
    <w:rsid w:val="008F7B37"/>
    <w:rsid w:val="008F7CFB"/>
    <w:rsid w:val="0090040A"/>
    <w:rsid w:val="0090122E"/>
    <w:rsid w:val="00901EE8"/>
    <w:rsid w:val="009022E1"/>
    <w:rsid w:val="00902D5D"/>
    <w:rsid w:val="00902E1F"/>
    <w:rsid w:val="00903FCA"/>
    <w:rsid w:val="00904973"/>
    <w:rsid w:val="00904DDB"/>
    <w:rsid w:val="00905909"/>
    <w:rsid w:val="00907750"/>
    <w:rsid w:val="00910267"/>
    <w:rsid w:val="00913C3C"/>
    <w:rsid w:val="0091574B"/>
    <w:rsid w:val="00917AE3"/>
    <w:rsid w:val="00920BDA"/>
    <w:rsid w:val="00925934"/>
    <w:rsid w:val="00931D29"/>
    <w:rsid w:val="00934EB6"/>
    <w:rsid w:val="009365F4"/>
    <w:rsid w:val="00936BC8"/>
    <w:rsid w:val="00937849"/>
    <w:rsid w:val="00940EAA"/>
    <w:rsid w:val="0094342D"/>
    <w:rsid w:val="009479C7"/>
    <w:rsid w:val="009520C7"/>
    <w:rsid w:val="0095515E"/>
    <w:rsid w:val="00957D4C"/>
    <w:rsid w:val="00960FD5"/>
    <w:rsid w:val="00961232"/>
    <w:rsid w:val="00961F50"/>
    <w:rsid w:val="00964E9F"/>
    <w:rsid w:val="0098218D"/>
    <w:rsid w:val="009831F7"/>
    <w:rsid w:val="0098497E"/>
    <w:rsid w:val="0098504D"/>
    <w:rsid w:val="009924BC"/>
    <w:rsid w:val="00992B65"/>
    <w:rsid w:val="009941FE"/>
    <w:rsid w:val="00997C40"/>
    <w:rsid w:val="009A0FF7"/>
    <w:rsid w:val="009A644E"/>
    <w:rsid w:val="009B1C26"/>
    <w:rsid w:val="009B3198"/>
    <w:rsid w:val="009B79DC"/>
    <w:rsid w:val="009B7C51"/>
    <w:rsid w:val="009C085E"/>
    <w:rsid w:val="009C12FF"/>
    <w:rsid w:val="009C1ADF"/>
    <w:rsid w:val="009C1BC0"/>
    <w:rsid w:val="009C2D03"/>
    <w:rsid w:val="009C54D9"/>
    <w:rsid w:val="009C6669"/>
    <w:rsid w:val="009D25CB"/>
    <w:rsid w:val="009D6319"/>
    <w:rsid w:val="009E0082"/>
    <w:rsid w:val="009E06A1"/>
    <w:rsid w:val="009E3061"/>
    <w:rsid w:val="009E614B"/>
    <w:rsid w:val="009F04E4"/>
    <w:rsid w:val="009F1039"/>
    <w:rsid w:val="009F1B0A"/>
    <w:rsid w:val="009F4D4D"/>
    <w:rsid w:val="009F5BDE"/>
    <w:rsid w:val="009F793A"/>
    <w:rsid w:val="009F7D7A"/>
    <w:rsid w:val="00A01DFE"/>
    <w:rsid w:val="00A05E3D"/>
    <w:rsid w:val="00A07E49"/>
    <w:rsid w:val="00A11F67"/>
    <w:rsid w:val="00A1369C"/>
    <w:rsid w:val="00A14364"/>
    <w:rsid w:val="00A150AD"/>
    <w:rsid w:val="00A17B64"/>
    <w:rsid w:val="00A222DE"/>
    <w:rsid w:val="00A22C80"/>
    <w:rsid w:val="00A24996"/>
    <w:rsid w:val="00A24F6A"/>
    <w:rsid w:val="00A33655"/>
    <w:rsid w:val="00A34556"/>
    <w:rsid w:val="00A36994"/>
    <w:rsid w:val="00A37EA0"/>
    <w:rsid w:val="00A404BA"/>
    <w:rsid w:val="00A41B03"/>
    <w:rsid w:val="00A41DD7"/>
    <w:rsid w:val="00A41F25"/>
    <w:rsid w:val="00A4642C"/>
    <w:rsid w:val="00A50B43"/>
    <w:rsid w:val="00A531B2"/>
    <w:rsid w:val="00A5332A"/>
    <w:rsid w:val="00A54187"/>
    <w:rsid w:val="00A54DA7"/>
    <w:rsid w:val="00A550E5"/>
    <w:rsid w:val="00A55B90"/>
    <w:rsid w:val="00A57E60"/>
    <w:rsid w:val="00A63E86"/>
    <w:rsid w:val="00A64AEF"/>
    <w:rsid w:val="00A658F6"/>
    <w:rsid w:val="00A6664B"/>
    <w:rsid w:val="00A672DA"/>
    <w:rsid w:val="00A6733F"/>
    <w:rsid w:val="00A7072A"/>
    <w:rsid w:val="00A70CF7"/>
    <w:rsid w:val="00A71457"/>
    <w:rsid w:val="00A74A38"/>
    <w:rsid w:val="00A76ED0"/>
    <w:rsid w:val="00A810D5"/>
    <w:rsid w:val="00A87EA0"/>
    <w:rsid w:val="00A91A82"/>
    <w:rsid w:val="00A92A93"/>
    <w:rsid w:val="00A93CC8"/>
    <w:rsid w:val="00A96C6B"/>
    <w:rsid w:val="00AA1C3F"/>
    <w:rsid w:val="00AA35C8"/>
    <w:rsid w:val="00AA4443"/>
    <w:rsid w:val="00AA5E7A"/>
    <w:rsid w:val="00AA6737"/>
    <w:rsid w:val="00AA6881"/>
    <w:rsid w:val="00AA7682"/>
    <w:rsid w:val="00AB1313"/>
    <w:rsid w:val="00AB3494"/>
    <w:rsid w:val="00AB432D"/>
    <w:rsid w:val="00AB459F"/>
    <w:rsid w:val="00AB488B"/>
    <w:rsid w:val="00AB61E8"/>
    <w:rsid w:val="00AC0BAD"/>
    <w:rsid w:val="00AC1910"/>
    <w:rsid w:val="00AC1B80"/>
    <w:rsid w:val="00AC3E9F"/>
    <w:rsid w:val="00AC60AC"/>
    <w:rsid w:val="00AD0A99"/>
    <w:rsid w:val="00AD15E8"/>
    <w:rsid w:val="00AD19ED"/>
    <w:rsid w:val="00AD50EA"/>
    <w:rsid w:val="00AD69F3"/>
    <w:rsid w:val="00AD7E4D"/>
    <w:rsid w:val="00AE3E44"/>
    <w:rsid w:val="00AE7659"/>
    <w:rsid w:val="00AF161E"/>
    <w:rsid w:val="00AF32A0"/>
    <w:rsid w:val="00AF33C4"/>
    <w:rsid w:val="00AF4380"/>
    <w:rsid w:val="00AF459A"/>
    <w:rsid w:val="00AF4D3A"/>
    <w:rsid w:val="00AF6977"/>
    <w:rsid w:val="00AF77BE"/>
    <w:rsid w:val="00B02E42"/>
    <w:rsid w:val="00B03390"/>
    <w:rsid w:val="00B03794"/>
    <w:rsid w:val="00B03EA8"/>
    <w:rsid w:val="00B04151"/>
    <w:rsid w:val="00B046E3"/>
    <w:rsid w:val="00B1129C"/>
    <w:rsid w:val="00B12841"/>
    <w:rsid w:val="00B12CC7"/>
    <w:rsid w:val="00B130B2"/>
    <w:rsid w:val="00B134A4"/>
    <w:rsid w:val="00B17D42"/>
    <w:rsid w:val="00B2057F"/>
    <w:rsid w:val="00B23696"/>
    <w:rsid w:val="00B2739B"/>
    <w:rsid w:val="00B316D8"/>
    <w:rsid w:val="00B373F7"/>
    <w:rsid w:val="00B43069"/>
    <w:rsid w:val="00B43808"/>
    <w:rsid w:val="00B455A1"/>
    <w:rsid w:val="00B459D9"/>
    <w:rsid w:val="00B46941"/>
    <w:rsid w:val="00B500B7"/>
    <w:rsid w:val="00B50535"/>
    <w:rsid w:val="00B510CD"/>
    <w:rsid w:val="00B54BFE"/>
    <w:rsid w:val="00B55ECD"/>
    <w:rsid w:val="00B5673B"/>
    <w:rsid w:val="00B61C0D"/>
    <w:rsid w:val="00B632E3"/>
    <w:rsid w:val="00B71707"/>
    <w:rsid w:val="00B735EA"/>
    <w:rsid w:val="00B754AD"/>
    <w:rsid w:val="00B77286"/>
    <w:rsid w:val="00B776DC"/>
    <w:rsid w:val="00B81B17"/>
    <w:rsid w:val="00B83AA2"/>
    <w:rsid w:val="00B84DA9"/>
    <w:rsid w:val="00B85068"/>
    <w:rsid w:val="00B85630"/>
    <w:rsid w:val="00B85B1C"/>
    <w:rsid w:val="00B91DA9"/>
    <w:rsid w:val="00B92F2C"/>
    <w:rsid w:val="00BA0020"/>
    <w:rsid w:val="00BA0172"/>
    <w:rsid w:val="00BA341F"/>
    <w:rsid w:val="00BB14A0"/>
    <w:rsid w:val="00BB32A8"/>
    <w:rsid w:val="00BC2827"/>
    <w:rsid w:val="00BC28DF"/>
    <w:rsid w:val="00BC40C0"/>
    <w:rsid w:val="00BC41B3"/>
    <w:rsid w:val="00BC7315"/>
    <w:rsid w:val="00BD004D"/>
    <w:rsid w:val="00BD1AA3"/>
    <w:rsid w:val="00BD2B9D"/>
    <w:rsid w:val="00BD2D7A"/>
    <w:rsid w:val="00BD7EB7"/>
    <w:rsid w:val="00BE0942"/>
    <w:rsid w:val="00BE0CA5"/>
    <w:rsid w:val="00BE485B"/>
    <w:rsid w:val="00BE538B"/>
    <w:rsid w:val="00BE5829"/>
    <w:rsid w:val="00BE606C"/>
    <w:rsid w:val="00BE7348"/>
    <w:rsid w:val="00BF1D46"/>
    <w:rsid w:val="00BF3451"/>
    <w:rsid w:val="00BF3904"/>
    <w:rsid w:val="00BF4F5F"/>
    <w:rsid w:val="00BF5F1F"/>
    <w:rsid w:val="00C00FBE"/>
    <w:rsid w:val="00C012B1"/>
    <w:rsid w:val="00C04703"/>
    <w:rsid w:val="00C04F06"/>
    <w:rsid w:val="00C10E8F"/>
    <w:rsid w:val="00C16446"/>
    <w:rsid w:val="00C2002D"/>
    <w:rsid w:val="00C22703"/>
    <w:rsid w:val="00C22D47"/>
    <w:rsid w:val="00C2673C"/>
    <w:rsid w:val="00C27B03"/>
    <w:rsid w:val="00C30709"/>
    <w:rsid w:val="00C35805"/>
    <w:rsid w:val="00C42E27"/>
    <w:rsid w:val="00C452BF"/>
    <w:rsid w:val="00C47045"/>
    <w:rsid w:val="00C54850"/>
    <w:rsid w:val="00C56631"/>
    <w:rsid w:val="00C60D52"/>
    <w:rsid w:val="00C613EB"/>
    <w:rsid w:val="00C66CDE"/>
    <w:rsid w:val="00C66E6B"/>
    <w:rsid w:val="00C7092A"/>
    <w:rsid w:val="00C76345"/>
    <w:rsid w:val="00C76852"/>
    <w:rsid w:val="00C76A9E"/>
    <w:rsid w:val="00C77D2A"/>
    <w:rsid w:val="00C77EC0"/>
    <w:rsid w:val="00C83486"/>
    <w:rsid w:val="00C834B2"/>
    <w:rsid w:val="00C838EF"/>
    <w:rsid w:val="00C83EDD"/>
    <w:rsid w:val="00C931FC"/>
    <w:rsid w:val="00C93244"/>
    <w:rsid w:val="00C95084"/>
    <w:rsid w:val="00C96D6E"/>
    <w:rsid w:val="00CA010C"/>
    <w:rsid w:val="00CA1CFB"/>
    <w:rsid w:val="00CA4AF2"/>
    <w:rsid w:val="00CA5795"/>
    <w:rsid w:val="00CA6557"/>
    <w:rsid w:val="00CB5710"/>
    <w:rsid w:val="00CB6795"/>
    <w:rsid w:val="00CC1B52"/>
    <w:rsid w:val="00CC26A5"/>
    <w:rsid w:val="00CC4649"/>
    <w:rsid w:val="00CC4BB9"/>
    <w:rsid w:val="00CC54A1"/>
    <w:rsid w:val="00CC5D3E"/>
    <w:rsid w:val="00CD2BBD"/>
    <w:rsid w:val="00CD4F46"/>
    <w:rsid w:val="00CD6053"/>
    <w:rsid w:val="00CE044C"/>
    <w:rsid w:val="00CE3AA4"/>
    <w:rsid w:val="00CE409E"/>
    <w:rsid w:val="00CE4C23"/>
    <w:rsid w:val="00CE6024"/>
    <w:rsid w:val="00CF0882"/>
    <w:rsid w:val="00CF12E1"/>
    <w:rsid w:val="00CF1F53"/>
    <w:rsid w:val="00CF397A"/>
    <w:rsid w:val="00CF54B0"/>
    <w:rsid w:val="00CF7E95"/>
    <w:rsid w:val="00D003FF"/>
    <w:rsid w:val="00D0089D"/>
    <w:rsid w:val="00D027C4"/>
    <w:rsid w:val="00D035D9"/>
    <w:rsid w:val="00D0471C"/>
    <w:rsid w:val="00D04725"/>
    <w:rsid w:val="00D061AB"/>
    <w:rsid w:val="00D07719"/>
    <w:rsid w:val="00D077A2"/>
    <w:rsid w:val="00D1179F"/>
    <w:rsid w:val="00D15D26"/>
    <w:rsid w:val="00D21A18"/>
    <w:rsid w:val="00D223AF"/>
    <w:rsid w:val="00D22EA6"/>
    <w:rsid w:val="00D2384E"/>
    <w:rsid w:val="00D30909"/>
    <w:rsid w:val="00D326F8"/>
    <w:rsid w:val="00D342A2"/>
    <w:rsid w:val="00D43444"/>
    <w:rsid w:val="00D44E1F"/>
    <w:rsid w:val="00D47F8C"/>
    <w:rsid w:val="00D50797"/>
    <w:rsid w:val="00D50A57"/>
    <w:rsid w:val="00D53596"/>
    <w:rsid w:val="00D56039"/>
    <w:rsid w:val="00D57028"/>
    <w:rsid w:val="00D6400F"/>
    <w:rsid w:val="00D65240"/>
    <w:rsid w:val="00D667E8"/>
    <w:rsid w:val="00D67933"/>
    <w:rsid w:val="00D72AB5"/>
    <w:rsid w:val="00D72CF2"/>
    <w:rsid w:val="00D73DB5"/>
    <w:rsid w:val="00D73ECC"/>
    <w:rsid w:val="00D7483D"/>
    <w:rsid w:val="00D74B48"/>
    <w:rsid w:val="00D773A4"/>
    <w:rsid w:val="00D8212C"/>
    <w:rsid w:val="00D82D4F"/>
    <w:rsid w:val="00D842B7"/>
    <w:rsid w:val="00D87A4A"/>
    <w:rsid w:val="00D9045B"/>
    <w:rsid w:val="00D91DB6"/>
    <w:rsid w:val="00D92232"/>
    <w:rsid w:val="00D92725"/>
    <w:rsid w:val="00D929EE"/>
    <w:rsid w:val="00D942EB"/>
    <w:rsid w:val="00D952A4"/>
    <w:rsid w:val="00DA0B65"/>
    <w:rsid w:val="00DA32D4"/>
    <w:rsid w:val="00DA36B1"/>
    <w:rsid w:val="00DA3D66"/>
    <w:rsid w:val="00DA625D"/>
    <w:rsid w:val="00DA732D"/>
    <w:rsid w:val="00DA741E"/>
    <w:rsid w:val="00DB1A05"/>
    <w:rsid w:val="00DB4D56"/>
    <w:rsid w:val="00DB7AF3"/>
    <w:rsid w:val="00DC0ADE"/>
    <w:rsid w:val="00DC103C"/>
    <w:rsid w:val="00DC366A"/>
    <w:rsid w:val="00DC37C7"/>
    <w:rsid w:val="00DC528A"/>
    <w:rsid w:val="00DC7434"/>
    <w:rsid w:val="00DC79BF"/>
    <w:rsid w:val="00DD1A08"/>
    <w:rsid w:val="00DD27D8"/>
    <w:rsid w:val="00DD5974"/>
    <w:rsid w:val="00DE13C9"/>
    <w:rsid w:val="00DE26FF"/>
    <w:rsid w:val="00DE2A9A"/>
    <w:rsid w:val="00DE5998"/>
    <w:rsid w:val="00DF0C94"/>
    <w:rsid w:val="00DF12D2"/>
    <w:rsid w:val="00DF2340"/>
    <w:rsid w:val="00DF48F1"/>
    <w:rsid w:val="00DF49FC"/>
    <w:rsid w:val="00DF592E"/>
    <w:rsid w:val="00DF59C6"/>
    <w:rsid w:val="00DF5B21"/>
    <w:rsid w:val="00DF639B"/>
    <w:rsid w:val="00DF6683"/>
    <w:rsid w:val="00DF698B"/>
    <w:rsid w:val="00DF7CEF"/>
    <w:rsid w:val="00E01CA7"/>
    <w:rsid w:val="00E02C76"/>
    <w:rsid w:val="00E034F9"/>
    <w:rsid w:val="00E04AE4"/>
    <w:rsid w:val="00E053E5"/>
    <w:rsid w:val="00E059B6"/>
    <w:rsid w:val="00E05F9C"/>
    <w:rsid w:val="00E07CA7"/>
    <w:rsid w:val="00E11F39"/>
    <w:rsid w:val="00E131AE"/>
    <w:rsid w:val="00E1348C"/>
    <w:rsid w:val="00E13D4E"/>
    <w:rsid w:val="00E14D97"/>
    <w:rsid w:val="00E15049"/>
    <w:rsid w:val="00E20ADB"/>
    <w:rsid w:val="00E210DA"/>
    <w:rsid w:val="00E212F2"/>
    <w:rsid w:val="00E2575D"/>
    <w:rsid w:val="00E27FB8"/>
    <w:rsid w:val="00E30338"/>
    <w:rsid w:val="00E41043"/>
    <w:rsid w:val="00E41619"/>
    <w:rsid w:val="00E52931"/>
    <w:rsid w:val="00E52A2C"/>
    <w:rsid w:val="00E52ED5"/>
    <w:rsid w:val="00E52FEE"/>
    <w:rsid w:val="00E54876"/>
    <w:rsid w:val="00E57085"/>
    <w:rsid w:val="00E609AB"/>
    <w:rsid w:val="00E61D52"/>
    <w:rsid w:val="00E62748"/>
    <w:rsid w:val="00E6341D"/>
    <w:rsid w:val="00E64667"/>
    <w:rsid w:val="00E6527F"/>
    <w:rsid w:val="00E66830"/>
    <w:rsid w:val="00E67737"/>
    <w:rsid w:val="00E72EA6"/>
    <w:rsid w:val="00E812D3"/>
    <w:rsid w:val="00E8190B"/>
    <w:rsid w:val="00E8257F"/>
    <w:rsid w:val="00E86B71"/>
    <w:rsid w:val="00E8731D"/>
    <w:rsid w:val="00E95376"/>
    <w:rsid w:val="00EA2B9E"/>
    <w:rsid w:val="00EB1578"/>
    <w:rsid w:val="00EB44AC"/>
    <w:rsid w:val="00EB4EEA"/>
    <w:rsid w:val="00EB55EE"/>
    <w:rsid w:val="00EC01BD"/>
    <w:rsid w:val="00EC36EA"/>
    <w:rsid w:val="00EC4BF9"/>
    <w:rsid w:val="00EC686B"/>
    <w:rsid w:val="00ED4891"/>
    <w:rsid w:val="00ED7E6C"/>
    <w:rsid w:val="00EE07F4"/>
    <w:rsid w:val="00EE140C"/>
    <w:rsid w:val="00EE6CAC"/>
    <w:rsid w:val="00EF0DF2"/>
    <w:rsid w:val="00EF1A1F"/>
    <w:rsid w:val="00EF4585"/>
    <w:rsid w:val="00EF5C87"/>
    <w:rsid w:val="00F00B58"/>
    <w:rsid w:val="00F011EA"/>
    <w:rsid w:val="00F029F0"/>
    <w:rsid w:val="00F06793"/>
    <w:rsid w:val="00F11520"/>
    <w:rsid w:val="00F12EB7"/>
    <w:rsid w:val="00F13404"/>
    <w:rsid w:val="00F1441C"/>
    <w:rsid w:val="00F176A2"/>
    <w:rsid w:val="00F17E68"/>
    <w:rsid w:val="00F20396"/>
    <w:rsid w:val="00F223CD"/>
    <w:rsid w:val="00F236FF"/>
    <w:rsid w:val="00F25111"/>
    <w:rsid w:val="00F2577D"/>
    <w:rsid w:val="00F276A4"/>
    <w:rsid w:val="00F2775C"/>
    <w:rsid w:val="00F3342D"/>
    <w:rsid w:val="00F339A8"/>
    <w:rsid w:val="00F33CB1"/>
    <w:rsid w:val="00F33D5D"/>
    <w:rsid w:val="00F36DE4"/>
    <w:rsid w:val="00F41B71"/>
    <w:rsid w:val="00F4447B"/>
    <w:rsid w:val="00F46CF3"/>
    <w:rsid w:val="00F507AE"/>
    <w:rsid w:val="00F50968"/>
    <w:rsid w:val="00F5248F"/>
    <w:rsid w:val="00F54363"/>
    <w:rsid w:val="00F54D13"/>
    <w:rsid w:val="00F567D0"/>
    <w:rsid w:val="00F6092E"/>
    <w:rsid w:val="00F61558"/>
    <w:rsid w:val="00F6183E"/>
    <w:rsid w:val="00F633E5"/>
    <w:rsid w:val="00F64C3A"/>
    <w:rsid w:val="00F70642"/>
    <w:rsid w:val="00F719A0"/>
    <w:rsid w:val="00F71C43"/>
    <w:rsid w:val="00F73BF0"/>
    <w:rsid w:val="00F81206"/>
    <w:rsid w:val="00F8206F"/>
    <w:rsid w:val="00F849D9"/>
    <w:rsid w:val="00F84D78"/>
    <w:rsid w:val="00F86B10"/>
    <w:rsid w:val="00F969A1"/>
    <w:rsid w:val="00F969B2"/>
    <w:rsid w:val="00F97752"/>
    <w:rsid w:val="00FA11B0"/>
    <w:rsid w:val="00FA1446"/>
    <w:rsid w:val="00FA1F39"/>
    <w:rsid w:val="00FA27F8"/>
    <w:rsid w:val="00FA3145"/>
    <w:rsid w:val="00FA345A"/>
    <w:rsid w:val="00FA516A"/>
    <w:rsid w:val="00FA57AD"/>
    <w:rsid w:val="00FA7796"/>
    <w:rsid w:val="00FB075E"/>
    <w:rsid w:val="00FB0B62"/>
    <w:rsid w:val="00FB1EA8"/>
    <w:rsid w:val="00FB2A06"/>
    <w:rsid w:val="00FB69A7"/>
    <w:rsid w:val="00FC1BFA"/>
    <w:rsid w:val="00FC4027"/>
    <w:rsid w:val="00FC5692"/>
    <w:rsid w:val="00FC56C6"/>
    <w:rsid w:val="00FD0674"/>
    <w:rsid w:val="00FD2DC3"/>
    <w:rsid w:val="00FD4148"/>
    <w:rsid w:val="00FE0A0B"/>
    <w:rsid w:val="00FE3101"/>
    <w:rsid w:val="00FE48C8"/>
    <w:rsid w:val="00FE52FD"/>
    <w:rsid w:val="00FE709F"/>
    <w:rsid w:val="00FE723C"/>
    <w:rsid w:val="00FE7FF9"/>
    <w:rsid w:val="00FF04A2"/>
    <w:rsid w:val="00FF13D8"/>
    <w:rsid w:val="00FF58D9"/>
    <w:rsid w:val="00FF67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9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num" w:pos="360"/>
        <w:tab w:val="left" w:pos="419"/>
      </w:tabs>
      <w:ind w:left="0" w:firstLine="0"/>
    </w:pPr>
  </w:style>
  <w:style w:type="paragraph" w:customStyle="1" w:styleId="Lidnummerabc">
    <w:name w:val="Lidnummer abc"/>
    <w:basedOn w:val="Standaard"/>
    <w:pPr>
      <w:numPr>
        <w:ilvl w:val="2"/>
        <w:numId w:val="2"/>
      </w:numPr>
      <w:tabs>
        <w:tab w:val="num" w:pos="360"/>
        <w:tab w:val="left" w:pos="402"/>
      </w:tabs>
      <w:ind w:left="0" w:firstLine="0"/>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CB5710"/>
    <w:pPr>
      <w:ind w:left="720"/>
      <w:contextualSpacing/>
    </w:pPr>
  </w:style>
  <w:style w:type="paragraph" w:styleId="Voetnoottekst">
    <w:name w:val="footnote text"/>
    <w:basedOn w:val="Standaard"/>
    <w:link w:val="VoetnoottekstChar"/>
    <w:uiPriority w:val="99"/>
    <w:semiHidden/>
    <w:unhideWhenUsed/>
    <w:rsid w:val="000E69B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E69BF"/>
    <w:rPr>
      <w:rFonts w:ascii="Verdana" w:hAnsi="Verdana"/>
      <w:color w:val="000000"/>
    </w:rPr>
  </w:style>
  <w:style w:type="character" w:styleId="Voetnootmarkering">
    <w:name w:val="footnote reference"/>
    <w:basedOn w:val="Standaardalinea-lettertype"/>
    <w:uiPriority w:val="99"/>
    <w:semiHidden/>
    <w:unhideWhenUsed/>
    <w:rsid w:val="000E69BF"/>
    <w:rPr>
      <w:vertAlign w:val="superscript"/>
    </w:rPr>
  </w:style>
  <w:style w:type="character" w:styleId="Verwijzingopmerking">
    <w:name w:val="annotation reference"/>
    <w:basedOn w:val="Standaardalinea-lettertype"/>
    <w:uiPriority w:val="99"/>
    <w:semiHidden/>
    <w:unhideWhenUsed/>
    <w:rsid w:val="00BE0942"/>
    <w:rPr>
      <w:sz w:val="16"/>
      <w:szCs w:val="16"/>
    </w:rPr>
  </w:style>
  <w:style w:type="paragraph" w:styleId="Tekstopmerking">
    <w:name w:val="annotation text"/>
    <w:basedOn w:val="Standaard"/>
    <w:link w:val="TekstopmerkingChar"/>
    <w:uiPriority w:val="99"/>
    <w:unhideWhenUsed/>
    <w:rsid w:val="00BE0942"/>
    <w:pPr>
      <w:spacing w:line="240" w:lineRule="auto"/>
    </w:pPr>
    <w:rPr>
      <w:sz w:val="20"/>
      <w:szCs w:val="20"/>
    </w:rPr>
  </w:style>
  <w:style w:type="character" w:customStyle="1" w:styleId="TekstopmerkingChar">
    <w:name w:val="Tekst opmerking Char"/>
    <w:basedOn w:val="Standaardalinea-lettertype"/>
    <w:link w:val="Tekstopmerking"/>
    <w:uiPriority w:val="99"/>
    <w:rsid w:val="00BE0942"/>
    <w:rPr>
      <w:rFonts w:ascii="Verdana" w:hAnsi="Verdana"/>
      <w:color w:val="000000"/>
    </w:rPr>
  </w:style>
  <w:style w:type="paragraph" w:customStyle="1" w:styleId="TableParagraph">
    <w:name w:val="Table Paragraph"/>
    <w:basedOn w:val="Standaard"/>
    <w:uiPriority w:val="1"/>
    <w:qFormat/>
    <w:rsid w:val="00BB32A8"/>
    <w:pPr>
      <w:widowControl w:val="0"/>
      <w:autoSpaceDE w:val="0"/>
      <w:spacing w:line="240" w:lineRule="auto"/>
      <w:ind w:left="107"/>
      <w:textAlignment w:val="auto"/>
    </w:pPr>
    <w:rPr>
      <w:rFonts w:eastAsia="Verdana" w:cs="Verdana"/>
      <w:color w:val="auto"/>
      <w:sz w:val="22"/>
      <w:szCs w:val="22"/>
      <w:lang w:eastAsia="en-US"/>
    </w:rPr>
  </w:style>
  <w:style w:type="paragraph" w:customStyle="1" w:styleId="Default">
    <w:name w:val="Default"/>
    <w:rsid w:val="00BB32A8"/>
    <w:pPr>
      <w:autoSpaceDE w:val="0"/>
      <w:adjustRightInd w:val="0"/>
      <w:textAlignment w:val="auto"/>
    </w:pPr>
    <w:rPr>
      <w:rFonts w:ascii="EBBFE I+ Univers" w:eastAsiaTheme="minorHAnsi" w:hAnsi="EBBFE I+ Univers" w:cs="EBBFE I+ Univers"/>
      <w:color w:val="000000"/>
      <w:sz w:val="24"/>
      <w:szCs w:val="24"/>
      <w:lang w:eastAsia="en-US"/>
      <w14:ligatures w14:val="standardContextual"/>
    </w:rPr>
  </w:style>
  <w:style w:type="paragraph" w:styleId="Revisie">
    <w:name w:val="Revision"/>
    <w:hidden/>
    <w:uiPriority w:val="99"/>
    <w:semiHidden/>
    <w:rsid w:val="00BB32A8"/>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697F2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7F20"/>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2D0FED"/>
    <w:rPr>
      <w:b/>
      <w:bCs/>
    </w:rPr>
  </w:style>
  <w:style w:type="character" w:customStyle="1" w:styleId="OnderwerpvanopmerkingChar">
    <w:name w:val="Onderwerp van opmerking Char"/>
    <w:basedOn w:val="TekstopmerkingChar"/>
    <w:link w:val="Onderwerpvanopmerking"/>
    <w:uiPriority w:val="99"/>
    <w:semiHidden/>
    <w:rsid w:val="002D0FED"/>
    <w:rPr>
      <w:rFonts w:ascii="Verdana" w:hAnsi="Verdana"/>
      <w:b/>
      <w:bCs/>
      <w:color w:val="000000"/>
    </w:rPr>
  </w:style>
  <w:style w:type="character" w:styleId="Onopgelostemelding">
    <w:name w:val="Unresolved Mention"/>
    <w:basedOn w:val="Standaardalinea-lettertype"/>
    <w:uiPriority w:val="99"/>
    <w:semiHidden/>
    <w:unhideWhenUsed/>
    <w:rsid w:val="00CC5D3E"/>
    <w:rPr>
      <w:color w:val="605E5C"/>
      <w:shd w:val="clear" w:color="auto" w:fill="E1DFDD"/>
    </w:rPr>
  </w:style>
  <w:style w:type="paragraph" w:customStyle="1" w:styleId="witregel1">
    <w:name w:val="witregel1"/>
    <w:basedOn w:val="Standaard"/>
    <w:rsid w:val="00A36994"/>
    <w:pPr>
      <w:tabs>
        <w:tab w:val="left" w:pos="227"/>
        <w:tab w:val="left" w:pos="454"/>
        <w:tab w:val="left" w:pos="680"/>
      </w:tabs>
      <w:autoSpaceDE w:val="0"/>
      <w:adjustRightInd w:val="0"/>
      <w:spacing w:line="90" w:lineRule="atLeast"/>
      <w:textAlignment w:val="auto"/>
    </w:pPr>
    <w:rPr>
      <w:rFonts w:eastAsia="Times New Roman" w:cs="Times New Roman"/>
      <w:color w:val="auto"/>
      <w:sz w:val="2"/>
    </w:rPr>
  </w:style>
  <w:style w:type="paragraph" w:customStyle="1" w:styleId="afzendkopje">
    <w:name w:val="afzendkopje"/>
    <w:basedOn w:val="Standaard"/>
    <w:rsid w:val="00A3699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afzendgegevens">
    <w:name w:val="afzendgegevens"/>
    <w:basedOn w:val="Standaard"/>
    <w:rsid w:val="00A36994"/>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gegevens0">
    <w:name w:val="referentiegegevens"/>
    <w:basedOn w:val="Standaard"/>
    <w:rsid w:val="00A36994"/>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kopjes">
    <w:name w:val="referentiekopjes"/>
    <w:basedOn w:val="Standaard"/>
    <w:next w:val="referentiegegevens0"/>
    <w:rsid w:val="00A3699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witregel2">
    <w:name w:val="witregel2"/>
    <w:basedOn w:val="Standaard"/>
    <w:rsid w:val="00A36994"/>
    <w:pPr>
      <w:tabs>
        <w:tab w:val="left" w:pos="227"/>
        <w:tab w:val="left" w:pos="454"/>
        <w:tab w:val="left" w:pos="680"/>
      </w:tabs>
      <w:autoSpaceDE w:val="0"/>
      <w:adjustRightInd w:val="0"/>
      <w:spacing w:line="270" w:lineRule="atLeast"/>
      <w:textAlignment w:val="auto"/>
    </w:pPr>
    <w:rPr>
      <w:rFonts w:eastAsia="Times New Roman" w:cs="Times New Roman"/>
      <w:color w:val="auto"/>
      <w:sz w:val="2"/>
    </w:rPr>
  </w:style>
  <w:style w:type="paragraph" w:customStyle="1" w:styleId="clausule">
    <w:name w:val="clausule"/>
    <w:basedOn w:val="Standaard"/>
    <w:rsid w:val="00A36994"/>
    <w:pPr>
      <w:tabs>
        <w:tab w:val="left" w:pos="227"/>
        <w:tab w:val="left" w:pos="454"/>
        <w:tab w:val="left" w:pos="680"/>
      </w:tabs>
      <w:autoSpaceDE w:val="0"/>
      <w:adjustRightInd w:val="0"/>
      <w:spacing w:line="180" w:lineRule="atLeast"/>
      <w:textAlignment w:val="auto"/>
    </w:pPr>
    <w:rPr>
      <w:rFonts w:eastAsia="Times New Roman" w:cs="Times New Roman"/>
      <w:i/>
      <w:color w:val="auto"/>
      <w:sz w:val="13"/>
    </w:rPr>
  </w:style>
  <w:style w:type="paragraph" w:customStyle="1" w:styleId="afzendgegevens-bold">
    <w:name w:val="afzendgegevens-bold"/>
    <w:basedOn w:val="afzendgegevens"/>
    <w:rsid w:val="00A36994"/>
    <w:rPr>
      <w:b/>
    </w:rPr>
  </w:style>
  <w:style w:type="paragraph" w:customStyle="1" w:styleId="adres">
    <w:name w:val="adres"/>
    <w:basedOn w:val="Standaard"/>
    <w:rsid w:val="00A36994"/>
    <w:pPr>
      <w:tabs>
        <w:tab w:val="left" w:pos="227"/>
        <w:tab w:val="left" w:pos="454"/>
        <w:tab w:val="left" w:pos="680"/>
      </w:tabs>
      <w:autoSpaceDE w:val="0"/>
      <w:adjustRightInd w:val="0"/>
      <w:textAlignment w:val="auto"/>
    </w:pPr>
    <w:rPr>
      <w:rFonts w:eastAsia="Times New Roman" w:cs="Times New Roman"/>
      <w:noProof/>
      <w:color w:val="auto"/>
    </w:rPr>
  </w:style>
  <w:style w:type="character" w:styleId="GevolgdeHyperlink">
    <w:name w:val="FollowedHyperlink"/>
    <w:basedOn w:val="Standaardalinea-lettertype"/>
    <w:uiPriority w:val="99"/>
    <w:semiHidden/>
    <w:unhideWhenUsed/>
    <w:rsid w:val="00AA35C8"/>
    <w:rPr>
      <w:color w:val="96607D" w:themeColor="followedHyperlink"/>
      <w:u w:val="single"/>
    </w:rPr>
  </w:style>
  <w:style w:type="paragraph" w:customStyle="1" w:styleId="broodtekst">
    <w:name w:val="broodtekst"/>
    <w:basedOn w:val="Standaard"/>
    <w:qFormat/>
    <w:rsid w:val="00453D2D"/>
    <w:pPr>
      <w:autoSpaceDE w:val="0"/>
      <w:adjustRightInd w:val="0"/>
      <w:textAlignment w:val="auto"/>
    </w:pPr>
    <w:rPr>
      <w:rFonts w:eastAsia="Times New Roman" w:cs="Times New Roman"/>
      <w:color w:val="auto"/>
    </w:rPr>
  </w:style>
  <w:style w:type="paragraph" w:customStyle="1" w:styleId="broodtekst-bold">
    <w:name w:val="broodtekst-bold"/>
    <w:basedOn w:val="broodtekst"/>
    <w:uiPriority w:val="1"/>
    <w:qFormat/>
    <w:rsid w:val="00453D2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7613">
      <w:bodyDiv w:val="1"/>
      <w:marLeft w:val="0"/>
      <w:marRight w:val="0"/>
      <w:marTop w:val="0"/>
      <w:marBottom w:val="0"/>
      <w:divBdr>
        <w:top w:val="none" w:sz="0" w:space="0" w:color="auto"/>
        <w:left w:val="none" w:sz="0" w:space="0" w:color="auto"/>
        <w:bottom w:val="none" w:sz="0" w:space="0" w:color="auto"/>
        <w:right w:val="none" w:sz="0" w:space="0" w:color="auto"/>
      </w:divBdr>
    </w:div>
    <w:div w:id="239947800">
      <w:bodyDiv w:val="1"/>
      <w:marLeft w:val="0"/>
      <w:marRight w:val="0"/>
      <w:marTop w:val="0"/>
      <w:marBottom w:val="0"/>
      <w:divBdr>
        <w:top w:val="none" w:sz="0" w:space="0" w:color="auto"/>
        <w:left w:val="none" w:sz="0" w:space="0" w:color="auto"/>
        <w:bottom w:val="none" w:sz="0" w:space="0" w:color="auto"/>
        <w:right w:val="none" w:sz="0" w:space="0" w:color="auto"/>
      </w:divBdr>
    </w:div>
    <w:div w:id="301154029">
      <w:bodyDiv w:val="1"/>
      <w:marLeft w:val="0"/>
      <w:marRight w:val="0"/>
      <w:marTop w:val="0"/>
      <w:marBottom w:val="0"/>
      <w:divBdr>
        <w:top w:val="none" w:sz="0" w:space="0" w:color="auto"/>
        <w:left w:val="none" w:sz="0" w:space="0" w:color="auto"/>
        <w:bottom w:val="none" w:sz="0" w:space="0" w:color="auto"/>
        <w:right w:val="none" w:sz="0" w:space="0" w:color="auto"/>
      </w:divBdr>
    </w:div>
    <w:div w:id="360669757">
      <w:bodyDiv w:val="1"/>
      <w:marLeft w:val="0"/>
      <w:marRight w:val="0"/>
      <w:marTop w:val="0"/>
      <w:marBottom w:val="0"/>
      <w:divBdr>
        <w:top w:val="none" w:sz="0" w:space="0" w:color="auto"/>
        <w:left w:val="none" w:sz="0" w:space="0" w:color="auto"/>
        <w:bottom w:val="none" w:sz="0" w:space="0" w:color="auto"/>
        <w:right w:val="none" w:sz="0" w:space="0" w:color="auto"/>
      </w:divBdr>
      <w:divsChild>
        <w:div w:id="1211452538">
          <w:marLeft w:val="0"/>
          <w:marRight w:val="0"/>
          <w:marTop w:val="0"/>
          <w:marBottom w:val="0"/>
          <w:divBdr>
            <w:top w:val="none" w:sz="0" w:space="0" w:color="auto"/>
            <w:left w:val="none" w:sz="0" w:space="0" w:color="auto"/>
            <w:bottom w:val="none" w:sz="0" w:space="0" w:color="auto"/>
            <w:right w:val="none" w:sz="0" w:space="0" w:color="auto"/>
          </w:divBdr>
        </w:div>
      </w:divsChild>
    </w:div>
    <w:div w:id="432669759">
      <w:bodyDiv w:val="1"/>
      <w:marLeft w:val="0"/>
      <w:marRight w:val="0"/>
      <w:marTop w:val="0"/>
      <w:marBottom w:val="0"/>
      <w:divBdr>
        <w:top w:val="none" w:sz="0" w:space="0" w:color="auto"/>
        <w:left w:val="none" w:sz="0" w:space="0" w:color="auto"/>
        <w:bottom w:val="none" w:sz="0" w:space="0" w:color="auto"/>
        <w:right w:val="none" w:sz="0" w:space="0" w:color="auto"/>
      </w:divBdr>
    </w:div>
    <w:div w:id="459302837">
      <w:bodyDiv w:val="1"/>
      <w:marLeft w:val="0"/>
      <w:marRight w:val="0"/>
      <w:marTop w:val="0"/>
      <w:marBottom w:val="0"/>
      <w:divBdr>
        <w:top w:val="none" w:sz="0" w:space="0" w:color="auto"/>
        <w:left w:val="none" w:sz="0" w:space="0" w:color="auto"/>
        <w:bottom w:val="none" w:sz="0" w:space="0" w:color="auto"/>
        <w:right w:val="none" w:sz="0" w:space="0" w:color="auto"/>
      </w:divBdr>
    </w:div>
    <w:div w:id="493180362">
      <w:bodyDiv w:val="1"/>
      <w:marLeft w:val="0"/>
      <w:marRight w:val="0"/>
      <w:marTop w:val="0"/>
      <w:marBottom w:val="0"/>
      <w:divBdr>
        <w:top w:val="none" w:sz="0" w:space="0" w:color="auto"/>
        <w:left w:val="none" w:sz="0" w:space="0" w:color="auto"/>
        <w:bottom w:val="none" w:sz="0" w:space="0" w:color="auto"/>
        <w:right w:val="none" w:sz="0" w:space="0" w:color="auto"/>
      </w:divBdr>
    </w:div>
    <w:div w:id="527065772">
      <w:bodyDiv w:val="1"/>
      <w:marLeft w:val="0"/>
      <w:marRight w:val="0"/>
      <w:marTop w:val="0"/>
      <w:marBottom w:val="0"/>
      <w:divBdr>
        <w:top w:val="none" w:sz="0" w:space="0" w:color="auto"/>
        <w:left w:val="none" w:sz="0" w:space="0" w:color="auto"/>
        <w:bottom w:val="none" w:sz="0" w:space="0" w:color="auto"/>
        <w:right w:val="none" w:sz="0" w:space="0" w:color="auto"/>
      </w:divBdr>
    </w:div>
    <w:div w:id="579872394">
      <w:bodyDiv w:val="1"/>
      <w:marLeft w:val="0"/>
      <w:marRight w:val="0"/>
      <w:marTop w:val="0"/>
      <w:marBottom w:val="0"/>
      <w:divBdr>
        <w:top w:val="none" w:sz="0" w:space="0" w:color="auto"/>
        <w:left w:val="none" w:sz="0" w:space="0" w:color="auto"/>
        <w:bottom w:val="none" w:sz="0" w:space="0" w:color="auto"/>
        <w:right w:val="none" w:sz="0" w:space="0" w:color="auto"/>
      </w:divBdr>
    </w:div>
    <w:div w:id="644286558">
      <w:bodyDiv w:val="1"/>
      <w:marLeft w:val="0"/>
      <w:marRight w:val="0"/>
      <w:marTop w:val="0"/>
      <w:marBottom w:val="0"/>
      <w:divBdr>
        <w:top w:val="none" w:sz="0" w:space="0" w:color="auto"/>
        <w:left w:val="none" w:sz="0" w:space="0" w:color="auto"/>
        <w:bottom w:val="none" w:sz="0" w:space="0" w:color="auto"/>
        <w:right w:val="none" w:sz="0" w:space="0" w:color="auto"/>
      </w:divBdr>
    </w:div>
    <w:div w:id="657660471">
      <w:bodyDiv w:val="1"/>
      <w:marLeft w:val="0"/>
      <w:marRight w:val="0"/>
      <w:marTop w:val="0"/>
      <w:marBottom w:val="0"/>
      <w:divBdr>
        <w:top w:val="none" w:sz="0" w:space="0" w:color="auto"/>
        <w:left w:val="none" w:sz="0" w:space="0" w:color="auto"/>
        <w:bottom w:val="none" w:sz="0" w:space="0" w:color="auto"/>
        <w:right w:val="none" w:sz="0" w:space="0" w:color="auto"/>
      </w:divBdr>
    </w:div>
    <w:div w:id="751321584">
      <w:bodyDiv w:val="1"/>
      <w:marLeft w:val="0"/>
      <w:marRight w:val="0"/>
      <w:marTop w:val="0"/>
      <w:marBottom w:val="0"/>
      <w:divBdr>
        <w:top w:val="none" w:sz="0" w:space="0" w:color="auto"/>
        <w:left w:val="none" w:sz="0" w:space="0" w:color="auto"/>
        <w:bottom w:val="none" w:sz="0" w:space="0" w:color="auto"/>
        <w:right w:val="none" w:sz="0" w:space="0" w:color="auto"/>
      </w:divBdr>
    </w:div>
    <w:div w:id="923488922">
      <w:bodyDiv w:val="1"/>
      <w:marLeft w:val="0"/>
      <w:marRight w:val="0"/>
      <w:marTop w:val="0"/>
      <w:marBottom w:val="0"/>
      <w:divBdr>
        <w:top w:val="none" w:sz="0" w:space="0" w:color="auto"/>
        <w:left w:val="none" w:sz="0" w:space="0" w:color="auto"/>
        <w:bottom w:val="none" w:sz="0" w:space="0" w:color="auto"/>
        <w:right w:val="none" w:sz="0" w:space="0" w:color="auto"/>
      </w:divBdr>
    </w:div>
    <w:div w:id="933782142">
      <w:bodyDiv w:val="1"/>
      <w:marLeft w:val="0"/>
      <w:marRight w:val="0"/>
      <w:marTop w:val="0"/>
      <w:marBottom w:val="0"/>
      <w:divBdr>
        <w:top w:val="none" w:sz="0" w:space="0" w:color="auto"/>
        <w:left w:val="none" w:sz="0" w:space="0" w:color="auto"/>
        <w:bottom w:val="none" w:sz="0" w:space="0" w:color="auto"/>
        <w:right w:val="none" w:sz="0" w:space="0" w:color="auto"/>
      </w:divBdr>
    </w:div>
    <w:div w:id="979728048">
      <w:bodyDiv w:val="1"/>
      <w:marLeft w:val="0"/>
      <w:marRight w:val="0"/>
      <w:marTop w:val="0"/>
      <w:marBottom w:val="0"/>
      <w:divBdr>
        <w:top w:val="none" w:sz="0" w:space="0" w:color="auto"/>
        <w:left w:val="none" w:sz="0" w:space="0" w:color="auto"/>
        <w:bottom w:val="none" w:sz="0" w:space="0" w:color="auto"/>
        <w:right w:val="none" w:sz="0" w:space="0" w:color="auto"/>
      </w:divBdr>
    </w:div>
    <w:div w:id="10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8894855">
          <w:marLeft w:val="0"/>
          <w:marRight w:val="0"/>
          <w:marTop w:val="0"/>
          <w:marBottom w:val="0"/>
          <w:divBdr>
            <w:top w:val="none" w:sz="0" w:space="0" w:color="auto"/>
            <w:left w:val="none" w:sz="0" w:space="0" w:color="auto"/>
            <w:bottom w:val="none" w:sz="0" w:space="0" w:color="auto"/>
            <w:right w:val="none" w:sz="0" w:space="0" w:color="auto"/>
          </w:divBdr>
        </w:div>
      </w:divsChild>
    </w:div>
    <w:div w:id="1244337479">
      <w:bodyDiv w:val="1"/>
      <w:marLeft w:val="0"/>
      <w:marRight w:val="0"/>
      <w:marTop w:val="0"/>
      <w:marBottom w:val="0"/>
      <w:divBdr>
        <w:top w:val="none" w:sz="0" w:space="0" w:color="auto"/>
        <w:left w:val="none" w:sz="0" w:space="0" w:color="auto"/>
        <w:bottom w:val="none" w:sz="0" w:space="0" w:color="auto"/>
        <w:right w:val="none" w:sz="0" w:space="0" w:color="auto"/>
      </w:divBdr>
    </w:div>
    <w:div w:id="1344743867">
      <w:bodyDiv w:val="1"/>
      <w:marLeft w:val="0"/>
      <w:marRight w:val="0"/>
      <w:marTop w:val="0"/>
      <w:marBottom w:val="0"/>
      <w:divBdr>
        <w:top w:val="none" w:sz="0" w:space="0" w:color="auto"/>
        <w:left w:val="none" w:sz="0" w:space="0" w:color="auto"/>
        <w:bottom w:val="none" w:sz="0" w:space="0" w:color="auto"/>
        <w:right w:val="none" w:sz="0" w:space="0" w:color="auto"/>
      </w:divBdr>
    </w:div>
    <w:div w:id="1364016026">
      <w:bodyDiv w:val="1"/>
      <w:marLeft w:val="0"/>
      <w:marRight w:val="0"/>
      <w:marTop w:val="0"/>
      <w:marBottom w:val="0"/>
      <w:divBdr>
        <w:top w:val="none" w:sz="0" w:space="0" w:color="auto"/>
        <w:left w:val="none" w:sz="0" w:space="0" w:color="auto"/>
        <w:bottom w:val="none" w:sz="0" w:space="0" w:color="auto"/>
        <w:right w:val="none" w:sz="0" w:space="0" w:color="auto"/>
      </w:divBdr>
    </w:div>
    <w:div w:id="1380276355">
      <w:bodyDiv w:val="1"/>
      <w:marLeft w:val="0"/>
      <w:marRight w:val="0"/>
      <w:marTop w:val="0"/>
      <w:marBottom w:val="0"/>
      <w:divBdr>
        <w:top w:val="none" w:sz="0" w:space="0" w:color="auto"/>
        <w:left w:val="none" w:sz="0" w:space="0" w:color="auto"/>
        <w:bottom w:val="none" w:sz="0" w:space="0" w:color="auto"/>
        <w:right w:val="none" w:sz="0" w:space="0" w:color="auto"/>
      </w:divBdr>
    </w:div>
    <w:div w:id="1434743612">
      <w:bodyDiv w:val="1"/>
      <w:marLeft w:val="0"/>
      <w:marRight w:val="0"/>
      <w:marTop w:val="0"/>
      <w:marBottom w:val="0"/>
      <w:divBdr>
        <w:top w:val="none" w:sz="0" w:space="0" w:color="auto"/>
        <w:left w:val="none" w:sz="0" w:space="0" w:color="auto"/>
        <w:bottom w:val="none" w:sz="0" w:space="0" w:color="auto"/>
        <w:right w:val="none" w:sz="0" w:space="0" w:color="auto"/>
      </w:divBdr>
    </w:div>
    <w:div w:id="1526361877">
      <w:bodyDiv w:val="1"/>
      <w:marLeft w:val="0"/>
      <w:marRight w:val="0"/>
      <w:marTop w:val="0"/>
      <w:marBottom w:val="0"/>
      <w:divBdr>
        <w:top w:val="none" w:sz="0" w:space="0" w:color="auto"/>
        <w:left w:val="none" w:sz="0" w:space="0" w:color="auto"/>
        <w:bottom w:val="none" w:sz="0" w:space="0" w:color="auto"/>
        <w:right w:val="none" w:sz="0" w:space="0" w:color="auto"/>
      </w:divBdr>
    </w:div>
    <w:div w:id="1697848157">
      <w:bodyDiv w:val="1"/>
      <w:marLeft w:val="0"/>
      <w:marRight w:val="0"/>
      <w:marTop w:val="0"/>
      <w:marBottom w:val="0"/>
      <w:divBdr>
        <w:top w:val="none" w:sz="0" w:space="0" w:color="auto"/>
        <w:left w:val="none" w:sz="0" w:space="0" w:color="auto"/>
        <w:bottom w:val="none" w:sz="0" w:space="0" w:color="auto"/>
        <w:right w:val="none" w:sz="0" w:space="0" w:color="auto"/>
      </w:divBdr>
      <w:divsChild>
        <w:div w:id="492258815">
          <w:marLeft w:val="0"/>
          <w:marRight w:val="0"/>
          <w:marTop w:val="0"/>
          <w:marBottom w:val="0"/>
          <w:divBdr>
            <w:top w:val="none" w:sz="0" w:space="0" w:color="auto"/>
            <w:left w:val="none" w:sz="0" w:space="0" w:color="auto"/>
            <w:bottom w:val="none" w:sz="0" w:space="0" w:color="auto"/>
            <w:right w:val="none" w:sz="0" w:space="0" w:color="auto"/>
          </w:divBdr>
          <w:divsChild>
            <w:div w:id="1764112008">
              <w:marLeft w:val="0"/>
              <w:marRight w:val="0"/>
              <w:marTop w:val="0"/>
              <w:marBottom w:val="0"/>
              <w:divBdr>
                <w:top w:val="none" w:sz="0" w:space="0" w:color="auto"/>
                <w:left w:val="none" w:sz="0" w:space="0" w:color="auto"/>
                <w:bottom w:val="none" w:sz="0" w:space="0" w:color="auto"/>
                <w:right w:val="none" w:sz="0" w:space="0" w:color="auto"/>
              </w:divBdr>
            </w:div>
          </w:divsChild>
        </w:div>
        <w:div w:id="1699232078">
          <w:marLeft w:val="0"/>
          <w:marRight w:val="0"/>
          <w:marTop w:val="0"/>
          <w:marBottom w:val="0"/>
          <w:divBdr>
            <w:top w:val="none" w:sz="0" w:space="0" w:color="auto"/>
            <w:left w:val="none" w:sz="0" w:space="0" w:color="auto"/>
            <w:bottom w:val="none" w:sz="0" w:space="0" w:color="auto"/>
            <w:right w:val="none" w:sz="0" w:space="0" w:color="auto"/>
          </w:divBdr>
        </w:div>
        <w:div w:id="1996492373">
          <w:marLeft w:val="0"/>
          <w:marRight w:val="0"/>
          <w:marTop w:val="0"/>
          <w:marBottom w:val="0"/>
          <w:divBdr>
            <w:top w:val="none" w:sz="0" w:space="0" w:color="auto"/>
            <w:left w:val="none" w:sz="0" w:space="0" w:color="auto"/>
            <w:bottom w:val="none" w:sz="0" w:space="0" w:color="auto"/>
            <w:right w:val="none" w:sz="0" w:space="0" w:color="auto"/>
          </w:divBdr>
        </w:div>
      </w:divsChild>
    </w:div>
    <w:div w:id="1709066055">
      <w:bodyDiv w:val="1"/>
      <w:marLeft w:val="0"/>
      <w:marRight w:val="0"/>
      <w:marTop w:val="0"/>
      <w:marBottom w:val="0"/>
      <w:divBdr>
        <w:top w:val="none" w:sz="0" w:space="0" w:color="auto"/>
        <w:left w:val="none" w:sz="0" w:space="0" w:color="auto"/>
        <w:bottom w:val="none" w:sz="0" w:space="0" w:color="auto"/>
        <w:right w:val="none" w:sz="0" w:space="0" w:color="auto"/>
      </w:divBdr>
    </w:div>
    <w:div w:id="1721586080">
      <w:bodyDiv w:val="1"/>
      <w:marLeft w:val="0"/>
      <w:marRight w:val="0"/>
      <w:marTop w:val="0"/>
      <w:marBottom w:val="0"/>
      <w:divBdr>
        <w:top w:val="none" w:sz="0" w:space="0" w:color="auto"/>
        <w:left w:val="none" w:sz="0" w:space="0" w:color="auto"/>
        <w:bottom w:val="none" w:sz="0" w:space="0" w:color="auto"/>
        <w:right w:val="none" w:sz="0" w:space="0" w:color="auto"/>
      </w:divBdr>
      <w:divsChild>
        <w:div w:id="946501677">
          <w:marLeft w:val="0"/>
          <w:marRight w:val="0"/>
          <w:marTop w:val="0"/>
          <w:marBottom w:val="0"/>
          <w:divBdr>
            <w:top w:val="none" w:sz="0" w:space="0" w:color="auto"/>
            <w:left w:val="none" w:sz="0" w:space="0" w:color="auto"/>
            <w:bottom w:val="none" w:sz="0" w:space="0" w:color="auto"/>
            <w:right w:val="none" w:sz="0" w:space="0" w:color="auto"/>
          </w:divBdr>
          <w:divsChild>
            <w:div w:id="2017728265">
              <w:marLeft w:val="0"/>
              <w:marRight w:val="0"/>
              <w:marTop w:val="0"/>
              <w:marBottom w:val="0"/>
              <w:divBdr>
                <w:top w:val="none" w:sz="0" w:space="0" w:color="auto"/>
                <w:left w:val="none" w:sz="0" w:space="0" w:color="auto"/>
                <w:bottom w:val="none" w:sz="0" w:space="0" w:color="auto"/>
                <w:right w:val="none" w:sz="0" w:space="0" w:color="auto"/>
              </w:divBdr>
            </w:div>
          </w:divsChild>
        </w:div>
        <w:div w:id="642585594">
          <w:marLeft w:val="0"/>
          <w:marRight w:val="0"/>
          <w:marTop w:val="0"/>
          <w:marBottom w:val="0"/>
          <w:divBdr>
            <w:top w:val="none" w:sz="0" w:space="0" w:color="auto"/>
            <w:left w:val="none" w:sz="0" w:space="0" w:color="auto"/>
            <w:bottom w:val="none" w:sz="0" w:space="0" w:color="auto"/>
            <w:right w:val="none" w:sz="0" w:space="0" w:color="auto"/>
          </w:divBdr>
        </w:div>
        <w:div w:id="2076589403">
          <w:marLeft w:val="0"/>
          <w:marRight w:val="0"/>
          <w:marTop w:val="0"/>
          <w:marBottom w:val="0"/>
          <w:divBdr>
            <w:top w:val="none" w:sz="0" w:space="0" w:color="auto"/>
            <w:left w:val="none" w:sz="0" w:space="0" w:color="auto"/>
            <w:bottom w:val="none" w:sz="0" w:space="0" w:color="auto"/>
            <w:right w:val="none" w:sz="0" w:space="0" w:color="auto"/>
          </w:divBdr>
        </w:div>
      </w:divsChild>
    </w:div>
    <w:div w:id="1722902412">
      <w:bodyDiv w:val="1"/>
      <w:marLeft w:val="0"/>
      <w:marRight w:val="0"/>
      <w:marTop w:val="0"/>
      <w:marBottom w:val="0"/>
      <w:divBdr>
        <w:top w:val="none" w:sz="0" w:space="0" w:color="auto"/>
        <w:left w:val="none" w:sz="0" w:space="0" w:color="auto"/>
        <w:bottom w:val="none" w:sz="0" w:space="0" w:color="auto"/>
        <w:right w:val="none" w:sz="0" w:space="0" w:color="auto"/>
      </w:divBdr>
      <w:divsChild>
        <w:div w:id="1467510157">
          <w:marLeft w:val="0"/>
          <w:marRight w:val="0"/>
          <w:marTop w:val="0"/>
          <w:marBottom w:val="0"/>
          <w:divBdr>
            <w:top w:val="none" w:sz="0" w:space="0" w:color="auto"/>
            <w:left w:val="none" w:sz="0" w:space="0" w:color="auto"/>
            <w:bottom w:val="none" w:sz="0" w:space="0" w:color="auto"/>
            <w:right w:val="none" w:sz="0" w:space="0" w:color="auto"/>
          </w:divBdr>
        </w:div>
      </w:divsChild>
    </w:div>
    <w:div w:id="1779645226">
      <w:bodyDiv w:val="1"/>
      <w:marLeft w:val="0"/>
      <w:marRight w:val="0"/>
      <w:marTop w:val="0"/>
      <w:marBottom w:val="0"/>
      <w:divBdr>
        <w:top w:val="none" w:sz="0" w:space="0" w:color="auto"/>
        <w:left w:val="none" w:sz="0" w:space="0" w:color="auto"/>
        <w:bottom w:val="none" w:sz="0" w:space="0" w:color="auto"/>
        <w:right w:val="none" w:sz="0" w:space="0" w:color="auto"/>
      </w:divBdr>
    </w:div>
    <w:div w:id="1871645260">
      <w:bodyDiv w:val="1"/>
      <w:marLeft w:val="0"/>
      <w:marRight w:val="0"/>
      <w:marTop w:val="0"/>
      <w:marBottom w:val="0"/>
      <w:divBdr>
        <w:top w:val="none" w:sz="0" w:space="0" w:color="auto"/>
        <w:left w:val="none" w:sz="0" w:space="0" w:color="auto"/>
        <w:bottom w:val="none" w:sz="0" w:space="0" w:color="auto"/>
        <w:right w:val="none" w:sz="0" w:space="0" w:color="auto"/>
      </w:divBdr>
    </w:div>
    <w:div w:id="1911772748">
      <w:bodyDiv w:val="1"/>
      <w:marLeft w:val="0"/>
      <w:marRight w:val="0"/>
      <w:marTop w:val="0"/>
      <w:marBottom w:val="0"/>
      <w:divBdr>
        <w:top w:val="none" w:sz="0" w:space="0" w:color="auto"/>
        <w:left w:val="none" w:sz="0" w:space="0" w:color="auto"/>
        <w:bottom w:val="none" w:sz="0" w:space="0" w:color="auto"/>
        <w:right w:val="none" w:sz="0" w:space="0" w:color="auto"/>
      </w:divBdr>
    </w:div>
    <w:div w:id="1918199890">
      <w:bodyDiv w:val="1"/>
      <w:marLeft w:val="0"/>
      <w:marRight w:val="0"/>
      <w:marTop w:val="0"/>
      <w:marBottom w:val="0"/>
      <w:divBdr>
        <w:top w:val="none" w:sz="0" w:space="0" w:color="auto"/>
        <w:left w:val="none" w:sz="0" w:space="0" w:color="auto"/>
        <w:bottom w:val="none" w:sz="0" w:space="0" w:color="auto"/>
        <w:right w:val="none" w:sz="0" w:space="0" w:color="auto"/>
      </w:divBdr>
      <w:divsChild>
        <w:div w:id="2115861639">
          <w:marLeft w:val="0"/>
          <w:marRight w:val="0"/>
          <w:marTop w:val="0"/>
          <w:marBottom w:val="0"/>
          <w:divBdr>
            <w:top w:val="none" w:sz="0" w:space="0" w:color="auto"/>
            <w:left w:val="none" w:sz="0" w:space="0" w:color="auto"/>
            <w:bottom w:val="none" w:sz="0" w:space="0" w:color="auto"/>
            <w:right w:val="none" w:sz="0" w:space="0" w:color="auto"/>
          </w:divBdr>
        </w:div>
      </w:divsChild>
    </w:div>
    <w:div w:id="2041008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2568</ap:Words>
  <ap:Characters>14130</ap:Characters>
  <ap:DocSecurity>0</ap:DocSecurity>
  <ap:Lines>117</ap:Lines>
  <ap:Paragraphs>33</ap:Paragraphs>
  <ap:ScaleCrop>false</ap:ScaleCrop>
  <ap:LinksUpToDate>false</ap:LinksUpToDate>
  <ap:CharactersWithSpaces>16665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2026-04-22T12:22:00.0000000Z</dcterms:created>
  <dcterms:modified xsi:type="dcterms:W3CDTF">2026-04-22T12:22:00.0000000Z</dcterms:modified>
  <dc:description>------------------------</dc:description>
  <dc:subject/>
  <keywords/>
  <version/>
  <category/>
</coreProperties>
</file>