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2B9" w:rsidP="00B302B9" w:rsidRDefault="00B302B9" w14:paraId="45503CEB" w14:textId="77777777">
      <w:pPr>
        <w:spacing w:line="240" w:lineRule="auto"/>
        <w:rPr>
          <w:b/>
          <w:bCs/>
          <w:lang w:val="nl-NL"/>
        </w:rPr>
      </w:pPr>
      <w:r w:rsidRPr="009D115B">
        <w:rPr>
          <w:b/>
          <w:bCs/>
          <w:lang w:val="nl-NL"/>
        </w:rPr>
        <w:t>2026Z04544</w:t>
      </w:r>
      <w:r>
        <w:rPr>
          <w:b/>
          <w:bCs/>
          <w:lang w:val="nl-NL"/>
        </w:rPr>
        <w:t xml:space="preserve"> </w:t>
      </w:r>
    </w:p>
    <w:p w:rsidR="006B46E0" w:rsidP="006B46E0" w:rsidRDefault="006B46E0" w14:paraId="0E05142B" w14:textId="060E1CDA">
      <w:pPr>
        <w:spacing w:line="240" w:lineRule="auto"/>
        <w:rPr>
          <w:b/>
          <w:bCs/>
          <w:lang w:val="nl-NL"/>
        </w:rPr>
      </w:pPr>
      <w:r w:rsidRPr="00FB278D">
        <w:rPr>
          <w:b/>
          <w:bCs/>
          <w:lang w:val="nl-NL"/>
        </w:rPr>
        <w:t>Vragen van het lid Vermeer (BBB) aan de staatssecretaris van Financi</w:t>
      </w:r>
      <w:r w:rsidRPr="00FB278D">
        <w:rPr>
          <w:rFonts w:hint="eastAsia"/>
          <w:b/>
          <w:bCs/>
          <w:lang w:val="nl-NL"/>
        </w:rPr>
        <w:t>ë</w:t>
      </w:r>
      <w:r w:rsidRPr="00FB278D">
        <w:rPr>
          <w:b/>
          <w:bCs/>
          <w:lang w:val="nl-NL"/>
        </w:rPr>
        <w:t>n over het terugkrijgen van belastingrente door belastingplichtigen die te veel hebben betaald in box 3.</w:t>
      </w:r>
    </w:p>
    <w:p w:rsidRPr="00B302B9" w:rsidR="00B302B9" w:rsidP="006B46E0" w:rsidRDefault="00B302B9" w14:paraId="6B834354" w14:textId="3FFF8254">
      <w:pPr>
        <w:spacing w:line="240" w:lineRule="auto"/>
        <w:rPr>
          <w:b/>
          <w:bCs/>
          <w:lang w:val="nl-NL"/>
        </w:rPr>
      </w:pPr>
      <w:r>
        <w:rPr>
          <w:b/>
          <w:bCs/>
          <w:lang w:val="nl-NL"/>
        </w:rPr>
        <w:t>Vraag 1</w:t>
      </w:r>
    </w:p>
    <w:p w:rsidR="006B46E0" w:rsidP="006B46E0" w:rsidRDefault="006B46E0" w14:paraId="73E37349" w14:textId="4837AC3A">
      <w:pPr>
        <w:spacing w:line="240" w:lineRule="auto"/>
        <w:rPr>
          <w:lang w:val="nl-NL"/>
        </w:rPr>
      </w:pPr>
      <w:r w:rsidRPr="00B302B9">
        <w:rPr>
          <w:lang w:val="nl-NL"/>
        </w:rPr>
        <w:t>Klopt het dat bezwaarmakers alleen belastingrente kunnen terugkrijgen als zij het OWR-formulier hebben ingediend voor de definitieve aanslag werd vastgesteld?</w:t>
      </w:r>
    </w:p>
    <w:p w:rsidRPr="00B302B9" w:rsidR="00B302B9" w:rsidP="006B46E0" w:rsidRDefault="00B302B9" w14:paraId="4813D497" w14:textId="01ADC2B3">
      <w:pPr>
        <w:spacing w:line="240" w:lineRule="auto"/>
        <w:rPr>
          <w:b/>
          <w:bCs/>
          <w:lang w:val="nl-NL"/>
        </w:rPr>
      </w:pPr>
      <w:r>
        <w:rPr>
          <w:b/>
          <w:bCs/>
          <w:lang w:val="nl-NL"/>
        </w:rPr>
        <w:t>Antwoord 1</w:t>
      </w:r>
    </w:p>
    <w:p w:rsidR="006B46E0" w:rsidP="006B46E0" w:rsidRDefault="006B46E0" w14:paraId="77CAA42A" w14:textId="490BDA2B">
      <w:pPr>
        <w:spacing w:line="240" w:lineRule="auto"/>
        <w:rPr>
          <w:lang w:val="nl-NL"/>
        </w:rPr>
      </w:pPr>
      <w:r>
        <w:rPr>
          <w:lang w:val="nl-NL"/>
        </w:rPr>
        <w:t>Dit klopt. Op grond van de huidige fiscale wet- en regelgeving</w:t>
      </w:r>
      <w:r>
        <w:rPr>
          <w:rStyle w:val="Voetnootmarkering"/>
          <w:lang w:val="nl-NL"/>
        </w:rPr>
        <w:footnoteReference w:id="1"/>
      </w:r>
      <w:r>
        <w:rPr>
          <w:lang w:val="nl-NL"/>
        </w:rPr>
        <w:t xml:space="preserve"> vindt geen rentevergoeding plaats in het geval dat een definitieve aanslag wordt verminderd bij bezwaar, via ambtshalve vermindering of na</w:t>
      </w:r>
      <w:r w:rsidRPr="0050700E">
        <w:rPr>
          <w:lang w:val="nl-NL"/>
        </w:rPr>
        <w:t>ar aanleiding van een gerechtelijke procedure</w:t>
      </w:r>
      <w:r>
        <w:rPr>
          <w:lang w:val="nl-NL"/>
        </w:rPr>
        <w:t>. De hoofdregel op basis van wetgeving is dat bij rechtsherstel box 3 alleen (belasting)rente vergoed wordt als het formulier Opgaaf werkelijk rendement (formulier OWR)</w:t>
      </w:r>
      <w:r w:rsidRPr="00770803">
        <w:rPr>
          <w:lang w:val="nl-NL"/>
        </w:rPr>
        <w:t xml:space="preserve"> </w:t>
      </w:r>
      <w:r>
        <w:rPr>
          <w:lang w:val="nl-NL"/>
        </w:rPr>
        <w:t>ingediend is voordat de definitieve aanslag is vastgesteld, aan alle overige wettelijke voorwaarden met betrekking tot belastingrentevergoeding is voldaan én dat formulier</w:t>
      </w:r>
      <w:r w:rsidR="00D00206">
        <w:rPr>
          <w:lang w:val="nl-NL"/>
        </w:rPr>
        <w:t xml:space="preserve"> OWR</w:t>
      </w:r>
      <w:r>
        <w:rPr>
          <w:lang w:val="nl-NL"/>
        </w:rPr>
        <w:t xml:space="preserve"> leidt tot een teruggaaf van belasting. </w:t>
      </w:r>
    </w:p>
    <w:p w:rsidR="00B302B9" w:rsidP="006B46E0" w:rsidRDefault="00B302B9" w14:paraId="2FD5F1B8" w14:textId="5102A77E">
      <w:pPr>
        <w:spacing w:line="240" w:lineRule="auto"/>
        <w:rPr>
          <w:lang w:val="nl-NL"/>
        </w:rPr>
      </w:pPr>
      <w:r>
        <w:rPr>
          <w:b/>
          <w:bCs/>
          <w:lang w:val="nl-NL"/>
        </w:rPr>
        <w:t>Vraag 2</w:t>
      </w:r>
    </w:p>
    <w:p w:rsidR="006B46E0" w:rsidP="006B46E0" w:rsidRDefault="006B46E0" w14:paraId="3408C7C9" w14:textId="764044D5">
      <w:pPr>
        <w:spacing w:line="240" w:lineRule="auto"/>
        <w:rPr>
          <w:lang w:val="nl-NL"/>
        </w:rPr>
      </w:pPr>
      <w:r w:rsidRPr="00B302B9">
        <w:rPr>
          <w:lang w:val="nl-NL"/>
        </w:rPr>
        <w:t>Klopt het dat de Belastingdienst doelbewust belastingplichtigen heeft geadviseerd om geen actie te ondernemen in afwachting van een brief met nadere informatie, waardoor zij geen recht hebben op terugbetaling inclusief belastingrente?</w:t>
      </w:r>
    </w:p>
    <w:p w:rsidRPr="00B302B9" w:rsidR="00B302B9" w:rsidP="00B302B9" w:rsidRDefault="00B302B9" w14:paraId="6361D764" w14:textId="4255B23C">
      <w:pPr>
        <w:spacing w:line="240" w:lineRule="auto"/>
        <w:rPr>
          <w:b/>
          <w:bCs/>
          <w:lang w:val="nl-NL"/>
        </w:rPr>
      </w:pPr>
      <w:r>
        <w:rPr>
          <w:b/>
          <w:bCs/>
          <w:lang w:val="nl-NL"/>
        </w:rPr>
        <w:t>Antwoord 2</w:t>
      </w:r>
    </w:p>
    <w:p w:rsidR="006B46E0" w:rsidP="006B46E0" w:rsidRDefault="00272935" w14:paraId="4FE52C7B" w14:textId="41D09A92">
      <w:pPr>
        <w:spacing w:line="240" w:lineRule="auto"/>
        <w:rPr>
          <w:lang w:val="nl-NL"/>
        </w:rPr>
      </w:pPr>
      <w:r>
        <w:rPr>
          <w:lang w:val="nl-NL"/>
        </w:rPr>
        <w:t>De</w:t>
      </w:r>
      <w:r w:rsidR="006B46E0">
        <w:rPr>
          <w:lang w:val="nl-NL"/>
        </w:rPr>
        <w:t xml:space="preserve"> Belastingdienst </w:t>
      </w:r>
      <w:r>
        <w:rPr>
          <w:lang w:val="nl-NL"/>
        </w:rPr>
        <w:t xml:space="preserve">heeft, </w:t>
      </w:r>
      <w:r w:rsidR="006B46E0">
        <w:rPr>
          <w:lang w:val="nl-NL"/>
        </w:rPr>
        <w:t>onder andere per brief</w:t>
      </w:r>
      <w:r>
        <w:rPr>
          <w:lang w:val="nl-NL"/>
        </w:rPr>
        <w:t>,</w:t>
      </w:r>
      <w:r w:rsidR="006B46E0">
        <w:rPr>
          <w:lang w:val="nl-NL"/>
        </w:rPr>
        <w:t xml:space="preserve"> belastingplichtigen </w:t>
      </w:r>
      <w:r>
        <w:rPr>
          <w:lang w:val="nl-NL"/>
        </w:rPr>
        <w:t>geadviseerd</w:t>
      </w:r>
      <w:r w:rsidR="006B46E0">
        <w:rPr>
          <w:lang w:val="nl-NL"/>
        </w:rPr>
        <w:t xml:space="preserve"> om te wachten met indienen van gegevens </w:t>
      </w:r>
      <w:proofErr w:type="gramStart"/>
      <w:r w:rsidR="006B46E0">
        <w:rPr>
          <w:lang w:val="nl-NL"/>
        </w:rPr>
        <w:t>inzake</w:t>
      </w:r>
      <w:proofErr w:type="gramEnd"/>
      <w:r w:rsidR="006B46E0">
        <w:rPr>
          <w:lang w:val="nl-NL"/>
        </w:rPr>
        <w:t xml:space="preserve"> het werkelijk rendement (hierna: tegenbewijs leveren) </w:t>
      </w:r>
      <w:r w:rsidRPr="00B04C95" w:rsidR="006B46E0">
        <w:rPr>
          <w:lang w:val="nl-NL"/>
        </w:rPr>
        <w:t>tot de beschikbaarheid van het formulier OWR (in juli 2025) en tot het ontvangen van een attentiebrief</w:t>
      </w:r>
      <w:r>
        <w:rPr>
          <w:lang w:val="nl-NL"/>
        </w:rPr>
        <w:t xml:space="preserve"> voor een goed verloop van de hersteloperatie</w:t>
      </w:r>
      <w:r w:rsidRPr="00B04C95" w:rsidR="006B46E0">
        <w:rPr>
          <w:lang w:val="nl-NL"/>
        </w:rPr>
        <w:t>.</w:t>
      </w:r>
      <w:r w:rsidR="006B46E0">
        <w:rPr>
          <w:lang w:val="nl-NL"/>
        </w:rPr>
        <w:t xml:space="preserve"> Dit formulier OWR, waarvan het gebruik door een amendement van uw Kamer op de Wet tegenbewijsregeling box 3 verplicht is gesteld, is namelijk juist ontwikkeld om het rechtsherstel box 3 zo zorgvuldig en uitvoerbaar mogelijk te maken voor de Belastingdienst en de betrokken belastingplichtigen. </w:t>
      </w:r>
      <w:r>
        <w:rPr>
          <w:lang w:val="nl-NL"/>
        </w:rPr>
        <w:t>Het vergoeden van belastingrente was geen overweging bij de communicatie hierover.</w:t>
      </w:r>
    </w:p>
    <w:p w:rsidR="006B46E0" w:rsidP="006B46E0" w:rsidRDefault="006B46E0" w14:paraId="25E848F2" w14:textId="77777777">
      <w:pPr>
        <w:spacing w:line="240" w:lineRule="auto"/>
        <w:rPr>
          <w:lang w:val="nl-NL"/>
        </w:rPr>
      </w:pPr>
      <w:r>
        <w:rPr>
          <w:lang w:val="nl-NL"/>
        </w:rPr>
        <w:t>In juli 2025 was het formulier OWR klaar voor gebruik en konden belastingplichtigen het tegenbewijs leveren.</w:t>
      </w:r>
      <w:r>
        <w:rPr>
          <w:rStyle w:val="Voetnootmarkering"/>
          <w:lang w:val="nl-NL"/>
        </w:rPr>
        <w:footnoteReference w:id="2"/>
      </w:r>
      <w:r>
        <w:rPr>
          <w:lang w:val="nl-NL"/>
        </w:rPr>
        <w:t xml:space="preserve"> Wegens dreigende verjaring van de aanslagtermijn is de Belastingdienst in een groot aantal gevallen genoodzaakt geweest om de aanslagen inkomstenbelasting over 2021 en 2022 vast te stellen, voordat de belastingplichtigen tegenbewijs geleverd hadden of konden leveren. Het wettelijke gevolg van deze samenloop is dat in deze gevallen geen belastingrente wordt vergoed bij een latere belastingvermindering op grond van het ingediende formulier OWR.</w:t>
      </w:r>
    </w:p>
    <w:p w:rsidRPr="00B302B9" w:rsidR="00B302B9" w:rsidP="006B46E0" w:rsidRDefault="00B302B9" w14:paraId="0853AD06" w14:textId="0B776B4F">
      <w:pPr>
        <w:spacing w:line="240" w:lineRule="auto"/>
        <w:rPr>
          <w:b/>
          <w:bCs/>
          <w:lang w:val="nl-NL"/>
        </w:rPr>
      </w:pPr>
      <w:r>
        <w:rPr>
          <w:b/>
          <w:bCs/>
          <w:lang w:val="nl-NL"/>
        </w:rPr>
        <w:t>Vraag 3</w:t>
      </w:r>
    </w:p>
    <w:p w:rsidR="006B46E0" w:rsidP="006B46E0" w:rsidRDefault="006B46E0" w14:paraId="5B4332B8" w14:textId="0BE5C217">
      <w:pPr>
        <w:spacing w:line="240" w:lineRule="auto"/>
        <w:rPr>
          <w:lang w:val="nl-NL"/>
        </w:rPr>
      </w:pPr>
      <w:r w:rsidRPr="00B302B9">
        <w:rPr>
          <w:lang w:val="nl-NL"/>
        </w:rPr>
        <w:t>Zo ja, is wat u betreft hier sprake van misleiding of een andere vorm van verwijtbaar handelen aan de kant van de Belastingdienst, aangezien dit burgers bewust in een positie heeft gemanoeuvreerd waarbij zij geen rente meer terugkrijgen naast de ambtshalve vermindering?</w:t>
      </w:r>
    </w:p>
    <w:p w:rsidRPr="00B302B9" w:rsidR="00B302B9" w:rsidP="006B46E0" w:rsidRDefault="00B302B9" w14:paraId="177DD20C" w14:textId="081F68A2">
      <w:pPr>
        <w:spacing w:line="240" w:lineRule="auto"/>
        <w:rPr>
          <w:b/>
          <w:bCs/>
          <w:lang w:val="nl-NL"/>
        </w:rPr>
      </w:pPr>
      <w:r>
        <w:rPr>
          <w:b/>
          <w:bCs/>
          <w:lang w:val="nl-NL"/>
        </w:rPr>
        <w:t>Antwoord 3</w:t>
      </w:r>
    </w:p>
    <w:p w:rsidR="006B46E0" w:rsidP="006B46E0" w:rsidRDefault="006B46E0" w14:paraId="3BFDAFA2" w14:textId="01FB80A9">
      <w:pPr>
        <w:spacing w:line="240" w:lineRule="auto"/>
        <w:rPr>
          <w:lang w:val="nl-NL"/>
        </w:rPr>
      </w:pPr>
      <w:r>
        <w:rPr>
          <w:lang w:val="nl-NL"/>
        </w:rPr>
        <w:t xml:space="preserve">Er is geen sprake geweest van een bewuste misleiding of een andere bewuste handeling van de Belastingdienst om ervoor te zorgen dat een groep belastingplichtigen geen (belasting)rente zal krijgen bij hun belastingvermindering wegens het rechtsherstel box 3. </w:t>
      </w:r>
    </w:p>
    <w:p w:rsidRPr="00B302B9" w:rsidR="00B302B9" w:rsidP="006B46E0" w:rsidRDefault="00B302B9" w14:paraId="5CEFF125" w14:textId="0C80B8C9">
      <w:pPr>
        <w:spacing w:line="240" w:lineRule="auto"/>
        <w:rPr>
          <w:b/>
          <w:bCs/>
          <w:lang w:val="nl-NL"/>
        </w:rPr>
      </w:pPr>
      <w:r>
        <w:rPr>
          <w:b/>
          <w:bCs/>
          <w:lang w:val="nl-NL"/>
        </w:rPr>
        <w:t>Vraag 4</w:t>
      </w:r>
    </w:p>
    <w:p w:rsidRPr="00B302B9" w:rsidR="006B46E0" w:rsidP="006B46E0" w:rsidRDefault="006B46E0" w14:paraId="0E47BE2F" w14:textId="59383902">
      <w:pPr>
        <w:spacing w:line="240" w:lineRule="auto"/>
        <w:rPr>
          <w:lang w:val="nl-NL"/>
        </w:rPr>
      </w:pPr>
      <w:r w:rsidRPr="00B302B9">
        <w:rPr>
          <w:lang w:val="nl-NL"/>
        </w:rPr>
        <w:t>Zo ja, houdt u dan vast aan de aanpak van niet terugbetalen als het om een foutieve handelswijze van de Belastingdienst gaat waarbij belastingplichtigen financieel worden gedupeerd?</w:t>
      </w:r>
    </w:p>
    <w:p w:rsidR="00B302B9" w:rsidP="006B46E0" w:rsidRDefault="00B302B9" w14:paraId="779726BA" w14:textId="77777777">
      <w:pPr>
        <w:spacing w:line="240" w:lineRule="auto"/>
        <w:rPr>
          <w:lang w:val="nl-NL"/>
        </w:rPr>
      </w:pPr>
    </w:p>
    <w:p w:rsidRPr="00B302B9" w:rsidR="00B302B9" w:rsidP="006B46E0" w:rsidRDefault="00B302B9" w14:paraId="5DD8D921" w14:textId="10C2B91A">
      <w:pPr>
        <w:spacing w:line="240" w:lineRule="auto"/>
        <w:rPr>
          <w:b/>
          <w:bCs/>
          <w:lang w:val="nl-NL"/>
        </w:rPr>
      </w:pPr>
      <w:r>
        <w:rPr>
          <w:b/>
          <w:bCs/>
          <w:lang w:val="nl-NL"/>
        </w:rPr>
        <w:lastRenderedPageBreak/>
        <w:t>Antwoord 4</w:t>
      </w:r>
    </w:p>
    <w:p w:rsidR="006B46E0" w:rsidP="006B46E0" w:rsidRDefault="006B46E0" w14:paraId="7157CCDD" w14:textId="7CB599C3">
      <w:pPr>
        <w:spacing w:line="240" w:lineRule="auto"/>
        <w:rPr>
          <w:lang w:val="nl-NL"/>
        </w:rPr>
      </w:pPr>
      <w:r>
        <w:rPr>
          <w:lang w:val="nl-NL"/>
        </w:rPr>
        <w:t xml:space="preserve">In navolging van mijn antwoord bij vraag 3, vind ik de kwalificatie foutieve handelswijze niet terecht. Zoals weergegeven bij vraag 1, geldt voor iedereen, binnen en buiten het rechtsherstel box 3, dat geen belastingrente wordt vergoed bij een vermindering van de aanslag bij bezwaar, via ambtshalve vermindering of naar aanleiding van een gerechtelijke procedure. Met alleen de belastingvermindering wordt passend en voldoende rechtsherstel geboden. Voorts zullen er veel gevallen zijn geweest waarbij ook geen belastingrente zou worden vergoed </w:t>
      </w:r>
      <w:proofErr w:type="gramStart"/>
      <w:r>
        <w:rPr>
          <w:lang w:val="nl-NL"/>
        </w:rPr>
        <w:t>indien</w:t>
      </w:r>
      <w:proofErr w:type="gramEnd"/>
      <w:r>
        <w:rPr>
          <w:lang w:val="nl-NL"/>
        </w:rPr>
        <w:t xml:space="preserve"> het tegenbewijs direct bij de aangifte geleverd had kunnen worden. </w:t>
      </w:r>
    </w:p>
    <w:p w:rsidR="006B46E0" w:rsidP="006B46E0" w:rsidRDefault="006A2612" w14:paraId="6AF8F287" w14:textId="7AC69BB7">
      <w:pPr>
        <w:spacing w:line="240" w:lineRule="auto"/>
        <w:rPr>
          <w:lang w:val="nl-NL"/>
        </w:rPr>
      </w:pPr>
      <w:r>
        <w:rPr>
          <w:lang w:val="nl-NL"/>
        </w:rPr>
        <w:t>Om wel belastingrente te vergoeden aan de onderhavige groep belastingplichtigen zou de wet gewijzigd moeten worden. Een verruiming van de huidige wettelijke belastingrenteregeling acht ik echter niet wenselijk</w:t>
      </w:r>
      <w:r w:rsidR="00272935">
        <w:rPr>
          <w:lang w:val="nl-NL"/>
        </w:rPr>
        <w:t>,</w:t>
      </w:r>
      <w:r>
        <w:rPr>
          <w:lang w:val="nl-NL"/>
        </w:rPr>
        <w:t xml:space="preserve"> omdat e</w:t>
      </w:r>
      <w:r w:rsidRPr="005C5EAE">
        <w:rPr>
          <w:lang w:val="nl-NL"/>
        </w:rPr>
        <w:t>en dergelijke verruiming van de situaties waarin belastingrente verschuldigd is</w:t>
      </w:r>
      <w:r>
        <w:rPr>
          <w:lang w:val="nl-NL"/>
        </w:rPr>
        <w:t xml:space="preserve"> </w:t>
      </w:r>
      <w:r w:rsidRPr="005C5EAE">
        <w:rPr>
          <w:lang w:val="nl-NL"/>
        </w:rPr>
        <w:t>op juridische afbakeningsproblemen</w:t>
      </w:r>
      <w:r>
        <w:rPr>
          <w:lang w:val="nl-NL"/>
        </w:rPr>
        <w:t xml:space="preserve"> stuit</w:t>
      </w:r>
      <w:r w:rsidRPr="005C5EAE">
        <w:rPr>
          <w:lang w:val="nl-NL"/>
        </w:rPr>
        <w:t>. Het maken van een uitzondering op de</w:t>
      </w:r>
      <w:r>
        <w:rPr>
          <w:lang w:val="nl-NL"/>
        </w:rPr>
        <w:t xml:space="preserve"> huidige</w:t>
      </w:r>
      <w:r w:rsidRPr="005C5EAE">
        <w:rPr>
          <w:lang w:val="nl-NL"/>
        </w:rPr>
        <w:t xml:space="preserve"> wet</w:t>
      </w:r>
      <w:r>
        <w:rPr>
          <w:lang w:val="nl-NL"/>
        </w:rPr>
        <w:t>telijke regeling</w:t>
      </w:r>
      <w:r w:rsidRPr="005C5EAE">
        <w:rPr>
          <w:lang w:val="nl-NL"/>
        </w:rPr>
        <w:t xml:space="preserve"> voor een grote groep belastingplichtigen, maakt de wettelijk</w:t>
      </w:r>
      <w:r>
        <w:rPr>
          <w:lang w:val="nl-NL"/>
        </w:rPr>
        <w:t>e</w:t>
      </w:r>
      <w:r w:rsidRPr="005C5EAE">
        <w:rPr>
          <w:lang w:val="nl-NL"/>
        </w:rPr>
        <w:t xml:space="preserve"> regeling dat geen rentevergoeding plaatsvindt in het geval een eerder vastgestelde aanslag wordt verminderd </w:t>
      </w:r>
      <w:r>
        <w:rPr>
          <w:lang w:val="nl-NL"/>
        </w:rPr>
        <w:t>bij bezwaar, via ambtshalve vermindering of naar aanleiding van een gerechtelijke procedure</w:t>
      </w:r>
      <w:r w:rsidRPr="005C5EAE">
        <w:rPr>
          <w:lang w:val="nl-NL"/>
        </w:rPr>
        <w:t xml:space="preserve"> juridisch </w:t>
      </w:r>
      <w:r>
        <w:rPr>
          <w:lang w:val="nl-NL"/>
        </w:rPr>
        <w:t xml:space="preserve">(zeer) </w:t>
      </w:r>
      <w:r w:rsidRPr="005C5EAE">
        <w:rPr>
          <w:lang w:val="nl-NL"/>
        </w:rPr>
        <w:t xml:space="preserve">kwetsbaar. </w:t>
      </w:r>
      <w:r>
        <w:rPr>
          <w:lang w:val="nl-NL"/>
        </w:rPr>
        <w:t xml:space="preserve">Daarnaast zou een wetswijziging tijd kosten, waardoor de uitvoering van het rechtsherstel box 3 vertraging zou oplopen. Daardoor zouden belastingplichtigen mogelijk langer moeten wachten op de beoordeling van het formulier OWR en een eventuele teruggaaf van belasting. Het voorgaande brengt mij tot de conclusie dat </w:t>
      </w:r>
      <w:proofErr w:type="gramStart"/>
      <w:r>
        <w:rPr>
          <w:lang w:val="nl-NL"/>
        </w:rPr>
        <w:t>conform</w:t>
      </w:r>
      <w:proofErr w:type="gramEnd"/>
      <w:r>
        <w:rPr>
          <w:lang w:val="nl-NL"/>
        </w:rPr>
        <w:t xml:space="preserve"> de huidige wet geen </w:t>
      </w:r>
      <w:r w:rsidRPr="005C5EAE">
        <w:rPr>
          <w:lang w:val="nl-NL"/>
        </w:rPr>
        <w:t>belastingrente wordt vergoed als het formulier OWR is ontvangen na de definitieve aanslag.</w:t>
      </w:r>
      <w:r>
        <w:rPr>
          <w:lang w:val="nl-NL"/>
        </w:rPr>
        <w:t xml:space="preserve"> </w:t>
      </w:r>
      <w:proofErr w:type="gramStart"/>
      <w:r>
        <w:rPr>
          <w:lang w:val="nl-NL"/>
        </w:rPr>
        <w:t>Indien</w:t>
      </w:r>
      <w:proofErr w:type="gramEnd"/>
      <w:r>
        <w:rPr>
          <w:lang w:val="nl-NL"/>
        </w:rPr>
        <w:t xml:space="preserve"> was besloten om in deze gevallen</w:t>
      </w:r>
      <w:r w:rsidRPr="003B287D">
        <w:rPr>
          <w:lang w:val="nl-NL"/>
        </w:rPr>
        <w:t xml:space="preserve"> </w:t>
      </w:r>
      <w:r>
        <w:rPr>
          <w:lang w:val="nl-NL"/>
        </w:rPr>
        <w:t xml:space="preserve">de rente wel te vergoeden, zou dit hebben geleid </w:t>
      </w:r>
      <w:r w:rsidRPr="003B287D">
        <w:rPr>
          <w:lang w:val="nl-NL"/>
        </w:rPr>
        <w:t xml:space="preserve">tot een </w:t>
      </w:r>
      <w:r>
        <w:rPr>
          <w:lang w:val="nl-NL"/>
        </w:rPr>
        <w:t xml:space="preserve">budgettaire </w:t>
      </w:r>
      <w:r w:rsidRPr="003B287D">
        <w:rPr>
          <w:lang w:val="nl-NL"/>
        </w:rPr>
        <w:t xml:space="preserve">derving van € 175 miljoen, die </w:t>
      </w:r>
      <w:r>
        <w:rPr>
          <w:lang w:val="nl-NL"/>
        </w:rPr>
        <w:t>nog</w:t>
      </w:r>
      <w:r w:rsidRPr="003B287D">
        <w:rPr>
          <w:lang w:val="nl-NL"/>
        </w:rPr>
        <w:t xml:space="preserve"> van dekking </w:t>
      </w:r>
      <w:r>
        <w:rPr>
          <w:lang w:val="nl-NL"/>
        </w:rPr>
        <w:t xml:space="preserve">had moeten worden </w:t>
      </w:r>
      <w:r w:rsidRPr="003B287D">
        <w:rPr>
          <w:lang w:val="nl-NL"/>
        </w:rPr>
        <w:t>voorzien</w:t>
      </w:r>
      <w:r>
        <w:rPr>
          <w:lang w:val="nl-NL"/>
        </w:rPr>
        <w:t>.</w:t>
      </w:r>
    </w:p>
    <w:p w:rsidR="00B302B9" w:rsidP="006B46E0" w:rsidRDefault="00B302B9" w14:paraId="5FFD850E" w14:textId="571BD5A5">
      <w:pPr>
        <w:spacing w:line="240" w:lineRule="auto"/>
        <w:rPr>
          <w:b/>
          <w:bCs/>
          <w:lang w:val="nl-NL"/>
        </w:rPr>
      </w:pPr>
      <w:r>
        <w:rPr>
          <w:b/>
          <w:bCs/>
          <w:lang w:val="nl-NL"/>
        </w:rPr>
        <w:t>Vraag 5</w:t>
      </w:r>
    </w:p>
    <w:p w:rsidR="006B46E0" w:rsidP="006B46E0" w:rsidRDefault="006B46E0" w14:paraId="6B7D0D57" w14:textId="5CC0800E">
      <w:pPr>
        <w:spacing w:line="240" w:lineRule="auto"/>
        <w:rPr>
          <w:lang w:val="nl-NL"/>
        </w:rPr>
      </w:pPr>
      <w:r w:rsidRPr="00B302B9">
        <w:rPr>
          <w:lang w:val="nl-NL"/>
        </w:rPr>
        <w:t xml:space="preserve">Uw voorganger schreef in een </w:t>
      </w:r>
      <w:r w:rsidRPr="00B302B9" w:rsidR="00C6252B">
        <w:rPr>
          <w:lang w:val="nl-NL"/>
        </w:rPr>
        <w:t>K</w:t>
      </w:r>
      <w:r w:rsidRPr="00B302B9">
        <w:rPr>
          <w:lang w:val="nl-NL"/>
        </w:rPr>
        <w:t>amerbrief van 18 december 2025 dat in een aantal gevallen, met name over belastingjaren 2021 en 2022, vanwege dreigende verjaring de definitieve aanslag in de tussenliggende periode is opgelegd. Om hoeveel gevallen gaat het?</w:t>
      </w:r>
    </w:p>
    <w:p w:rsidRPr="00B302B9" w:rsidR="00B302B9" w:rsidP="006B46E0" w:rsidRDefault="00B302B9" w14:paraId="669EFB42" w14:textId="613AC887">
      <w:pPr>
        <w:spacing w:line="240" w:lineRule="auto"/>
        <w:rPr>
          <w:b/>
          <w:bCs/>
          <w:lang w:val="nl-NL"/>
        </w:rPr>
      </w:pPr>
      <w:r>
        <w:rPr>
          <w:b/>
          <w:bCs/>
          <w:lang w:val="nl-NL"/>
        </w:rPr>
        <w:t>Antwoord 5</w:t>
      </w:r>
    </w:p>
    <w:p w:rsidR="006B46E0" w:rsidP="006B46E0" w:rsidRDefault="006B46E0" w14:paraId="3775BCD0" w14:textId="77777777">
      <w:pPr>
        <w:spacing w:line="240" w:lineRule="auto"/>
        <w:rPr>
          <w:lang w:val="nl-NL"/>
        </w:rPr>
      </w:pPr>
      <w:r w:rsidRPr="00C14514">
        <w:rPr>
          <w:lang w:val="nl-NL"/>
        </w:rPr>
        <w:t xml:space="preserve">Over het belastingjaar 2021 zijn </w:t>
      </w:r>
      <w:proofErr w:type="gramStart"/>
      <w:r w:rsidRPr="00C14514">
        <w:rPr>
          <w:lang w:val="nl-NL"/>
        </w:rPr>
        <w:t>circa</w:t>
      </w:r>
      <w:proofErr w:type="gramEnd"/>
      <w:r w:rsidRPr="00C14514">
        <w:rPr>
          <w:lang w:val="nl-NL"/>
        </w:rPr>
        <w:t xml:space="preserve"> 292.000 definitieve aanslagen ter voorkoming van verjaring opgelegd en over het belastingjaar 2022 zijn circa 905.000 definitieve aanslagen ter voorkoming van verjaring opgelegd. </w:t>
      </w:r>
    </w:p>
    <w:p w:rsidRPr="00B302B9" w:rsidR="00B302B9" w:rsidP="006B46E0" w:rsidRDefault="00B302B9" w14:paraId="5804CD37" w14:textId="464373BE">
      <w:pPr>
        <w:spacing w:line="240" w:lineRule="auto"/>
        <w:rPr>
          <w:b/>
          <w:bCs/>
          <w:lang w:val="nl-NL"/>
        </w:rPr>
      </w:pPr>
      <w:r>
        <w:rPr>
          <w:b/>
          <w:bCs/>
          <w:lang w:val="nl-NL"/>
        </w:rPr>
        <w:t>Vraag 6</w:t>
      </w:r>
    </w:p>
    <w:p w:rsidR="006B46E0" w:rsidP="006B46E0" w:rsidRDefault="006B46E0" w14:paraId="3AD95B4B" w14:textId="24BC203C">
      <w:pPr>
        <w:spacing w:line="240" w:lineRule="auto"/>
        <w:rPr>
          <w:lang w:val="nl-NL"/>
        </w:rPr>
      </w:pPr>
      <w:r w:rsidRPr="00B302B9">
        <w:rPr>
          <w:lang w:val="nl-NL"/>
        </w:rPr>
        <w:t>Bent u het ermee eens dat het komen tot een passend antwoord op deze problematiek niet alleen een kwestie is van “wat juridisch noodzakelijk is, maar ook van wat wenselijk is vanuit de gedachte dat de overheid betrouwbaar en dienstbaar moet zijn?</w:t>
      </w:r>
    </w:p>
    <w:p w:rsidRPr="00B302B9" w:rsidR="00B302B9" w:rsidP="006B46E0" w:rsidRDefault="00B302B9" w14:paraId="46E12D1A" w14:textId="2350C455">
      <w:pPr>
        <w:spacing w:line="240" w:lineRule="auto"/>
        <w:rPr>
          <w:b/>
          <w:bCs/>
          <w:lang w:val="nl-NL"/>
        </w:rPr>
      </w:pPr>
      <w:r>
        <w:rPr>
          <w:b/>
          <w:bCs/>
          <w:lang w:val="nl-NL"/>
        </w:rPr>
        <w:t>Antwoord 6</w:t>
      </w:r>
    </w:p>
    <w:p w:rsidR="006B46E0" w:rsidP="006B46E0" w:rsidRDefault="00272935" w14:paraId="3F901D05" w14:textId="4F4FA6FB">
      <w:pPr>
        <w:spacing w:line="240" w:lineRule="auto"/>
        <w:rPr>
          <w:lang w:val="nl-NL"/>
        </w:rPr>
      </w:pPr>
      <w:r w:rsidRPr="005D59C6">
        <w:rPr>
          <w:lang w:val="nl-NL"/>
        </w:rPr>
        <w:t xml:space="preserve">Ik ben mij ervan bewust dat </w:t>
      </w:r>
      <w:r>
        <w:rPr>
          <w:lang w:val="nl-NL"/>
        </w:rPr>
        <w:t xml:space="preserve">door de communicatie vanuit de Belastingdienst </w:t>
      </w:r>
      <w:r w:rsidRPr="005D59C6">
        <w:rPr>
          <w:lang w:val="nl-NL"/>
        </w:rPr>
        <w:t xml:space="preserve">burgers mogelijk hebben gewacht met het indienen van de opgaaf werkelijk rendement tot het ontvangen van een attentiebrief. </w:t>
      </w:r>
      <w:r w:rsidR="006B46E0">
        <w:rPr>
          <w:lang w:val="nl-NL"/>
        </w:rPr>
        <w:t xml:space="preserve">Ik ben het met u eens dat </w:t>
      </w:r>
      <w:r>
        <w:rPr>
          <w:lang w:val="nl-NL"/>
        </w:rPr>
        <w:t xml:space="preserve">daarom </w:t>
      </w:r>
      <w:r w:rsidR="006B46E0">
        <w:rPr>
          <w:lang w:val="nl-NL"/>
        </w:rPr>
        <w:t>ook anders naar het niet vergoeden van belastingrente bij het rechtsherstel box 3 kan worden gekeken. Echter, dit doet niet af aan de redenen, zoals vermeld bij het antwoord op vraag 4, om geen (belasting)rente te vergoeden.</w:t>
      </w:r>
    </w:p>
    <w:p w:rsidRPr="00B302B9" w:rsidR="00B302B9" w:rsidP="006B46E0" w:rsidRDefault="00B302B9" w14:paraId="554923DD" w14:textId="47B3F78F">
      <w:pPr>
        <w:spacing w:line="240" w:lineRule="auto"/>
        <w:rPr>
          <w:b/>
          <w:bCs/>
          <w:lang w:val="nl-NL"/>
        </w:rPr>
      </w:pPr>
      <w:r>
        <w:rPr>
          <w:b/>
          <w:bCs/>
          <w:lang w:val="nl-NL"/>
        </w:rPr>
        <w:t>Vraag 7</w:t>
      </w:r>
    </w:p>
    <w:p w:rsidR="006B46E0" w:rsidP="006B46E0" w:rsidRDefault="006B46E0" w14:paraId="16B61B51" w14:textId="5BFB3EF0">
      <w:pPr>
        <w:spacing w:line="240" w:lineRule="auto"/>
        <w:rPr>
          <w:lang w:val="nl-NL"/>
        </w:rPr>
      </w:pPr>
      <w:r w:rsidRPr="00B302B9">
        <w:rPr>
          <w:lang w:val="nl-NL"/>
        </w:rPr>
        <w:t xml:space="preserve">In dezelfde </w:t>
      </w:r>
      <w:r w:rsidRPr="00B302B9" w:rsidR="00C6252B">
        <w:rPr>
          <w:lang w:val="nl-NL"/>
        </w:rPr>
        <w:t>K</w:t>
      </w:r>
      <w:r w:rsidRPr="00B302B9">
        <w:rPr>
          <w:lang w:val="nl-NL"/>
        </w:rPr>
        <w:t>amerbrief van 18 december 2025 staat dat uw voorganger na een gedegen afweging tot de slotsom is gekomen dat er geen juridische noodzaak bestaat om de wettelijke regels rondom het vergoeden van belastingrente te verruimen. Kunt u dit uitgebreider toelichten? Bent u bereid een andere afweging te maken?</w:t>
      </w:r>
    </w:p>
    <w:p w:rsidRPr="00B302B9" w:rsidR="00B302B9" w:rsidP="006B46E0" w:rsidRDefault="00B302B9" w14:paraId="319FFBCD" w14:textId="32AD2218">
      <w:pPr>
        <w:spacing w:line="240" w:lineRule="auto"/>
        <w:rPr>
          <w:b/>
          <w:bCs/>
          <w:lang w:val="nl-NL"/>
        </w:rPr>
      </w:pPr>
      <w:r>
        <w:rPr>
          <w:b/>
          <w:bCs/>
          <w:lang w:val="nl-NL"/>
        </w:rPr>
        <w:t>Antwoord 7</w:t>
      </w:r>
    </w:p>
    <w:p w:rsidR="00897F63" w:rsidP="006B46E0" w:rsidRDefault="00D00206" w14:paraId="15A9CE62" w14:textId="7A57B7D2">
      <w:pPr>
        <w:spacing w:line="240" w:lineRule="auto"/>
        <w:rPr>
          <w:lang w:val="nl-NL"/>
        </w:rPr>
      </w:pPr>
      <w:r>
        <w:rPr>
          <w:lang w:val="nl-NL"/>
        </w:rPr>
        <w:t xml:space="preserve">Ik vind het belangrijk om te </w:t>
      </w:r>
      <w:r w:rsidR="001963A8">
        <w:rPr>
          <w:lang w:val="nl-NL"/>
        </w:rPr>
        <w:t>benadrukken</w:t>
      </w:r>
      <w:r>
        <w:rPr>
          <w:lang w:val="nl-NL"/>
        </w:rPr>
        <w:t xml:space="preserve"> dat bij rechtsherstel box 3 als uitgangspunt geldt dat</w:t>
      </w:r>
      <w:r w:rsidR="001963A8">
        <w:rPr>
          <w:lang w:val="nl-NL"/>
        </w:rPr>
        <w:t xml:space="preserve"> </w:t>
      </w:r>
      <w:r>
        <w:rPr>
          <w:lang w:val="nl-NL"/>
        </w:rPr>
        <w:t xml:space="preserve">met </w:t>
      </w:r>
      <w:r w:rsidR="001963A8">
        <w:rPr>
          <w:lang w:val="nl-NL"/>
        </w:rPr>
        <w:t xml:space="preserve">alleen </w:t>
      </w:r>
      <w:r>
        <w:rPr>
          <w:lang w:val="nl-NL"/>
        </w:rPr>
        <w:t>de belastingvermindering passend en voldoende rechtsherstel</w:t>
      </w:r>
      <w:r w:rsidR="001963A8">
        <w:rPr>
          <w:lang w:val="nl-NL"/>
        </w:rPr>
        <w:t xml:space="preserve"> wordt geboden. </w:t>
      </w:r>
      <w:r w:rsidR="00D85E0F">
        <w:rPr>
          <w:lang w:val="nl-NL"/>
        </w:rPr>
        <w:t>Vanuit juridisch oogpunt is h</w:t>
      </w:r>
      <w:r w:rsidR="001963A8">
        <w:rPr>
          <w:lang w:val="nl-NL"/>
        </w:rPr>
        <w:t xml:space="preserve">et vergoeden van (belasting)rente bij die vermindering </w:t>
      </w:r>
      <w:proofErr w:type="gramStart"/>
      <w:r w:rsidR="00D85E0F">
        <w:rPr>
          <w:lang w:val="nl-NL"/>
        </w:rPr>
        <w:t>derhalve</w:t>
      </w:r>
      <w:proofErr w:type="gramEnd"/>
      <w:r w:rsidR="00D85E0F">
        <w:rPr>
          <w:lang w:val="nl-NL"/>
        </w:rPr>
        <w:t xml:space="preserve"> </w:t>
      </w:r>
      <w:r w:rsidR="001963A8">
        <w:rPr>
          <w:lang w:val="nl-NL"/>
        </w:rPr>
        <w:t xml:space="preserve">niet noodzakelijk. De </w:t>
      </w:r>
      <w:r w:rsidR="00897F63">
        <w:rPr>
          <w:lang w:val="nl-NL"/>
        </w:rPr>
        <w:t xml:space="preserve">enige </w:t>
      </w:r>
      <w:r w:rsidR="001963A8">
        <w:rPr>
          <w:lang w:val="nl-NL"/>
        </w:rPr>
        <w:t xml:space="preserve">uitzondering hierop is </w:t>
      </w:r>
      <w:r w:rsidR="00897F63">
        <w:rPr>
          <w:lang w:val="nl-NL"/>
        </w:rPr>
        <w:t>wanneer</w:t>
      </w:r>
      <w:r w:rsidR="001963A8">
        <w:rPr>
          <w:lang w:val="nl-NL"/>
        </w:rPr>
        <w:t xml:space="preserve"> op grond van de wet wel belastingrente vergoed dient te worden. Dit is alleen het geval wanneer </w:t>
      </w:r>
      <w:r>
        <w:rPr>
          <w:lang w:val="nl-NL"/>
        </w:rPr>
        <w:t>het formulier OWR is</w:t>
      </w:r>
      <w:r w:rsidRPr="00770803">
        <w:rPr>
          <w:lang w:val="nl-NL"/>
        </w:rPr>
        <w:t xml:space="preserve"> </w:t>
      </w:r>
      <w:r>
        <w:rPr>
          <w:lang w:val="nl-NL"/>
        </w:rPr>
        <w:t>ingediend voordat de definitieve aanslag is vastgesteld</w:t>
      </w:r>
      <w:r w:rsidR="00593FAA">
        <w:rPr>
          <w:lang w:val="nl-NL"/>
        </w:rPr>
        <w:t xml:space="preserve"> (inclusief het voldoen aan andere eerdergenoemde </w:t>
      </w:r>
      <w:proofErr w:type="gramStart"/>
      <w:r w:rsidR="00593FAA">
        <w:rPr>
          <w:lang w:val="nl-NL"/>
        </w:rPr>
        <w:lastRenderedPageBreak/>
        <w:t>voorwaarden</w:t>
      </w:r>
      <w:proofErr w:type="gramEnd"/>
      <w:r w:rsidR="00593FAA">
        <w:rPr>
          <w:lang w:val="nl-NL"/>
        </w:rPr>
        <w:t>)</w:t>
      </w:r>
      <w:r>
        <w:rPr>
          <w:lang w:val="nl-NL"/>
        </w:rPr>
        <w:t xml:space="preserve">. </w:t>
      </w:r>
      <w:r w:rsidR="00E33C90">
        <w:rPr>
          <w:lang w:val="nl-NL"/>
        </w:rPr>
        <w:t xml:space="preserve">De </w:t>
      </w:r>
      <w:r w:rsidR="00897F63">
        <w:rPr>
          <w:lang w:val="nl-NL"/>
        </w:rPr>
        <w:t>weergegeven samenloop van het vaststellen</w:t>
      </w:r>
      <w:r w:rsidR="00BB60A7">
        <w:rPr>
          <w:lang w:val="nl-NL"/>
        </w:rPr>
        <w:t xml:space="preserve"> van</w:t>
      </w:r>
      <w:r w:rsidR="00897F63">
        <w:rPr>
          <w:lang w:val="nl-NL"/>
        </w:rPr>
        <w:t xml:space="preserve"> de aanslagen inkomstenbelasting over 2021 en 2022 wegens dreigende verjaring voordat de belastingplichtigen tegenbewijs geleverd hadden of konden leveren, brengt geen juridische noodzaak met zich om </w:t>
      </w:r>
      <w:r w:rsidR="00E33C90">
        <w:rPr>
          <w:lang w:val="nl-NL"/>
        </w:rPr>
        <w:t xml:space="preserve">de wettelijke regeling </w:t>
      </w:r>
      <w:r w:rsidR="00BB60A7">
        <w:rPr>
          <w:lang w:val="nl-NL"/>
        </w:rPr>
        <w:t>te verruimen</w:t>
      </w:r>
      <w:r w:rsidR="00897F63">
        <w:rPr>
          <w:lang w:val="nl-NL"/>
        </w:rPr>
        <w:t>.</w:t>
      </w:r>
      <w:r w:rsidR="003500DE">
        <w:rPr>
          <w:lang w:val="nl-NL"/>
        </w:rPr>
        <w:t xml:space="preserve"> Ik kan mij voorstellen dat deze conclusie niet door iedere individuele </w:t>
      </w:r>
      <w:r w:rsidR="00BB60A7">
        <w:rPr>
          <w:lang w:val="nl-NL"/>
        </w:rPr>
        <w:t>belastingplichtige</w:t>
      </w:r>
      <w:r w:rsidR="003500DE">
        <w:rPr>
          <w:lang w:val="nl-NL"/>
        </w:rPr>
        <w:t xml:space="preserve"> wordt begrepen. Echter, o</w:t>
      </w:r>
      <w:r w:rsidR="00897F63">
        <w:rPr>
          <w:lang w:val="nl-NL"/>
        </w:rPr>
        <w:t>p grond van de bij vraag 4 weergegeven belangenafweging kom ik, overeenkomstig mijn voorgang</w:t>
      </w:r>
      <w:r w:rsidR="00E33C90">
        <w:rPr>
          <w:lang w:val="nl-NL"/>
        </w:rPr>
        <w:t>er</w:t>
      </w:r>
      <w:r w:rsidR="00897F63">
        <w:rPr>
          <w:lang w:val="nl-NL"/>
        </w:rPr>
        <w:t xml:space="preserve">, tot </w:t>
      </w:r>
      <w:r w:rsidR="00870C89">
        <w:rPr>
          <w:lang w:val="nl-NL"/>
        </w:rPr>
        <w:t>de</w:t>
      </w:r>
      <w:r w:rsidR="00897F63">
        <w:rPr>
          <w:lang w:val="nl-NL"/>
        </w:rPr>
        <w:t xml:space="preserve"> conclusie </w:t>
      </w:r>
      <w:r w:rsidR="00E33C90">
        <w:rPr>
          <w:lang w:val="nl-NL"/>
        </w:rPr>
        <w:t xml:space="preserve">om </w:t>
      </w:r>
      <w:r w:rsidR="00897F63">
        <w:rPr>
          <w:lang w:val="nl-NL"/>
        </w:rPr>
        <w:t xml:space="preserve">de huidige wettelijke belastingrenteregeling </w:t>
      </w:r>
      <w:r w:rsidR="00E33C90">
        <w:rPr>
          <w:lang w:val="nl-NL"/>
        </w:rPr>
        <w:t>niet te verruimen.</w:t>
      </w:r>
    </w:p>
    <w:p w:rsidRPr="00B302B9" w:rsidR="00B302B9" w:rsidP="006B46E0" w:rsidRDefault="00B302B9" w14:paraId="586DDA03" w14:textId="0A7E69A2">
      <w:pPr>
        <w:spacing w:line="240" w:lineRule="auto"/>
        <w:rPr>
          <w:b/>
          <w:bCs/>
          <w:lang w:val="nl-NL"/>
        </w:rPr>
      </w:pPr>
      <w:r>
        <w:rPr>
          <w:b/>
          <w:bCs/>
          <w:lang w:val="nl-NL"/>
        </w:rPr>
        <w:t>Vraag 8</w:t>
      </w:r>
    </w:p>
    <w:p w:rsidR="006B46E0" w:rsidP="006B46E0" w:rsidRDefault="006B46E0" w14:paraId="0ECF4180" w14:textId="2EA724E0">
      <w:pPr>
        <w:spacing w:line="240" w:lineRule="auto"/>
        <w:rPr>
          <w:lang w:val="nl-NL"/>
        </w:rPr>
      </w:pPr>
      <w:r w:rsidRPr="00B302B9">
        <w:rPr>
          <w:lang w:val="nl-NL"/>
        </w:rPr>
        <w:t>Wat zou het budgettaire beslag zijn van het vergoeden van de rente voor niet bezwaarmakers tegen de voorlopige aanslag?</w:t>
      </w:r>
    </w:p>
    <w:p w:rsidRPr="00B302B9" w:rsidR="00B302B9" w:rsidP="006B46E0" w:rsidRDefault="00B302B9" w14:paraId="3D33C5BD" w14:textId="3ED33B9E">
      <w:pPr>
        <w:spacing w:line="240" w:lineRule="auto"/>
        <w:rPr>
          <w:b/>
          <w:bCs/>
          <w:lang w:val="nl-NL"/>
        </w:rPr>
      </w:pPr>
      <w:r>
        <w:rPr>
          <w:b/>
          <w:bCs/>
          <w:lang w:val="nl-NL"/>
        </w:rPr>
        <w:t>Antwoord 8</w:t>
      </w:r>
    </w:p>
    <w:p w:rsidR="00E33C90" w:rsidP="00E33C90" w:rsidRDefault="00E33C90" w14:paraId="78DB04F6" w14:textId="1233DBD1">
      <w:pPr>
        <w:spacing w:line="240" w:lineRule="auto"/>
        <w:rPr>
          <w:lang w:val="nl-NL"/>
        </w:rPr>
      </w:pPr>
      <w:proofErr w:type="gramStart"/>
      <w:r>
        <w:rPr>
          <w:lang w:val="nl-NL"/>
        </w:rPr>
        <w:t>Indien</w:t>
      </w:r>
      <w:proofErr w:type="gramEnd"/>
      <w:r>
        <w:rPr>
          <w:lang w:val="nl-NL"/>
        </w:rPr>
        <w:t xml:space="preserve"> was besloten om in deze gevallen</w:t>
      </w:r>
      <w:r w:rsidRPr="003B287D">
        <w:rPr>
          <w:lang w:val="nl-NL"/>
        </w:rPr>
        <w:t xml:space="preserve"> </w:t>
      </w:r>
      <w:r>
        <w:rPr>
          <w:lang w:val="nl-NL"/>
        </w:rPr>
        <w:t xml:space="preserve">de rente wel te vergoeden, zou dit hebben geleid </w:t>
      </w:r>
      <w:r w:rsidRPr="003B287D">
        <w:rPr>
          <w:lang w:val="nl-NL"/>
        </w:rPr>
        <w:t xml:space="preserve">tot een </w:t>
      </w:r>
      <w:r>
        <w:rPr>
          <w:lang w:val="nl-NL"/>
        </w:rPr>
        <w:t xml:space="preserve">budgettaire </w:t>
      </w:r>
      <w:r w:rsidRPr="003B287D">
        <w:rPr>
          <w:lang w:val="nl-NL"/>
        </w:rPr>
        <w:t>derving van € 175 miljoen</w:t>
      </w:r>
      <w:r>
        <w:rPr>
          <w:lang w:val="nl-NL"/>
        </w:rPr>
        <w:t>. Deze budgettaire derving had</w:t>
      </w:r>
      <w:r w:rsidRPr="003B287D">
        <w:rPr>
          <w:lang w:val="nl-NL"/>
        </w:rPr>
        <w:t xml:space="preserve"> </w:t>
      </w:r>
      <w:r>
        <w:rPr>
          <w:lang w:val="nl-NL"/>
        </w:rPr>
        <w:t>nog</w:t>
      </w:r>
      <w:r w:rsidRPr="003B287D">
        <w:rPr>
          <w:lang w:val="nl-NL"/>
        </w:rPr>
        <w:t xml:space="preserve"> van dekking </w:t>
      </w:r>
      <w:r>
        <w:rPr>
          <w:lang w:val="nl-NL"/>
        </w:rPr>
        <w:t xml:space="preserve">moeten worden </w:t>
      </w:r>
      <w:r w:rsidRPr="003B287D">
        <w:rPr>
          <w:lang w:val="nl-NL"/>
        </w:rPr>
        <w:t>voorzien</w:t>
      </w:r>
      <w:r>
        <w:rPr>
          <w:lang w:val="nl-NL"/>
        </w:rPr>
        <w:t>.</w:t>
      </w:r>
    </w:p>
    <w:p w:rsidRPr="00B302B9" w:rsidR="00B302B9" w:rsidP="00E33C90" w:rsidRDefault="00B302B9" w14:paraId="2E06FCC2" w14:textId="1BC6D17F">
      <w:pPr>
        <w:spacing w:line="240" w:lineRule="auto"/>
        <w:rPr>
          <w:b/>
          <w:bCs/>
          <w:lang w:val="nl-NL"/>
        </w:rPr>
      </w:pPr>
      <w:r>
        <w:rPr>
          <w:b/>
          <w:bCs/>
          <w:lang w:val="nl-NL"/>
        </w:rPr>
        <w:t>Vraag 9</w:t>
      </w:r>
    </w:p>
    <w:p w:rsidR="006B46E0" w:rsidP="006B46E0" w:rsidRDefault="006B46E0" w14:paraId="5265BFB1" w14:textId="355FC888">
      <w:pPr>
        <w:spacing w:line="240" w:lineRule="auto"/>
        <w:rPr>
          <w:lang w:val="nl-NL"/>
        </w:rPr>
      </w:pPr>
      <w:r w:rsidRPr="00B302B9">
        <w:rPr>
          <w:lang w:val="nl-NL"/>
        </w:rPr>
        <w:t>Bent u bereid om een brief naar de Kamer te sturen met uitgewerkte opties voor het terugbetalen van belastingrente aan alle belastingplichtigen die te veel belasting hebben betaald in box 3, waarbij u ingaat op thema’s als kosten en rechtsongelijkheid?</w:t>
      </w:r>
    </w:p>
    <w:p w:rsidRPr="00B302B9" w:rsidR="00B302B9" w:rsidP="006B46E0" w:rsidRDefault="00B302B9" w14:paraId="3CBB0E91" w14:textId="77405558">
      <w:pPr>
        <w:spacing w:line="240" w:lineRule="auto"/>
        <w:rPr>
          <w:b/>
          <w:bCs/>
          <w:lang w:val="nl-NL"/>
        </w:rPr>
      </w:pPr>
      <w:r>
        <w:rPr>
          <w:b/>
          <w:bCs/>
          <w:lang w:val="nl-NL"/>
        </w:rPr>
        <w:t>Antwoord 9</w:t>
      </w:r>
    </w:p>
    <w:p w:rsidR="00593FAA" w:rsidP="00593FAA" w:rsidRDefault="00593FAA" w14:paraId="04CD390F" w14:textId="6A84A363">
      <w:pPr>
        <w:spacing w:line="240" w:lineRule="auto"/>
        <w:rPr>
          <w:lang w:val="nl-NL"/>
        </w:rPr>
      </w:pPr>
      <w:r>
        <w:rPr>
          <w:lang w:val="nl-NL"/>
        </w:rPr>
        <w:t xml:space="preserve">Gezien de bij vraag 4 weergegeven belangenafweging en de daarop gebaseerde conclusie om de huidige wettelijke belastingrenteregeling niet te verruimen, </w:t>
      </w:r>
      <w:r w:rsidR="00D85E0F">
        <w:rPr>
          <w:lang w:val="nl-NL"/>
        </w:rPr>
        <w:t>meen ik dat</w:t>
      </w:r>
      <w:r>
        <w:rPr>
          <w:lang w:val="nl-NL"/>
        </w:rPr>
        <w:t xml:space="preserve"> het uitwerken van opties om in meer situaties van rechtsherstel box 3 belastingrente te vergoeden niet </w:t>
      </w:r>
      <w:r w:rsidR="00D85E0F">
        <w:rPr>
          <w:lang w:val="nl-NL"/>
        </w:rPr>
        <w:t>de juiste route is</w:t>
      </w:r>
      <w:r>
        <w:rPr>
          <w:lang w:val="nl-NL"/>
        </w:rPr>
        <w:t xml:space="preserve">. </w:t>
      </w:r>
    </w:p>
    <w:p w:rsidRPr="006B46E0" w:rsidR="00FB278D" w:rsidP="006B46E0" w:rsidRDefault="00FB278D" w14:paraId="32C0492E" w14:textId="5012AF44">
      <w:pPr>
        <w:rPr>
          <w:lang w:val="nl-NL"/>
        </w:rPr>
      </w:pPr>
    </w:p>
    <w:sectPr w:rsidRPr="006B46E0" w:rsidR="00FB278D"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BE66" w14:textId="77777777" w:rsidR="00415172" w:rsidRDefault="00415172" w:rsidP="00FB278D">
      <w:pPr>
        <w:spacing w:after="0" w:line="240" w:lineRule="auto"/>
      </w:pPr>
      <w:r>
        <w:separator/>
      </w:r>
    </w:p>
  </w:endnote>
  <w:endnote w:type="continuationSeparator" w:id="0">
    <w:p w14:paraId="7A2718D4" w14:textId="77777777" w:rsidR="00415172" w:rsidRDefault="00415172" w:rsidP="00FB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9F4D" w14:textId="77777777" w:rsidR="00415172" w:rsidRDefault="00415172" w:rsidP="00FB278D">
      <w:pPr>
        <w:spacing w:after="0" w:line="240" w:lineRule="auto"/>
      </w:pPr>
      <w:r>
        <w:separator/>
      </w:r>
    </w:p>
  </w:footnote>
  <w:footnote w:type="continuationSeparator" w:id="0">
    <w:p w14:paraId="3444F396" w14:textId="77777777" w:rsidR="00415172" w:rsidRDefault="00415172" w:rsidP="00FB278D">
      <w:pPr>
        <w:spacing w:after="0" w:line="240" w:lineRule="auto"/>
      </w:pPr>
      <w:r>
        <w:continuationSeparator/>
      </w:r>
    </w:p>
  </w:footnote>
  <w:footnote w:id="1">
    <w:p w14:paraId="231B5B84" w14:textId="77777777" w:rsidR="006B46E0" w:rsidRPr="00C14514" w:rsidRDefault="006B46E0" w:rsidP="006B46E0">
      <w:pPr>
        <w:pStyle w:val="Voetnoottekst"/>
        <w:rPr>
          <w:sz w:val="16"/>
          <w:lang w:val="nl-NL"/>
        </w:rPr>
      </w:pPr>
      <w:r w:rsidRPr="00816AA5">
        <w:rPr>
          <w:rStyle w:val="Voetnootmarkering"/>
          <w:sz w:val="16"/>
          <w:szCs w:val="16"/>
        </w:rPr>
        <w:footnoteRef/>
      </w:r>
      <w:r w:rsidRPr="00C14514">
        <w:rPr>
          <w:sz w:val="16"/>
          <w:lang w:val="nl-NL"/>
        </w:rPr>
        <w:t xml:space="preserve"> Art. 30fe AWR.</w:t>
      </w:r>
    </w:p>
  </w:footnote>
  <w:footnote w:id="2">
    <w:p w14:paraId="6B92AAB8" w14:textId="77777777" w:rsidR="006B46E0" w:rsidRPr="00816AA5" w:rsidRDefault="006B46E0" w:rsidP="006B46E0">
      <w:pPr>
        <w:pStyle w:val="Voetnoottekst"/>
        <w:rPr>
          <w:sz w:val="16"/>
          <w:szCs w:val="16"/>
          <w:lang w:val="nl-NL"/>
        </w:rPr>
      </w:pPr>
      <w:r w:rsidRPr="00816AA5">
        <w:rPr>
          <w:rStyle w:val="Voetnootmarkering"/>
          <w:sz w:val="16"/>
          <w:szCs w:val="16"/>
        </w:rPr>
        <w:footnoteRef/>
      </w:r>
      <w:r w:rsidRPr="00816AA5">
        <w:rPr>
          <w:sz w:val="16"/>
          <w:szCs w:val="16"/>
          <w:lang w:val="nl-NL"/>
        </w:rPr>
        <w:t xml:space="preserve"> Wegens de driejaarstermijn van art. 11, derde lid, AWR. Na verjaring kan over dat belastingjaar geen belasting meer worden geheven.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39C5"/>
    <w:multiLevelType w:val="hybridMultilevel"/>
    <w:tmpl w:val="7BC6B774"/>
    <w:lvl w:ilvl="0" w:tplc="50683E7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487779"/>
    <w:multiLevelType w:val="hybridMultilevel"/>
    <w:tmpl w:val="6A4AFB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4DB2AE7"/>
    <w:multiLevelType w:val="hybridMultilevel"/>
    <w:tmpl w:val="EAA2063A"/>
    <w:lvl w:ilvl="0" w:tplc="4594C56A">
      <w:start w:val="26"/>
      <w:numFmt w:val="bullet"/>
      <w:lvlText w:val="-"/>
      <w:lvlJc w:val="left"/>
      <w:pPr>
        <w:ind w:left="720" w:hanging="360"/>
      </w:pPr>
      <w:rPr>
        <w:rFonts w:ascii="Roboto" w:eastAsia="DejaVu Sans" w:hAnsi="Roboto"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9711723">
    <w:abstractNumId w:val="1"/>
  </w:num>
  <w:num w:numId="2" w16cid:durableId="76366526">
    <w:abstractNumId w:val="2"/>
  </w:num>
  <w:num w:numId="3" w16cid:durableId="198751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D5"/>
    <w:rsid w:val="00025FB2"/>
    <w:rsid w:val="0004740F"/>
    <w:rsid w:val="00076D99"/>
    <w:rsid w:val="000D6BD6"/>
    <w:rsid w:val="001076C5"/>
    <w:rsid w:val="00154E7D"/>
    <w:rsid w:val="00184E67"/>
    <w:rsid w:val="001963A8"/>
    <w:rsid w:val="001C1237"/>
    <w:rsid w:val="001E6A24"/>
    <w:rsid w:val="00246C4D"/>
    <w:rsid w:val="00272935"/>
    <w:rsid w:val="00291189"/>
    <w:rsid w:val="002A0708"/>
    <w:rsid w:val="002C4BF3"/>
    <w:rsid w:val="002F3290"/>
    <w:rsid w:val="003500DE"/>
    <w:rsid w:val="003C0B6E"/>
    <w:rsid w:val="00415172"/>
    <w:rsid w:val="00441099"/>
    <w:rsid w:val="00506E5C"/>
    <w:rsid w:val="0050700E"/>
    <w:rsid w:val="00510F37"/>
    <w:rsid w:val="00593FAA"/>
    <w:rsid w:val="005B7BA2"/>
    <w:rsid w:val="005C5EAE"/>
    <w:rsid w:val="005E28AF"/>
    <w:rsid w:val="006A0B14"/>
    <w:rsid w:val="006A2612"/>
    <w:rsid w:val="006B46E0"/>
    <w:rsid w:val="006F37E8"/>
    <w:rsid w:val="00770803"/>
    <w:rsid w:val="008047E3"/>
    <w:rsid w:val="00814287"/>
    <w:rsid w:val="00814DA2"/>
    <w:rsid w:val="00816AA5"/>
    <w:rsid w:val="00870C89"/>
    <w:rsid w:val="008818F8"/>
    <w:rsid w:val="00897F63"/>
    <w:rsid w:val="0097044D"/>
    <w:rsid w:val="00972F8D"/>
    <w:rsid w:val="009A1596"/>
    <w:rsid w:val="009B4348"/>
    <w:rsid w:val="009B741C"/>
    <w:rsid w:val="009D1B03"/>
    <w:rsid w:val="00A03ED5"/>
    <w:rsid w:val="00A071E6"/>
    <w:rsid w:val="00B04C95"/>
    <w:rsid w:val="00B06701"/>
    <w:rsid w:val="00B302B9"/>
    <w:rsid w:val="00BB60A7"/>
    <w:rsid w:val="00C42846"/>
    <w:rsid w:val="00C6252B"/>
    <w:rsid w:val="00C94C9E"/>
    <w:rsid w:val="00CF4C6A"/>
    <w:rsid w:val="00D00206"/>
    <w:rsid w:val="00D1767A"/>
    <w:rsid w:val="00D26CCE"/>
    <w:rsid w:val="00D806A0"/>
    <w:rsid w:val="00D85E0F"/>
    <w:rsid w:val="00D9351F"/>
    <w:rsid w:val="00DC6A47"/>
    <w:rsid w:val="00E33C90"/>
    <w:rsid w:val="00EA049A"/>
    <w:rsid w:val="00F66896"/>
    <w:rsid w:val="00FB2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9B2FC"/>
  <w15:chartTrackingRefBased/>
  <w15:docId w15:val="{DAD3664F-8133-40EF-A852-1D3CD835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46E0"/>
  </w:style>
  <w:style w:type="paragraph" w:styleId="Kop1">
    <w:name w:val="heading 1"/>
    <w:basedOn w:val="Standaard"/>
    <w:next w:val="Standaard"/>
    <w:link w:val="Kop1Char"/>
    <w:uiPriority w:val="9"/>
    <w:qFormat/>
    <w:rsid w:val="00A03E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03E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03ED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03ED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03ED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A03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03ED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03ED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03ED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ED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03ED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03ED5"/>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03ED5"/>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03ED5"/>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03ED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03ED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03ED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03ED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0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3E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3ED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03E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3ED5"/>
    <w:rPr>
      <w:i/>
      <w:iCs/>
      <w:color w:val="404040" w:themeColor="text1" w:themeTint="BF"/>
    </w:rPr>
  </w:style>
  <w:style w:type="paragraph" w:styleId="Lijstalinea">
    <w:name w:val="List Paragraph"/>
    <w:basedOn w:val="Standaard"/>
    <w:uiPriority w:val="34"/>
    <w:qFormat/>
    <w:rsid w:val="00A03ED5"/>
    <w:pPr>
      <w:ind w:left="720"/>
      <w:contextualSpacing/>
    </w:pPr>
  </w:style>
  <w:style w:type="character" w:styleId="Intensievebenadrukking">
    <w:name w:val="Intense Emphasis"/>
    <w:basedOn w:val="Standaardalinea-lettertype"/>
    <w:uiPriority w:val="21"/>
    <w:qFormat/>
    <w:rsid w:val="00A03ED5"/>
    <w:rPr>
      <w:i/>
      <w:iCs/>
      <w:color w:val="2E74B5" w:themeColor="accent1" w:themeShade="BF"/>
    </w:rPr>
  </w:style>
  <w:style w:type="paragraph" w:styleId="Duidelijkcitaat">
    <w:name w:val="Intense Quote"/>
    <w:basedOn w:val="Standaard"/>
    <w:next w:val="Standaard"/>
    <w:link w:val="DuidelijkcitaatChar"/>
    <w:uiPriority w:val="30"/>
    <w:qFormat/>
    <w:rsid w:val="00A03E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03ED5"/>
    <w:rPr>
      <w:i/>
      <w:iCs/>
      <w:color w:val="2E74B5" w:themeColor="accent1" w:themeShade="BF"/>
    </w:rPr>
  </w:style>
  <w:style w:type="character" w:styleId="Intensieveverwijzing">
    <w:name w:val="Intense Reference"/>
    <w:basedOn w:val="Standaardalinea-lettertype"/>
    <w:uiPriority w:val="32"/>
    <w:qFormat/>
    <w:rsid w:val="00A03ED5"/>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FB278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278D"/>
    <w:rPr>
      <w:sz w:val="20"/>
      <w:szCs w:val="20"/>
    </w:rPr>
  </w:style>
  <w:style w:type="character" w:styleId="Voetnootmarkering">
    <w:name w:val="footnote reference"/>
    <w:basedOn w:val="Standaardalinea-lettertype"/>
    <w:uiPriority w:val="99"/>
    <w:semiHidden/>
    <w:unhideWhenUsed/>
    <w:rsid w:val="00FB278D"/>
    <w:rPr>
      <w:vertAlign w:val="superscript"/>
    </w:rPr>
  </w:style>
  <w:style w:type="character" w:styleId="Verwijzingopmerking">
    <w:name w:val="annotation reference"/>
    <w:basedOn w:val="Standaardalinea-lettertype"/>
    <w:uiPriority w:val="99"/>
    <w:semiHidden/>
    <w:unhideWhenUsed/>
    <w:rsid w:val="003C0B6E"/>
    <w:rPr>
      <w:sz w:val="16"/>
      <w:szCs w:val="16"/>
    </w:rPr>
  </w:style>
  <w:style w:type="paragraph" w:styleId="Tekstopmerking">
    <w:name w:val="annotation text"/>
    <w:basedOn w:val="Standaard"/>
    <w:link w:val="TekstopmerkingChar"/>
    <w:uiPriority w:val="99"/>
    <w:unhideWhenUsed/>
    <w:rsid w:val="003C0B6E"/>
    <w:pPr>
      <w:spacing w:line="240" w:lineRule="auto"/>
    </w:pPr>
    <w:rPr>
      <w:sz w:val="20"/>
      <w:szCs w:val="20"/>
    </w:rPr>
  </w:style>
  <w:style w:type="character" w:customStyle="1" w:styleId="TekstopmerkingChar">
    <w:name w:val="Tekst opmerking Char"/>
    <w:basedOn w:val="Standaardalinea-lettertype"/>
    <w:link w:val="Tekstopmerking"/>
    <w:uiPriority w:val="99"/>
    <w:rsid w:val="003C0B6E"/>
    <w:rPr>
      <w:sz w:val="20"/>
      <w:szCs w:val="20"/>
    </w:rPr>
  </w:style>
  <w:style w:type="paragraph" w:styleId="Onderwerpvanopmerking">
    <w:name w:val="annotation subject"/>
    <w:basedOn w:val="Tekstopmerking"/>
    <w:next w:val="Tekstopmerking"/>
    <w:link w:val="OnderwerpvanopmerkingChar"/>
    <w:uiPriority w:val="99"/>
    <w:semiHidden/>
    <w:unhideWhenUsed/>
    <w:rsid w:val="003C0B6E"/>
    <w:rPr>
      <w:b/>
      <w:bCs/>
    </w:rPr>
  </w:style>
  <w:style w:type="character" w:customStyle="1" w:styleId="OnderwerpvanopmerkingChar">
    <w:name w:val="Onderwerp van opmerking Char"/>
    <w:basedOn w:val="TekstopmerkingChar"/>
    <w:link w:val="Onderwerpvanopmerking"/>
    <w:uiPriority w:val="99"/>
    <w:semiHidden/>
    <w:rsid w:val="003C0B6E"/>
    <w:rPr>
      <w:b/>
      <w:bCs/>
      <w:sz w:val="20"/>
      <w:szCs w:val="20"/>
    </w:rPr>
  </w:style>
  <w:style w:type="paragraph" w:styleId="Revisie">
    <w:name w:val="Revision"/>
    <w:hidden/>
    <w:uiPriority w:val="99"/>
    <w:semiHidden/>
    <w:rsid w:val="00510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6551">
      <w:bodyDiv w:val="1"/>
      <w:marLeft w:val="0"/>
      <w:marRight w:val="0"/>
      <w:marTop w:val="0"/>
      <w:marBottom w:val="0"/>
      <w:divBdr>
        <w:top w:val="none" w:sz="0" w:space="0" w:color="auto"/>
        <w:left w:val="none" w:sz="0" w:space="0" w:color="auto"/>
        <w:bottom w:val="none" w:sz="0" w:space="0" w:color="auto"/>
        <w:right w:val="none" w:sz="0" w:space="0" w:color="auto"/>
      </w:divBdr>
    </w:div>
    <w:div w:id="13625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1355</ap:Words>
  <ap:Characters>7453</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2026-04-23T07:36:00.0000000Z</dcterms:created>
  <dcterms:modified xsi:type="dcterms:W3CDTF">2026-04-23T07:36:00.0000000Z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2026-03-17T10:15:19Z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50ce4131-4001-443d-b886-ee2c6c71a49d</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ies>
</file>