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2026Z08875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23 april 2026)</w:t>
        <w:br/>
      </w:r>
    </w:p>
    <w:p>
      <w:r>
        <w:t xml:space="preserve">Vragen van het lid Faber (PVV) aan de minister van Justitie en Veiligheid over het ingezetenencriterium ofwel het i-criterium (dat inhoudt dat enkel personen die in een Nederlandse gemeente staan ingeschreven een coffeeshop mogen betreden)</w:t>
      </w:r>
      <w:r>
        <w:br/>
      </w:r>
    </w:p>
    <w:p>
      <w:pPr>
        <w:pStyle w:val="ListParagraph"/>
        <w:numPr>
          <w:ilvl w:val="0"/>
          <w:numId w:val="100505220"/>
        </w:numPr>
        <w:ind w:left="360"/>
      </w:pPr>
      <w:r>
        <w:t xml:space="preserve">Bent u bekend met het bericht ‘Ervaringen ingezetenencriterium’? 1)</w:t>
      </w:r>
      <w:r>
        <w:br/>
      </w:r>
    </w:p>
    <w:p>
      <w:pPr>
        <w:pStyle w:val="ListParagraph"/>
        <w:numPr>
          <w:ilvl w:val="0"/>
          <w:numId w:val="100505220"/>
        </w:numPr>
        <w:ind w:left="360"/>
      </w:pPr>
      <w:r>
        <w:t xml:space="preserve">Hoe kan het dat ondanks het i-criterium, welke sinds 1 januari 2013 deel uitmaakt van de Opiumwet en gemeentes verplicht dit in het lokale beleid op te nemen, er nog steeds gemeentes zijn die deze plicht verzaken?</w:t>
      </w:r>
      <w:r>
        <w:br/>
      </w:r>
    </w:p>
    <w:p>
      <w:pPr>
        <w:pStyle w:val="ListParagraph"/>
        <w:numPr>
          <w:ilvl w:val="0"/>
          <w:numId w:val="100505220"/>
        </w:numPr>
        <w:ind w:left="360"/>
      </w:pPr>
      <w:r>
        <w:t xml:space="preserve">Bent u het ermee eens dat het onacceptabel is dat gemeentes die het i-criterium wel in hun lokale beleid hebben opgenomen dit niet handhaven? Zo nee, waarom niet? Zo ja, welke actie gaat u hierop ondernemen?</w:t>
      </w:r>
      <w:r>
        <w:br/>
      </w:r>
    </w:p>
    <w:p>
      <w:pPr>
        <w:pStyle w:val="ListParagraph"/>
        <w:numPr>
          <w:ilvl w:val="0"/>
          <w:numId w:val="100505220"/>
        </w:numPr>
        <w:ind w:left="360"/>
      </w:pPr>
      <w:r>
        <w:t xml:space="preserve">Is het gedogen van eerdergenoemd gedrag door gemeentes geen vorm van ondermijning van de rechtsstaat? Zo nee, waarom niet? Zo ja, welke actie gaat u hierop ondernemen?</w:t>
      </w:r>
      <w:r>
        <w:br/>
      </w:r>
    </w:p>
    <w:p>
      <w:pPr>
        <w:pStyle w:val="ListParagraph"/>
        <w:numPr>
          <w:ilvl w:val="0"/>
          <w:numId w:val="100505220"/>
        </w:numPr>
        <w:ind w:left="360"/>
      </w:pPr>
      <w:r>
        <w:t xml:space="preserve">Als de overheid zich al niet houdt aan wet- en regelgeving, wat verwacht u dan van de burger? Is dit geen fout voorbeeld?</w:t>
      </w:r>
      <w:r>
        <w:br/>
      </w:r>
    </w:p>
    <w:p>
      <w:pPr>
        <w:pStyle w:val="ListParagraph"/>
        <w:numPr>
          <w:ilvl w:val="0"/>
          <w:numId w:val="100505220"/>
        </w:numPr>
        <w:ind w:left="360"/>
      </w:pPr>
      <w:r>
        <w:t xml:space="preserve">Wekt het niet uitvoeren en handhaven van het i-criterium het wiettoerisme, met de bijbehorende overlast, niet in de hand?</w:t>
      </w:r>
      <w:r>
        <w:br/>
      </w:r>
    </w:p>
    <w:p>
      <w:r>
        <w:t xml:space="preserve"> </w:t>
      </w:r>
      <w:r>
        <w:br/>
      </w:r>
    </w:p>
    <w:p>
      <w:r>
        <w:t xml:space="preserve">1) CCV, 8 oktober 2025, Ervaringen ingezetenencriterium (https://hetccv.nl/themas/georganiseerde-criminaliteit-en-ondermijning/drugstoerisme/ervaringen-ingezetenencriterium/).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51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5130">
    <w:abstractNumId w:val="1005051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