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2026Z09074</w:t>
        <w:br/>
      </w:r>
      <w:proofErr w:type="spellEnd"/>
    </w:p>
    <w:p>
      <w:pPr>
        <w:pStyle w:val="Normal"/>
        <w:rPr>
          <w:b w:val="1"/>
          <w:bCs w:val="1"/>
        </w:rPr>
      </w:pPr>
      <w:r w:rsidR="250AE766">
        <w:rPr>
          <w:b w:val="0"/>
          <w:bCs w:val="0"/>
        </w:rPr>
        <w:t>(ingezonden 28 april 2026)</w:t>
        <w:br/>
      </w:r>
    </w:p>
    <w:p>
      <w:r>
        <w:t xml:space="preserve">Vragen van de leden Bikker (ChristenUnie), Dobbe (SP), Tijs van den Brink (CDA), Diederik van Dijk (SGP), Struijs (50PLUS) en Dassen (Volt) aan de staatssecretaris van Justitie en Veiligheid over de Zembla-uitzending 'Gokkers in je tijdlijn'.</w:t>
      </w:r>
      <w:r>
        <w:br/>
      </w:r>
    </w:p>
    <w:p>
      <w:pPr>
        <w:pStyle w:val="ListParagraph"/>
        <w:numPr>
          <w:ilvl w:val="0"/>
          <w:numId w:val="100505380"/>
        </w:numPr>
        <w:ind w:left="360"/>
      </w:pPr>
      <w:r>
        <w:t xml:space="preserve">Bent u bekend met de Zembla uitzending 'Gokkers in je tijdlijn', waarin wordt gesteld dat ondanks het rolmodellenverbod sinds 2022 meer dan de helft van de legale online gokaanbieders nog altijd betrokken is bij influencer en affiliate constructies? 1)</w:t>
      </w:r>
      <w:r>
        <w:br/>
      </w:r>
    </w:p>
    <w:p>
      <w:pPr>
        <w:pStyle w:val="ListParagraph"/>
        <w:numPr>
          <w:ilvl w:val="0"/>
          <w:numId w:val="100505380"/>
        </w:numPr>
        <w:ind w:left="360"/>
      </w:pPr>
      <w:r>
        <w:t xml:space="preserve">Wat is uw reactie op de bevindingen uit deze uitzending, en wat zegt dit volgens u over de werking van het rolmodellenverbod en het Besluit ongerichte reclame kansspelen op afstand (Besluit orka)?</w:t>
      </w:r>
      <w:r>
        <w:br/>
      </w:r>
    </w:p>
    <w:p>
      <w:pPr>
        <w:pStyle w:val="ListParagraph"/>
        <w:numPr>
          <w:ilvl w:val="0"/>
          <w:numId w:val="100505380"/>
        </w:numPr>
        <w:ind w:left="360"/>
      </w:pPr>
      <w:r>
        <w:t xml:space="preserve">Klopt het dat er na deze uitzending in feite twee conclusies mogelijk zijn: ofwel het rolmodellenverbod was juridisch duidelijk maar is jarenlang onvoldoende gehandhaafd, ofwel het verbod was zo onduidelijk dat aanbieders via influencers, streamers en affiliates materieel hetzelfde konden blijven doen als verboden reclame? Welke conclusie acht u de juiste, en wat gaat u doen om dit probleem op te lossen?</w:t>
      </w:r>
      <w:r>
        <w:br/>
      </w:r>
    </w:p>
    <w:p>
      <w:pPr>
        <w:pStyle w:val="ListParagraph"/>
        <w:numPr>
          <w:ilvl w:val="0"/>
          <w:numId w:val="100505380"/>
        </w:numPr>
        <w:ind w:left="360"/>
      </w:pPr>
      <w:r>
        <w:t xml:space="preserve">Hoeveel onderzoeken heeft de Kansspelautoriteit sinds 2022 ingesteld naar overtredingen van het rolmodellenverbod en verwante reclamebeperkingen, en welke sancties zijn daarbij opgelegd? Acht u deze handhaving effectief?</w:t>
      </w:r>
      <w:r>
        <w:br/>
      </w:r>
    </w:p>
    <w:p>
      <w:pPr>
        <w:pStyle w:val="ListParagraph"/>
        <w:numPr>
          <w:ilvl w:val="0"/>
          <w:numId w:val="100505380"/>
        </w:numPr>
        <w:ind w:left="360"/>
      </w:pPr>
      <w:r>
        <w:t xml:space="preserve">Erkent u dat het beschermingsdoel van het rolmodellenverbod niet kan worden uitgehold door te verwijzen naar juridische constructies (zoals contracten met affiliates of websites) wanneer het feitelijke effect gelijk blijft: normalisering van gokken en beïnvloeding van jongeren en kwetsbare groepen? Bent u bereid vast te leggen dat bij toezicht en handhaving de feitelijke beïnvloeding leidend is in plaats van de contractvorm?</w:t>
      </w:r>
      <w:r>
        <w:br/>
      </w:r>
    </w:p>
    <w:p>
      <w:pPr>
        <w:pStyle w:val="ListParagraph"/>
        <w:numPr>
          <w:ilvl w:val="0"/>
          <w:numId w:val="100505380"/>
        </w:numPr>
        <w:ind w:left="360"/>
      </w:pPr>
      <w:r>
        <w:t xml:space="preserve">Deelt u de zorg dat jongeren en jongvolwassenen via influencers, livestreams en "informatieve" content alsnog structureel met gokreclame worden geconfronteerd, juist omdat deze minder herkenbaar en daardoor effectiever kan zijn? Hoe wordt deze blootstelling momenteel gemonitord en bent u bereid die monitoring te versterken?</w:t>
      </w:r>
      <w:r>
        <w:br/>
      </w:r>
    </w:p>
    <w:p>
      <w:pPr>
        <w:pStyle w:val="ListParagraph"/>
        <w:numPr>
          <w:ilvl w:val="0"/>
          <w:numId w:val="100505380"/>
        </w:numPr>
        <w:ind w:left="360"/>
      </w:pPr>
      <w:r>
        <w:t xml:space="preserve">Deelt u de opvatting dat websites, vergelijkingspagina's, streamkanalen en affiliate constructies die financieel afhankelijk zijn van speelgedrag of verliezen van spelers, feitelijk functioneren als verkapte reclame en niet als neutrale informatievoorziening? Acht u het wenselijk dat zulke constructies binnen het huidige reclameregime zijn toegestaan?</w:t>
      </w:r>
      <w:r>
        <w:br/>
      </w:r>
    </w:p>
    <w:p>
      <w:pPr>
        <w:pStyle w:val="ListParagraph"/>
        <w:numPr>
          <w:ilvl w:val="0"/>
          <w:numId w:val="100505380"/>
        </w:numPr>
        <w:ind w:left="360"/>
      </w:pPr>
      <w:r>
        <w:t xml:space="preserve">Nu het zo lijkt te zijn dat dat het onderscheid tussen directe reclame, indirecte promotie, affiliates en zogenaamd informatieve doorverwijzing voor spelers nauwelijks nog zichtbaar en voor toezicht steeds moeilijker handhaafbaar is, deelt u de mening dat reclame voor online kansspelen in brede zin zou moeten worden verboden, juist om administratief ontwijken te voorkomen?</w:t>
      </w:r>
      <w:r>
        <w:br/>
      </w:r>
    </w:p>
    <w:p>
      <w:pPr>
        <w:pStyle w:val="ListParagraph"/>
        <w:numPr>
          <w:ilvl w:val="0"/>
          <w:numId w:val="100505380"/>
        </w:numPr>
        <w:ind w:left="360"/>
      </w:pPr>
      <w:r>
        <w:t xml:space="preserve">Bent u bekend met de oproep van Verslavingskunde Nederland en de Nederlandse ggz voor een totaalverbod op gokreclame? Deelt u de opvatting dat een dergelijk verbod effectiever en eenvoudiger handhaafbaar kan zijn dan in elk geval het huidige stelsel van gedeeltelijke beperkingen maar ook het in het coalitieakkoord aangekondigde reclameverbod voor online gokken?</w:t>
      </w:r>
      <w:r>
        <w:br/>
      </w:r>
    </w:p>
    <w:p>
      <w:pPr>
        <w:pStyle w:val="ListParagraph"/>
        <w:numPr>
          <w:ilvl w:val="0"/>
          <w:numId w:val="100505380"/>
        </w:numPr>
        <w:ind w:left="360"/>
      </w:pPr>
      <w:r>
        <w:t xml:space="preserve">Kunt u deze vragen afzonderlijk en ruim voorafgaand aan het commissiedebat over kansspelen op 24 juni 2026 beantwoorden?</w:t>
      </w:r>
      <w:r>
        <w:br/>
      </w:r>
    </w:p>
    <w:p>
      <w:r>
        <w:t xml:space="preserve"> </w:t>
      </w:r>
      <w:r>
        <w:br/>
      </w:r>
    </w:p>
    <w:p>
      <w:r>
        <w:t xml:space="preserve">1) NPO, Gokkers in je tijdlijn (https://npo.nl/start/afspelen/zembla_135).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