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2026Z09075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april 2026)</w:t>
        <w:br/>
      </w:r>
    </w:p>
    <w:p>
      <w:r>
        <w:t xml:space="preserve">Vragen van het lid Van Houwelingen (FVD) aan de minister van Financiën over pensioenfondsen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5400"/>
        </w:numPr>
        <w:ind w:left="360"/>
      </w:pPr>
      <w:r>
        <w:t xml:space="preserve">Hoeveel procent rendement hebben pensioenfondsen de afgelopen dertig jaar gemiddeld (ongeveer) behaald op hun investeringen in vastrentende waarden zoals staatsobligaties?</w:t>
      </w:r>
      <w:r>
        <w:br/>
      </w:r>
    </w:p>
    <w:p>
      <w:pPr>
        <w:pStyle w:val="ListParagraph"/>
        <w:numPr>
          <w:ilvl w:val="0"/>
          <w:numId w:val="100505400"/>
        </w:numPr>
        <w:ind w:left="360"/>
      </w:pPr>
      <w:r>
        <w:t xml:space="preserve">Hoeveel procent rendement hebben pensioenfondsen de afgelopen dertig jaar gemiddeld (ongeveer) behaald op hun investeringen in aandelen?</w:t>
      </w:r>
      <w:r>
        <w:br/>
      </w:r>
    </w:p>
    <w:p>
      <w:pPr>
        <w:pStyle w:val="ListParagraph"/>
        <w:numPr>
          <w:ilvl w:val="0"/>
          <w:numId w:val="100505400"/>
        </w:numPr>
        <w:ind w:left="360"/>
      </w:pPr>
      <w:r>
        <w:t xml:space="preserve">Wat was het (gemiddeld) rendement de afgelopen dertig jaar van het ABP-pensioenfonds?</w:t>
      </w:r>
      <w:r>
        <w:br/>
      </w:r>
    </w:p>
    <w:p>
      <w:pPr>
        <w:pStyle w:val="ListParagraph"/>
        <w:numPr>
          <w:ilvl w:val="0"/>
          <w:numId w:val="100505400"/>
        </w:numPr>
        <w:ind w:left="360"/>
      </w:pPr>
      <w:r>
        <w:t xml:space="preserve">Wat was het (gemiddeld) rendement de afgelopen dertig jaar van de AEX-index?</w:t>
      </w:r>
      <w:r>
        <w:br/>
      </w:r>
    </w:p>
    <w:p>
      <w:pPr>
        <w:pStyle w:val="ListParagraph"/>
        <w:numPr>
          <w:ilvl w:val="0"/>
          <w:numId w:val="100505400"/>
        </w:numPr>
        <w:ind w:left="360"/>
      </w:pPr>
      <w:r>
        <w:t xml:space="preserve">Hoeveel procent (ongeveer) van de totale beleggingsportefeuille is een pensioenfonds zoals het ABP, op basis van wet- en regelgeving, verplicht te investeren in vastrentende waarden zoals staatsobligaties (en mag dus niet in aandelen geïnvesteerd worden)?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3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360">
    <w:abstractNumId w:val="1005053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