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2026Z09126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april 2026)</w:t>
        <w:br/>
      </w:r>
    </w:p>
    <w:p>
      <w:r>
        <w:t xml:space="preserve">Vraag van het lid Faber (PVV) aan de minister van Justitie en Veiligheid over de toepassing van snelrecht bij Azc-demonstrant en niet bij A12-bezetter</w:t>
      </w:r>
      <w:r>
        <w:br/>
      </w:r>
    </w:p>
    <w:p>
      <w:pPr>
        <w:pStyle w:val="ListParagraph"/>
        <w:numPr>
          <w:ilvl w:val="0"/>
          <w:numId w:val="100505570"/>
        </w:numPr>
        <w:ind w:left="360"/>
      </w:pPr>
      <w:r>
        <w:t xml:space="preserve">Bent u bekend met het bericht ‘Azc-demonstrant snel berecht, A12-bezetter niet: wanneer wordt supersnelrecht ingezet’? 1)</w:t>
      </w:r>
      <w:r>
        <w:br/>
      </w:r>
    </w:p>
    <w:p>
      <w:pPr>
        <w:pStyle w:val="ListParagraph"/>
        <w:numPr>
          <w:ilvl w:val="0"/>
          <w:numId w:val="100505570"/>
        </w:numPr>
        <w:ind w:left="360"/>
      </w:pPr>
      <w:r>
        <w:t xml:space="preserve">Hoe vaak werden er in de afgelopen drie jaar strafzaken afgedaan via snelrecht of supersnelrecht? En voor verdenking van welke strafbare feiten werd (super)snelrecht ingezet?</w:t>
      </w:r>
      <w:r>
        <w:br/>
      </w:r>
    </w:p>
    <w:p>
      <w:pPr>
        <w:pStyle w:val="ListParagraph"/>
        <w:numPr>
          <w:ilvl w:val="0"/>
          <w:numId w:val="100505570"/>
        </w:numPr>
        <w:ind w:left="360"/>
      </w:pPr>
      <w:r>
        <w:t xml:space="preserve">Waarom worden strafzaken tegen azc-demonstranten wel afgedaan via het (super)snelrecht en niet bij A12-bezetters? De zes bestuurders die de A12 blokkeerden leenden zich toch ook voor (super)snelrecht nu zij op heterdaad werden betrapt? En hoe zit dat met de A12-bezetters, zij werden door de politie verwijderd van de snelweg, dan was het bewijs toch ook direct voorhanden?</w:t>
      </w:r>
      <w:r>
        <w:br/>
      </w:r>
    </w:p>
    <w:p>
      <w:pPr>
        <w:pStyle w:val="ListParagraph"/>
        <w:numPr>
          <w:ilvl w:val="0"/>
          <w:numId w:val="100505570"/>
        </w:numPr>
        <w:ind w:left="360"/>
      </w:pPr>
      <w:r>
        <w:t xml:space="preserve">Deelt u de mening dat het er sterk op lijkt dat het Openbaar Ministerie en de rechter de azc-demonstraties de kop wil indrukken, aangezien (super)snelrecht voornamelijk wordt ingezet voor het maken van een statement?</w:t>
      </w:r>
      <w:r>
        <w:br/>
      </w:r>
    </w:p>
    <w:p>
      <w:r>
        <w:t xml:space="preserve"> </w:t>
      </w:r>
      <w:r>
        <w:br/>
      </w:r>
    </w:p>
    <w:p>
      <w:r>
        <w:t xml:space="preserve">1) De Telegraaf, 29 april 2026, Azc-demonstrant snel berecht, A12-bezetter niet: wanneer wordt supersnelrecht ingezet? (https://www.telegraaf.nl/binnenland/azc-demonstrant-snel-berecht-a12-bezetter-niet-wanneer-wordt-supersnelrecht-ingezet/150008028.html).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520">
    <w:abstractNumId w:val="100505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