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2026Z09317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mei 2026)</w:t>
        <w:br/>
      </w:r>
    </w:p>
    <w:p>
      <w:r>
        <w:t xml:space="preserve">Vragen van het lid Clemminck (JA21) aan de minister van Volkshuisvesting en Ruimtelijke Ordening over het bericht 'Na Vesteda krijgt ook woningbelegger Bouwinvest te maken met een uitstroom van kapitaal'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Bent u bekend met het bericht 'Na Vesteda krijgt ook woningbelegger Bouwinvest te maken met een uitstroom van kapitaal' 1) en wat betekent dit voor het aanbod aan middenhuurwoningen in Nederland?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In welke mate veroorzaakt deze uitstroom liquiditeitsdruk bij Bouwinvest, en hoe verhoudt dit zich tot de situatie bij Vesteda, waar eerder eveneens kapitaaluitstroom heeft plaatsgevonden?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Hoe groot acht u de kans dat Bouwinvest, net als Vesteda, woningen zal moeten verkopen om aan uitstapverzoeken te kunnen voldoen? Zo ja, in welke omvang?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Kunt u aangeven wat de mogelijke gevolgen zijn voor de beschikbaarheid van middenhuurwoningen en voor de ontwikkeling van de huurprijzen?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Deelt u de zorg dat gelijktijdige uitstroom bij meerdere woningfondsen kan leiden tot bredere effecten op de woningmarkt, zoals prijsdruk of een toename van uitponden?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In welke mate dragen nationale beleidsmaatregelen, zoals huurregulering en fiscale wijzigingen, volgens u bij aan het terugtrekken van investeerders uit Nederlandse woningfondsen?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Kunt u per relevante maatregel toelichten wat het effect is op de investeringsbereidheid van institutionele beleggers?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In hoeverre verlagen Nederlandse pensioenfondsen momenteel hun allocatie naar vastgoed, en specifiek naar woningbeleggingen? Indien dit het geval is, wat zijn daarvoor de belangrijkste oorzaken?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Wat zijn de gevolgen van deze ontwikkeling voor fondsen als Bouwinvest, die in belangrijke mate afhankelijk zijn van Nederlands pensioenkapitaal?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Welke impact heeft dit op de financiering en realisatie van nieuwbouwprojecten, in het bijzonder binnen het middenhuursegment?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Kunt u toelichten of en in welke mate projecten worden uitgesteld of afgeblazen als gevolg van teruglopende investeringen?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Deelt u de analyse dat Nederland minder aantrekkelijk wordt voor institutionele woningbeleggers ten opzichte van andere Europese landen?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Acht u het risico aanwezig dat kapitaal structureel verschuift naar andere markten, en welke gevolgen heeft dit voor de woningbouwopgave in Nederland?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In welke mate acht u de huidige structuur van open-end vastgoedfondsen met uitstapmogelijkheden kwetsbaar onder veranderende marktomstandigheden?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Acht u aanvullende maatregelen of aanpassingen in de regelgeving noodzakelijk om deze kwetsbaarheden te mitigeren?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In uw Kamerbrief van 20 april jl. (Kamerstuk 27926, nr. 409) neemt u enkele maatregelen om voornamelijk het uitponden van middenhuur woningen tegen te gaan; welke andere maatregelen heeft u overwegen, waarom zijn deze afgevallen?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Uit de enquête van Vastgoed Belang blijkt dat investeerders de aangekondigde maatregelen onvoldoende achten om het uitponden tegen te gaan; herkent de minister deze signalen, waarom acht de minister aanvullende maatregelen nu niet nodig?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Welke concrete maatregelen neemt het kabinet om het investeringsklimaat voor woningbouw op peil te houden, mede gezien de signalen van partijen als Bouwinvest?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Bent u bereid in overleg te treden met institutionele beleggers en pensioenfondsen om te verkennen hoe investeringen in de Nederlandse woningbouw kunnen worden behouden dan wel vergroot?</w:t>
      </w:r>
      <w:r>
        <w:br/>
      </w:r>
    </w:p>
    <w:p>
      <w:pPr>
        <w:pStyle w:val="ListParagraph"/>
        <w:numPr>
          <w:ilvl w:val="0"/>
          <w:numId w:val="100505980"/>
        </w:numPr>
        <w:ind w:left="360"/>
      </w:pPr>
      <w:r>
        <w:t xml:space="preserve">Welke maatregelen neemt de Ministeriële Taskforce Versnelling Woningbouw om te waarborgen dat investeren in middenhuurwoningen aantrekkelijk blijft voor institutionele beleggers, zodat woningzoekenden niet de negatieve gevolgen ondervinden van fiscale beleidsmaatregelen?</w:t>
      </w:r>
      <w:r>
        <w:br/>
      </w:r>
    </w:p>
    <w:p>
      <w:r>
        <w:t xml:space="preserve"> </w:t>
      </w:r>
      <w:r>
        <w:br/>
      </w:r>
    </w:p>
    <w:p>
      <w:r>
        <w:t xml:space="preserve">1) FD, 21 april 2026, Na Vesteda krijgt ook woningbelegger Bouwinvest te maken met een uitstroom van kapitaal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