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873A3" w:rsidP="003873A3" w14:paraId="2DBF3627" w14:textId="77777777">
      <w:r>
        <w:t xml:space="preserve">Bijgaand treft u de evaluatie van de Wet normering topinkomens </w:t>
      </w:r>
      <w:r w:rsidR="00D9647D">
        <w:t xml:space="preserve">(WNT) </w:t>
      </w:r>
      <w:r w:rsidR="0044664C">
        <w:t>over</w:t>
      </w:r>
      <w:r w:rsidR="00D9647D">
        <w:t xml:space="preserve"> de periode </w:t>
      </w:r>
      <w:r>
        <w:t>20</w:t>
      </w:r>
      <w:r w:rsidR="004C32BE">
        <w:t>21</w:t>
      </w:r>
      <w:r>
        <w:t>-20</w:t>
      </w:r>
      <w:r w:rsidR="007E1A2D">
        <w:t>2</w:t>
      </w:r>
      <w:r w:rsidR="004C32BE">
        <w:t>5</w:t>
      </w:r>
      <w:r>
        <w:t xml:space="preserve"> aan</w:t>
      </w:r>
      <w:r w:rsidR="00FC61CD">
        <w:t>, overeenkomstig artikel 7.2 WNT</w:t>
      </w:r>
      <w:r>
        <w:t xml:space="preserve">. </w:t>
      </w:r>
      <w:r w:rsidR="00FF7D8A">
        <w:t xml:space="preserve">De WNT is begin 2013 in werking getreden om bovenmatige beloningen en ontslagvergoedingen in de (semi)publieke sector tegen te gaan. </w:t>
      </w:r>
      <w:r>
        <w:t xml:space="preserve">In deze </w:t>
      </w:r>
      <w:r w:rsidR="004C32BE">
        <w:t>derde</w:t>
      </w:r>
      <w:r>
        <w:t xml:space="preserve"> wetsevaluatie zijn de doeltreffendheid, de doelmatigheid en</w:t>
      </w:r>
      <w:r w:rsidR="004C32BE">
        <w:t xml:space="preserve"> neven</w:t>
      </w:r>
      <w:r>
        <w:t xml:space="preserve">effecten van de WNT </w:t>
      </w:r>
      <w:r w:rsidR="004C32BE">
        <w:t xml:space="preserve">in de praktijk </w:t>
      </w:r>
      <w:r>
        <w:t>onderzocht.</w:t>
      </w:r>
      <w:r w:rsidR="00040B4A">
        <w:t xml:space="preserve"> </w:t>
      </w:r>
      <w:r w:rsidR="00FF7D8A">
        <w:br/>
      </w:r>
      <w:r w:rsidR="00FF7D8A">
        <w:br/>
      </w:r>
      <w:r w:rsidR="00040B4A">
        <w:t>De belangrijkste conclusie</w:t>
      </w:r>
      <w:r w:rsidR="00AC6FC3">
        <w:t xml:space="preserve"> van de onderzoekers</w:t>
      </w:r>
      <w:r w:rsidR="00040B4A">
        <w:t xml:space="preserve"> is</w:t>
      </w:r>
      <w:r w:rsidR="00153B28">
        <w:t>,</w:t>
      </w:r>
      <w:r w:rsidR="004C32BE">
        <w:t xml:space="preserve"> </w:t>
      </w:r>
      <w:r w:rsidR="00153B28">
        <w:t>evenals</w:t>
      </w:r>
      <w:r w:rsidR="004C32BE">
        <w:t xml:space="preserve"> </w:t>
      </w:r>
      <w:r w:rsidR="00153B28">
        <w:t xml:space="preserve">uit </w:t>
      </w:r>
      <w:r w:rsidR="004C32BE">
        <w:t xml:space="preserve">de vorige evaluatie, </w:t>
      </w:r>
      <w:r w:rsidR="00153B28">
        <w:t xml:space="preserve">dat de WNT </w:t>
      </w:r>
      <w:r w:rsidR="00040B4A">
        <w:t xml:space="preserve">bijdraagt aan het tegengaan van bovenmatige beloningen en ontslagvergoedingen bij instellingen in de (semi)publieke sector. </w:t>
      </w:r>
      <w:r w:rsidR="00153B28">
        <w:t xml:space="preserve">Daarnaast komt uit de </w:t>
      </w:r>
      <w:r w:rsidR="009727EA">
        <w:t>evaluatie (opnieuw) de complexiteit</w:t>
      </w:r>
      <w:r w:rsidRPr="00484641" w:rsidR="00040B4A">
        <w:t xml:space="preserve"> van de </w:t>
      </w:r>
      <w:r w:rsidR="00316CD0">
        <w:t>WNT</w:t>
      </w:r>
      <w:r w:rsidR="009727EA">
        <w:t xml:space="preserve"> naar voren</w:t>
      </w:r>
      <w:r w:rsidRPr="00484641" w:rsidR="00040B4A">
        <w:t>.</w:t>
      </w:r>
      <w:r w:rsidR="00836120">
        <w:t xml:space="preserve"> </w:t>
      </w:r>
      <w:r>
        <w:t>In deze brief wordt achtereenvolgens ingegaan op het evaluatieonderzoek</w:t>
      </w:r>
      <w:r w:rsidR="000D056D">
        <w:t xml:space="preserve"> en</w:t>
      </w:r>
      <w:r w:rsidR="005F7067">
        <w:t xml:space="preserve"> de </w:t>
      </w:r>
      <w:r>
        <w:t>conclusie</w:t>
      </w:r>
      <w:r w:rsidR="005F7067">
        <w:t>s</w:t>
      </w:r>
      <w:r w:rsidR="0066288A">
        <w:t xml:space="preserve"> </w:t>
      </w:r>
      <w:r w:rsidR="00AC6FC3">
        <w:t>van de onderzoekers</w:t>
      </w:r>
      <w:r w:rsidR="000D056D">
        <w:t>.</w:t>
      </w:r>
      <w:r w:rsidR="00287F6C">
        <w:t xml:space="preserve"> </w:t>
      </w:r>
    </w:p>
    <w:p w:rsidR="003873A3" w:rsidP="003873A3" w14:paraId="1B8D4DB0" w14:textId="77777777"/>
    <w:p w:rsidRPr="004473DB" w:rsidR="003873A3" w:rsidP="004473DB" w14:paraId="16EA1269" w14:textId="77777777">
      <w:pPr>
        <w:pStyle w:val="ListParagraph"/>
        <w:numPr>
          <w:ilvl w:val="0"/>
          <w:numId w:val="30"/>
        </w:numPr>
        <w:rPr>
          <w:b/>
        </w:rPr>
      </w:pPr>
      <w:r w:rsidRPr="004473DB">
        <w:rPr>
          <w:b/>
        </w:rPr>
        <w:t>Het evaluatieonderzoek</w:t>
      </w:r>
    </w:p>
    <w:p w:rsidR="003D1DFD" w:rsidP="003873A3" w14:paraId="2CD105D6" w14:textId="77777777"/>
    <w:p w:rsidR="003873A3" w:rsidP="003873A3" w14:paraId="69D9A55A" w14:textId="77777777">
      <w:r>
        <w:t xml:space="preserve">Het </w:t>
      </w:r>
      <w:r w:rsidR="004473DB">
        <w:t>evaluatie</w:t>
      </w:r>
      <w:r w:rsidR="000C1C59">
        <w:t>onderzoek</w:t>
      </w:r>
      <w:r w:rsidR="004473DB">
        <w:t xml:space="preserve"> </w:t>
      </w:r>
      <w:r>
        <w:t xml:space="preserve">betreft de derde wetsevaluatie van de WNT en </w:t>
      </w:r>
      <w:r w:rsidR="004473DB">
        <w:t>heeft betrekking op de period</w:t>
      </w:r>
      <w:r w:rsidR="000C1C59">
        <w:t>e 20</w:t>
      </w:r>
      <w:r w:rsidR="004C32BE">
        <w:t>21</w:t>
      </w:r>
      <w:r w:rsidR="000C1C59">
        <w:t>-20</w:t>
      </w:r>
      <w:r w:rsidR="007E1A2D">
        <w:t>2</w:t>
      </w:r>
      <w:r w:rsidR="004C32BE">
        <w:t>5</w:t>
      </w:r>
      <w:r w:rsidR="000C1C59">
        <w:t xml:space="preserve">. </w:t>
      </w:r>
      <w:r w:rsidR="00040B4A">
        <w:t xml:space="preserve">De eerste evaluatie van de WNT </w:t>
      </w:r>
      <w:r w:rsidR="00AA1582">
        <w:t xml:space="preserve">(over de periode 2013-2015) </w:t>
      </w:r>
      <w:r w:rsidR="00040B4A">
        <w:t xml:space="preserve">was kort na de invoering van WNT-1 </w:t>
      </w:r>
      <w:r w:rsidR="003C63D7">
        <w:t xml:space="preserve">(2013) </w:t>
      </w:r>
      <w:r w:rsidR="00040B4A">
        <w:t>en ten tijde van de invoering van WNT-2</w:t>
      </w:r>
      <w:r w:rsidR="003C63D7">
        <w:t xml:space="preserve"> (2015)</w:t>
      </w:r>
      <w:r w:rsidR="00040B4A">
        <w:t xml:space="preserve">, hetgeen </w:t>
      </w:r>
      <w:r w:rsidR="00AA1582">
        <w:t xml:space="preserve">betekende dat nog niet alle effecten van de invoering van de WNT konden worden beoordeeld. </w:t>
      </w:r>
      <w:r w:rsidR="004C32BE">
        <w:t xml:space="preserve">De tweede evaluatie van de WNT (over de periode 2016-2020) was </w:t>
      </w:r>
      <w:r w:rsidR="007D1374">
        <w:t>een evaluatie waarin uitgebreid aandacht is besteed aan het functioneren van de wet in de praktijk</w:t>
      </w:r>
      <w:r w:rsidR="00F14161">
        <w:t>.</w:t>
      </w:r>
      <w:r w:rsidR="007D1374">
        <w:t xml:space="preserve"> </w:t>
      </w:r>
    </w:p>
    <w:p w:rsidR="00793088" w:rsidP="003873A3" w14:paraId="5DA959E4" w14:textId="77777777"/>
    <w:p w:rsidR="00DE7B6F" w:rsidP="003873A3" w14:paraId="44EA64C2" w14:textId="77777777">
      <w:r>
        <w:t>Het</w:t>
      </w:r>
      <w:r w:rsidR="004473DB">
        <w:t xml:space="preserve"> uitgevoerde onderzoek richt zich </w:t>
      </w:r>
      <w:r w:rsidR="004240C6">
        <w:t xml:space="preserve">respectievelijk </w:t>
      </w:r>
      <w:r w:rsidR="004473DB">
        <w:t>op</w:t>
      </w:r>
      <w:r>
        <w:t>:</w:t>
      </w:r>
    </w:p>
    <w:p w:rsidR="00DE7B6F" w:rsidP="00DE7B6F" w14:paraId="6F2833A6" w14:textId="77777777">
      <w:pPr>
        <w:pStyle w:val="ListParagraph"/>
        <w:numPr>
          <w:ilvl w:val="0"/>
          <w:numId w:val="39"/>
        </w:numPr>
      </w:pPr>
      <w:r>
        <w:t>D</w:t>
      </w:r>
      <w:r w:rsidR="004240C6">
        <w:t xml:space="preserve">e </w:t>
      </w:r>
      <w:r w:rsidRPr="00D015D5" w:rsidR="004240C6">
        <w:rPr>
          <w:i/>
        </w:rPr>
        <w:t>doeltreffendheid</w:t>
      </w:r>
      <w:r w:rsidR="004240C6">
        <w:t xml:space="preserve"> van de bezoldigings</w:t>
      </w:r>
      <w:r w:rsidR="00630462">
        <w:t>maxim</w:t>
      </w:r>
      <w:r w:rsidR="007D1374">
        <w:t>a</w:t>
      </w:r>
      <w:r w:rsidR="004240C6">
        <w:t xml:space="preserve">, </w:t>
      </w:r>
      <w:r w:rsidR="00630462">
        <w:t>maximering</w:t>
      </w:r>
      <w:r w:rsidR="004240C6">
        <w:t xml:space="preserve"> ontslagvergoeding</w:t>
      </w:r>
      <w:r w:rsidR="007D1374">
        <w:t>en</w:t>
      </w:r>
      <w:r w:rsidR="004240C6">
        <w:t xml:space="preserve"> en de openbaarmakingsplicht</w:t>
      </w:r>
      <w:r w:rsidR="00623B64">
        <w:t>.</w:t>
      </w:r>
    </w:p>
    <w:p w:rsidR="00DE7B6F" w:rsidP="00DE7B6F" w14:paraId="74526AF3" w14:textId="77777777">
      <w:pPr>
        <w:pStyle w:val="ListParagraph"/>
        <w:numPr>
          <w:ilvl w:val="0"/>
          <w:numId w:val="39"/>
        </w:numPr>
      </w:pPr>
      <w:r>
        <w:t xml:space="preserve">De </w:t>
      </w:r>
      <w:r w:rsidRPr="00D015D5" w:rsidR="004240C6">
        <w:rPr>
          <w:i/>
        </w:rPr>
        <w:t xml:space="preserve">doelmatigheid </w:t>
      </w:r>
      <w:r w:rsidR="004240C6">
        <w:t>van de WNT op het gebied van kenbaarheid</w:t>
      </w:r>
      <w:r w:rsidR="009E26CC">
        <w:t xml:space="preserve">, </w:t>
      </w:r>
      <w:r w:rsidR="00B57F54">
        <w:t>de verhouding tussen de uitvoeringslasten en het maatschappelijke doel van de wet</w:t>
      </w:r>
      <w:r w:rsidR="004240C6">
        <w:t xml:space="preserve">, alsmede </w:t>
      </w:r>
      <w:r w:rsidR="009E26CC">
        <w:t>de aanwezigheid van neveneffecten.</w:t>
      </w:r>
    </w:p>
    <w:p w:rsidR="00AA1582" w:rsidP="003873A3" w14:paraId="18DDF207" w14:textId="77777777"/>
    <w:p w:rsidR="00AA1582" w:rsidP="003873A3" w14:paraId="159AB2DD" w14:textId="77777777">
      <w:r>
        <w:t xml:space="preserve">Daartoe is naast kwantitatief onderzoek ook kwalitatief onderzoek gedaan aan de hand van interviews met onder andere WNT-instellingen, </w:t>
      </w:r>
      <w:r w:rsidR="00C176F1">
        <w:t>topfunctionarissen,</w:t>
      </w:r>
      <w:r w:rsidR="007D1374">
        <w:t xml:space="preserve"> toezichthouders en</w:t>
      </w:r>
      <w:r w:rsidR="00C176F1">
        <w:t xml:space="preserve"> </w:t>
      </w:r>
      <w:r>
        <w:t>accountants</w:t>
      </w:r>
      <w:r w:rsidR="00C176F1">
        <w:t xml:space="preserve">. </w:t>
      </w:r>
      <w:r w:rsidR="00D918DB">
        <w:t>Het kabinet heeft de samenwerking met alle betrokkenen bij de WNT</w:t>
      </w:r>
      <w:r w:rsidR="0044664C">
        <w:t>-evaluatie</w:t>
      </w:r>
      <w:r w:rsidR="00D918DB">
        <w:t xml:space="preserve"> als zeer waardevol ervaren en waardeert de </w:t>
      </w:r>
      <w:r w:rsidR="00D918DB">
        <w:t>betrokkenheid, inbreng en nauwe samenwerking enorm.</w:t>
      </w:r>
      <w:r w:rsidR="001A0726">
        <w:t xml:space="preserve"> </w:t>
      </w:r>
      <w:r w:rsidR="0044664C">
        <w:t>Deze inbreng was essentieel voor een succesvolle afronding van deze wetsevaluatie.</w:t>
      </w:r>
    </w:p>
    <w:p w:rsidR="004473DB" w:rsidP="003873A3" w14:paraId="6ACC843A" w14:textId="77777777"/>
    <w:p w:rsidRPr="004473DB" w:rsidR="004473DB" w:rsidP="004473DB" w14:paraId="42F98AE6" w14:textId="77777777">
      <w:pPr>
        <w:pStyle w:val="ListParagraph"/>
        <w:numPr>
          <w:ilvl w:val="0"/>
          <w:numId w:val="30"/>
        </w:numPr>
        <w:rPr>
          <w:b/>
        </w:rPr>
      </w:pPr>
      <w:r w:rsidRPr="004473DB">
        <w:rPr>
          <w:b/>
        </w:rPr>
        <w:t>Conclusie</w:t>
      </w:r>
      <w:r w:rsidR="00D918DB">
        <w:rPr>
          <w:b/>
        </w:rPr>
        <w:t>s</w:t>
      </w:r>
    </w:p>
    <w:p w:rsidR="004473DB" w:rsidP="003873A3" w14:paraId="7A526DB2" w14:textId="77777777"/>
    <w:p w:rsidR="00E4293A" w:rsidP="003873A3" w14:paraId="47474531" w14:textId="77777777">
      <w:r>
        <w:t>De belangrijkste conclusie</w:t>
      </w:r>
      <w:r>
        <w:t>s</w:t>
      </w:r>
      <w:r w:rsidR="00836120">
        <w:t xml:space="preserve"> </w:t>
      </w:r>
      <w:r w:rsidR="00AC6FC3">
        <w:t>van de onderzoekers</w:t>
      </w:r>
      <w:r>
        <w:t xml:space="preserve"> </w:t>
      </w:r>
      <w:r w:rsidR="00D04309">
        <w:t>zijn:</w:t>
      </w:r>
    </w:p>
    <w:p w:rsidR="00587A2C" w:rsidP="00E4293A" w14:paraId="143648A3" w14:textId="77777777">
      <w:pPr>
        <w:pStyle w:val="ListParagraph"/>
        <w:numPr>
          <w:ilvl w:val="0"/>
          <w:numId w:val="38"/>
        </w:numPr>
      </w:pPr>
      <w:r>
        <w:t xml:space="preserve">De </w:t>
      </w:r>
      <w:r w:rsidR="0066288A">
        <w:t xml:space="preserve">WNT </w:t>
      </w:r>
      <w:r>
        <w:t xml:space="preserve">is </w:t>
      </w:r>
      <w:r w:rsidRPr="00587A2C" w:rsidR="0066288A">
        <w:rPr>
          <w:i/>
        </w:rPr>
        <w:t>doeltreffend</w:t>
      </w:r>
      <w:r w:rsidR="0066288A">
        <w:t xml:space="preserve"> in het tegengaan van bovenmatige bezoldigingen en ontslagvergoedingen in de publieke en semipublieke sector.</w:t>
      </w:r>
      <w:r w:rsidR="007D1374">
        <w:t xml:space="preserve"> De WNT is echter </w:t>
      </w:r>
      <w:r w:rsidRPr="007D1374" w:rsidR="007D1374">
        <w:rPr>
          <w:i/>
          <w:iCs/>
        </w:rPr>
        <w:t>niet geheel doeltreffend</w:t>
      </w:r>
      <w:r w:rsidR="007D1374">
        <w:rPr>
          <w:i/>
          <w:iCs/>
        </w:rPr>
        <w:t xml:space="preserve"> </w:t>
      </w:r>
      <w:r w:rsidRPr="007D1374" w:rsidR="007D1374">
        <w:t>bij de openbaarmakingsplicht</w:t>
      </w:r>
      <w:r w:rsidR="007D1374">
        <w:rPr>
          <w:i/>
          <w:iCs/>
        </w:rPr>
        <w:t>.</w:t>
      </w:r>
    </w:p>
    <w:p w:rsidR="00132CE1" w:rsidP="00E4293A" w14:paraId="018D54E8" w14:textId="77777777">
      <w:pPr>
        <w:pStyle w:val="ListParagraph"/>
        <w:numPr>
          <w:ilvl w:val="0"/>
          <w:numId w:val="38"/>
        </w:numPr>
      </w:pPr>
      <w:r>
        <w:t xml:space="preserve">De </w:t>
      </w:r>
      <w:r w:rsidRPr="00587A2C">
        <w:rPr>
          <w:i/>
        </w:rPr>
        <w:t>doelmatigheid</w:t>
      </w:r>
      <w:r w:rsidR="00E4293A">
        <w:t xml:space="preserve"> van de WNT is vanwege de complexiteit van de WNT voor verbetering vatbaar. </w:t>
      </w:r>
      <w:r w:rsidRPr="009E26CC" w:rsidR="009E26CC">
        <w:t xml:space="preserve">De verplichtingen die volgen uit de WNT zijn duidelijk, hanteerbaar en vormen een </w:t>
      </w:r>
      <w:r w:rsidR="00456133">
        <w:t>helder</w:t>
      </w:r>
      <w:r w:rsidRPr="009E26CC" w:rsidR="00456133">
        <w:t xml:space="preserve"> </w:t>
      </w:r>
      <w:r w:rsidRPr="009E26CC" w:rsidR="009E26CC">
        <w:t>kader. Op sommige vlakken is meer duidelijkheid gewenst</w:t>
      </w:r>
      <w:r w:rsidR="00973D50">
        <w:t>.</w:t>
      </w:r>
      <w:r w:rsidR="009E26CC">
        <w:t xml:space="preserve"> </w:t>
      </w:r>
    </w:p>
    <w:p w:rsidR="00587A2C" w:rsidP="00E4293A" w14:paraId="25FF0AE5" w14:textId="77777777">
      <w:pPr>
        <w:pStyle w:val="ListParagraph"/>
        <w:numPr>
          <w:ilvl w:val="0"/>
          <w:numId w:val="38"/>
        </w:numPr>
      </w:pPr>
      <w:r>
        <w:t>O</w:t>
      </w:r>
      <w:r w:rsidR="00E34172">
        <w:t xml:space="preserve">ok </w:t>
      </w:r>
      <w:r w:rsidR="009E26CC">
        <w:t xml:space="preserve">blijkt dat </w:t>
      </w:r>
      <w:r w:rsidRPr="00836120" w:rsidR="009E26CC">
        <w:rPr>
          <w:i/>
          <w:iCs/>
        </w:rPr>
        <w:t>neveneffecten</w:t>
      </w:r>
      <w:r w:rsidRPr="009E26CC" w:rsidR="009E26CC">
        <w:t xml:space="preserve"> mogelijk kunnen zijn op het gebied van werving en behoud, administratieve lasten, werkdruk en veranderingen in beloningsverhoudingen.</w:t>
      </w:r>
    </w:p>
    <w:p w:rsidR="00587A2C" w:rsidP="00587A2C" w14:paraId="4451B907" w14:textId="77777777">
      <w:pPr>
        <w:pStyle w:val="ListParagraph"/>
        <w:ind w:left="360"/>
      </w:pPr>
    </w:p>
    <w:p w:rsidRPr="00034F32" w:rsidR="000C2F21" w:rsidP="004240C6" w14:paraId="0E340B9D" w14:textId="77777777">
      <w:pPr>
        <w:rPr>
          <w:b/>
          <w:i/>
        </w:rPr>
      </w:pPr>
      <w:r w:rsidRPr="004473DB">
        <w:rPr>
          <w:b/>
          <w:i/>
        </w:rPr>
        <w:t>Doeltreffendheid</w:t>
      </w:r>
    </w:p>
    <w:p w:rsidR="000C2F21" w:rsidP="004240C6" w14:paraId="7DAE3B88" w14:textId="77777777">
      <w:bookmarkStart w:name="_Hlk227323039" w:id="0"/>
      <w:r w:rsidRPr="004F406F">
        <w:t xml:space="preserve">Uit het onderzoek blijkt dat het aandeel overschrijdingen van het bezoldigingsmaximum is gedaald. </w:t>
      </w:r>
      <w:r w:rsidRPr="004F406F" w:rsidR="0085592D">
        <w:t xml:space="preserve">Een overschrijding kan zowel geoorloofd als ongeoorloofd zijn. Wanneer een overschrijding ongeoorloofd is, is er sprake van een overtreding. In het onderzoek is </w:t>
      </w:r>
      <w:r w:rsidR="00F14161">
        <w:t xml:space="preserve">voor het bezoldigingsmaximum </w:t>
      </w:r>
      <w:r w:rsidRPr="004F406F" w:rsidR="0085592D">
        <w:t>gekeken naar overschrijdingen</w:t>
      </w:r>
      <w:r w:rsidR="00F14161">
        <w:t xml:space="preserve"> en voor de ontslagvergoedingen gekeken naar overtredingen</w:t>
      </w:r>
      <w:r w:rsidRPr="004F406F" w:rsidR="0085592D">
        <w:t xml:space="preserve">. </w:t>
      </w:r>
      <w:r w:rsidRPr="004F406F">
        <w:t xml:space="preserve">Een overschrijding van het bezoldigingsmaximum kwam in 2019 bij 2,1% van de topfunctionarissen voor en in 2023 is dat aandeel gezakt naar 1,1%. </w:t>
      </w:r>
      <w:bookmarkStart w:name="_Hlk227323239" w:id="1"/>
      <w:r w:rsidR="005656E7">
        <w:t xml:space="preserve">Hierbij moet worden opgemerkt dat het aantal overschrijdingen alleen is vastgesteld onder WNT-instellingen met een openbaargemaakte WNT-verantwoording. De onderzoekers kunnen geen uitspraken doen over de doeltreffendheid bij instellingen zonder openbaargemaakte WNT-verantwoording. </w:t>
      </w:r>
      <w:bookmarkEnd w:id="1"/>
      <w:r w:rsidRPr="004F406F">
        <w:t xml:space="preserve">Met betrekking tot de ontslagvergoeding lijkt de doeltreffendheid </w:t>
      </w:r>
      <w:r w:rsidRPr="004F406F" w:rsidR="00081CAF">
        <w:t>gelijk gebleven</w:t>
      </w:r>
      <w:r w:rsidRPr="004F406F">
        <w:t xml:space="preserve">. In de WNT-jaarrapportages zijn in totaal 8 vastgestelde overtredingen opgenomen van de maximum ontslagvergoedingen in </w:t>
      </w:r>
      <w:r w:rsidRPr="004F406F" w:rsidR="00456133">
        <w:t>vijf</w:t>
      </w:r>
      <w:r w:rsidRPr="004F406F">
        <w:t xml:space="preserve"> jaar tijd. Bij de vorige evaluatie zijn drie jaren onderzocht en zijn in totaal 5 overtredingen vastgesteld.</w:t>
      </w:r>
      <w:r>
        <w:t xml:space="preserve"> </w:t>
      </w:r>
      <w:r>
        <w:br/>
      </w:r>
    </w:p>
    <w:bookmarkEnd w:id="0"/>
    <w:p w:rsidR="00044513" w:rsidP="004240C6" w14:paraId="202EC4C6" w14:textId="77777777">
      <w:r>
        <w:t xml:space="preserve">In het onderzoek </w:t>
      </w:r>
      <w:r w:rsidR="00B858E3">
        <w:t xml:space="preserve">naar de </w:t>
      </w:r>
      <w:r>
        <w:t xml:space="preserve">doeltreffendheid </w:t>
      </w:r>
      <w:r w:rsidR="00B858E3">
        <w:t xml:space="preserve">van de </w:t>
      </w:r>
      <w:r>
        <w:t>openbaarmaking wordt</w:t>
      </w:r>
      <w:r w:rsidR="00836120">
        <w:t xml:space="preserve"> in het rapport</w:t>
      </w:r>
      <w:r>
        <w:t xml:space="preserve"> geconstateerd dat de doeltreffendheid </w:t>
      </w:r>
      <w:r w:rsidR="00B858E3">
        <w:t>van d</w:t>
      </w:r>
      <w:r>
        <w:t>e online publicatie te wensen over laat.</w:t>
      </w:r>
      <w:r w:rsidR="00CD6F31">
        <w:t xml:space="preserve"> Een aanzienlijk deel, ongeveer de helft, van de WNT-instellingen houdt zich niet aan de </w:t>
      </w:r>
      <w:r w:rsidR="00B974E3">
        <w:t xml:space="preserve">online </w:t>
      </w:r>
      <w:r w:rsidR="00081CAF">
        <w:t>publicatie</w:t>
      </w:r>
      <w:r w:rsidR="00CD6F31">
        <w:t>plicht.</w:t>
      </w:r>
      <w:r>
        <w:t xml:space="preserve"> </w:t>
      </w:r>
      <w:r w:rsidR="00232706">
        <w:t xml:space="preserve">De doeltreffendheid voor wat betreft de </w:t>
      </w:r>
      <w:r w:rsidR="009631A3">
        <w:t xml:space="preserve">volledigheid van de </w:t>
      </w:r>
      <w:r w:rsidR="00232706">
        <w:t>verantwoording</w:t>
      </w:r>
      <w:r w:rsidR="00CD6F31">
        <w:t xml:space="preserve"> is wel verbeterd. Het aandeel WNT-instellingen met een beschikbare, complete WNT-verantwoording is met de jaren gestegen.</w:t>
      </w:r>
    </w:p>
    <w:p w:rsidR="00AC6FC3" w:rsidP="004240C6" w14:paraId="3D3F96DA" w14:textId="77777777"/>
    <w:p w:rsidRPr="004473DB" w:rsidR="004473DB" w:rsidP="005656E7" w14:paraId="4B8B0881" w14:textId="77777777">
      <w:pPr>
        <w:spacing w:line="240" w:lineRule="auto"/>
        <w:rPr>
          <w:b/>
          <w:i/>
        </w:rPr>
      </w:pPr>
      <w:r w:rsidRPr="004473DB">
        <w:rPr>
          <w:b/>
          <w:i/>
        </w:rPr>
        <w:t>Doelmatigheid</w:t>
      </w:r>
    </w:p>
    <w:p w:rsidR="00824D48" w:rsidP="002E511B" w14:paraId="2FD21880" w14:textId="77777777">
      <w:pPr>
        <w:autoSpaceDN/>
        <w:spacing w:after="160" w:line="256" w:lineRule="auto"/>
        <w:textAlignment w:val="auto"/>
      </w:pPr>
      <w:r>
        <w:t>De verplichtingen die volgen uit de WNT worden in de basis als duidelijk en hant</w:t>
      </w:r>
      <w:r w:rsidR="009E26CC">
        <w:t>eerbaar ervaren. De wet is helder omschreven en vervult voor veel WNT-instellingen de functie van een duidelijk kader voor de beloning van topfunctionarissen. De mate waarin duidelijk</w:t>
      </w:r>
      <w:r w:rsidR="00C009A3">
        <w:t>heid</w:t>
      </w:r>
      <w:r w:rsidR="009E26CC">
        <w:t xml:space="preserve"> wordt ervaren is sterk afhankelijk van de context van de WNT-instelling. </w:t>
      </w:r>
      <w:r w:rsidR="001E2675">
        <w:t xml:space="preserve">Complexere samenwerkingsverbanden of atypische arbeidsrelaties kunnen leiden tot meer </w:t>
      </w:r>
      <w:r w:rsidR="001E2675">
        <w:t>vraagstukken rondom de begrippen en berekeningen die volgen uit de WNT.</w:t>
      </w:r>
      <w:r w:rsidR="00A10904">
        <w:t xml:space="preserve"> Interpretatievraagstukken komen weleens voor, waarbij er juridisch advies ingewonnen moet worden.</w:t>
      </w:r>
      <w:r w:rsidR="00D41B75">
        <w:br/>
      </w:r>
      <w:r w:rsidR="00D41B75">
        <w:br/>
      </w:r>
      <w:r w:rsidR="00AC6FC3">
        <w:t>In</w:t>
      </w:r>
      <w:r w:rsidRPr="00D41B75" w:rsidR="00AC6FC3">
        <w:t xml:space="preserve"> </w:t>
      </w:r>
      <w:r w:rsidRPr="00D41B75" w:rsidR="00D41B75">
        <w:t xml:space="preserve">de WNT is </w:t>
      </w:r>
      <w:r w:rsidR="00AC6FC3">
        <w:t>bepaald</w:t>
      </w:r>
      <w:r w:rsidRPr="00D41B75" w:rsidR="00AC6FC3">
        <w:t xml:space="preserve"> </w:t>
      </w:r>
      <w:r w:rsidRPr="00D41B75" w:rsidR="00D41B75">
        <w:t>dat accountants de WNT-verantwoording controleren</w:t>
      </w:r>
      <w:r w:rsidR="00AC6FC3">
        <w:t>.</w:t>
      </w:r>
      <w:r w:rsidRPr="00D41B75" w:rsidR="00D41B75">
        <w:t xml:space="preserve"> </w:t>
      </w:r>
      <w:r w:rsidR="00AC6FC3">
        <w:t>D</w:t>
      </w:r>
      <w:r w:rsidRPr="00D41B75" w:rsidR="00D41B75">
        <w:t>eze controle vormt een belangrijke waarborg voor een juiste toepassing van de WNT. De accountants ervaren</w:t>
      </w:r>
      <w:r w:rsidR="00D3366C">
        <w:t xml:space="preserve"> echter</w:t>
      </w:r>
      <w:r w:rsidRPr="00D41B75" w:rsidR="00D41B75">
        <w:t xml:space="preserve"> zelf ook problemen met de </w:t>
      </w:r>
      <w:r w:rsidR="00456133">
        <w:t xml:space="preserve">interpretatie van de </w:t>
      </w:r>
      <w:r w:rsidRPr="00D41B75" w:rsidR="00D41B75">
        <w:t>WNT zoals bij intra-</w:t>
      </w:r>
      <w:r w:rsidR="002A2977">
        <w:t xml:space="preserve">concern </w:t>
      </w:r>
      <w:r w:rsidRPr="00D41B75" w:rsidR="00D41B75">
        <w:t>detachering. Op dit vlak ontbreekt volgens de accountants voldoende en eenduidige controle-informatie om vast te stellen of de WNT correct is toegepast, waardoor er een oordeelonthouding of verklaring met beperking moet worden afgegeven.</w:t>
      </w:r>
      <w:r w:rsidR="00987EDE">
        <w:br/>
      </w:r>
      <w:r w:rsidR="001E2675">
        <w:br/>
      </w:r>
      <w:r w:rsidRPr="00D41B75" w:rsidR="00D41B75">
        <w:rPr>
          <w:i/>
          <w:iCs/>
        </w:rPr>
        <w:t>Uitvoeringslasten en maatschappelijk doel</w:t>
      </w:r>
      <w:r w:rsidR="00D41B75">
        <w:br/>
      </w:r>
      <w:r w:rsidR="00CD6C84">
        <w:t xml:space="preserve">Het maatschappelijk doel van de wet is het tegengaan van </w:t>
      </w:r>
      <w:r w:rsidR="00D3366C">
        <w:t xml:space="preserve">bovenmatige </w:t>
      </w:r>
      <w:r w:rsidR="00CD6C84">
        <w:t xml:space="preserve">bezoldigingen </w:t>
      </w:r>
      <w:r w:rsidR="00D3366C">
        <w:t xml:space="preserve">en ontslagvergoedingen </w:t>
      </w:r>
      <w:r w:rsidR="00CD6C84">
        <w:t>en het bevorderen van transparantie. De uitvoering van de WNT brengt ook kosten met zich mee. De WNT-instellingen dienen personeel vrij te maken om de WNT-gegevens te verzamelen, te controleren en te documenteren. Voor veel WNT-instellingen is deze inzet beperkt. In standaardgevallen verloopt de uitvoering relatief efficiënt</w:t>
      </w:r>
      <w:r w:rsidR="008E6E24">
        <w:t>.</w:t>
      </w:r>
      <w:r w:rsidR="00CD6C84">
        <w:t xml:space="preserve"> </w:t>
      </w:r>
      <w:r w:rsidR="008E6E24">
        <w:t>Bij</w:t>
      </w:r>
      <w:r w:rsidRPr="008E6E24" w:rsidR="008E6E24">
        <w:t xml:space="preserve"> complexe casussen waar gedetailleerde administratie, uitzoekwerk, interpretatievragen en externe advisering nodig kunnen zijn</w:t>
      </w:r>
      <w:r w:rsidR="008E6E24">
        <w:t xml:space="preserve">, brengt dit hogere </w:t>
      </w:r>
      <w:r w:rsidR="002A2977">
        <w:t>administratieve lasten</w:t>
      </w:r>
      <w:r w:rsidR="008E6E24">
        <w:t xml:space="preserve"> met zich mee</w:t>
      </w:r>
      <w:r w:rsidRPr="008E6E24" w:rsidR="008E6E24">
        <w:t>.</w:t>
      </w:r>
      <w:r w:rsidR="008E6E24">
        <w:t xml:space="preserve"> </w:t>
      </w:r>
      <w:r w:rsidR="00CD6C84">
        <w:t xml:space="preserve">De doelmatigheid kan </w:t>
      </w:r>
      <w:r w:rsidR="00AC6FC3">
        <w:t xml:space="preserve">volgens de onderzoekers </w:t>
      </w:r>
      <w:r w:rsidR="00132CE1">
        <w:t>in die gevallen</w:t>
      </w:r>
      <w:r w:rsidR="008E6E24">
        <w:t xml:space="preserve"> </w:t>
      </w:r>
      <w:r w:rsidR="00CD6C84">
        <w:t>onder druk komen te staan</w:t>
      </w:r>
      <w:r w:rsidR="008E6E24">
        <w:t>.</w:t>
      </w:r>
      <w:r w:rsidR="00CD6C84">
        <w:t xml:space="preserve"> </w:t>
      </w:r>
      <w:r w:rsidR="008E6E24">
        <w:br/>
      </w:r>
      <w:r w:rsidR="00D41B75">
        <w:br/>
      </w:r>
      <w:r w:rsidRPr="00637D82" w:rsidR="00D41B75">
        <w:rPr>
          <w:b/>
          <w:bCs/>
          <w:i/>
          <w:iCs/>
        </w:rPr>
        <w:t>Neveneffecten</w:t>
      </w:r>
      <w:r w:rsidRPr="00850428" w:rsidR="00D41B75">
        <w:br/>
      </w:r>
      <w:r w:rsidR="002E511B">
        <w:t>In het onderzoek wordt ingegaan op diverse neveneffecten die de doelmatigheid van het systeem onder druk kunnen zetten. De effecten hebben betrekking op werving en behoud van topfunctionarissen</w:t>
      </w:r>
      <w:r w:rsidR="002715F2">
        <w:t>,</w:t>
      </w:r>
      <w:r w:rsidR="002E511B">
        <w:t xml:space="preserve"> werkdruk</w:t>
      </w:r>
      <w:r w:rsidR="002715F2">
        <w:t>, administratieve lasten</w:t>
      </w:r>
      <w:r w:rsidR="002E511B">
        <w:t xml:space="preserve"> en veranderingen in beloningsverhoudingen.</w:t>
      </w:r>
      <w:r w:rsidR="00034F32">
        <w:t xml:space="preserve"> </w:t>
      </w:r>
      <w:r w:rsidR="00787CF0">
        <w:t>In deze context wordt de algemene WNT-norm als strak ervaren. Hierbij wordt aangegeven dat het daardoor lastiger is om ervaren bestuurders aan te trekken of dat vacatures hierdoor langer openstaan. In sectoren met lagere beloningsstructuren wordt juist aangegeven dat de WNT nauwelijks een rol speelt. De WNT vormt in die sectoren geen beperking bij het aantrekken van topfunctionarissen.</w:t>
      </w:r>
    </w:p>
    <w:p w:rsidR="00824D48" w:rsidP="003873A3" w14:paraId="2A02C5F6" w14:textId="77777777"/>
    <w:p w:rsidRPr="00AE623C" w:rsidR="00484641" w:rsidP="00484641" w14:paraId="47713194" w14:textId="77777777">
      <w:pPr>
        <w:pStyle w:val="ListParagraph"/>
        <w:numPr>
          <w:ilvl w:val="0"/>
          <w:numId w:val="30"/>
        </w:numPr>
        <w:rPr>
          <w:b/>
        </w:rPr>
      </w:pPr>
      <w:r w:rsidRPr="00AE623C">
        <w:rPr>
          <w:b/>
        </w:rPr>
        <w:t>Tot slot</w:t>
      </w:r>
    </w:p>
    <w:p w:rsidR="00287F6C" w:rsidP="003873A3" w14:paraId="5C87D1FB" w14:textId="77777777">
      <w:pPr>
        <w:rPr>
          <w:sz w:val="16"/>
        </w:rPr>
      </w:pPr>
    </w:p>
    <w:p w:rsidRPr="003873A3" w:rsidR="00AC6FC3" w:rsidP="00AC6FC3" w14:paraId="618F7481" w14:textId="77777777">
      <w:r>
        <w:t xml:space="preserve">De </w:t>
      </w:r>
      <w:r w:rsidR="00626ED5">
        <w:t>derde</w:t>
      </w:r>
      <w:r>
        <w:t xml:space="preserve"> wetsevaluatie </w:t>
      </w:r>
      <w:r w:rsidR="00AE623C">
        <w:t xml:space="preserve">van de </w:t>
      </w:r>
      <w:r>
        <w:t xml:space="preserve">WNT is tot stand gekomen met medewerking van vele betrokkenen, hetgeen zeer </w:t>
      </w:r>
      <w:r w:rsidR="0035103D">
        <w:t>is</w:t>
      </w:r>
      <w:r>
        <w:t xml:space="preserve"> gewaardeerd. Het eindrapport geeft een overzicht van de uitkomsten van </w:t>
      </w:r>
      <w:r w:rsidR="00626ED5">
        <w:t>het</w:t>
      </w:r>
      <w:r>
        <w:t xml:space="preserve"> onderzoek en de input die is geleverd</w:t>
      </w:r>
      <w:r w:rsidR="00FF7D8A">
        <w:t xml:space="preserve">. </w:t>
      </w:r>
      <w:r>
        <w:t xml:space="preserve">In het najaar zal ik een brief naar de Tweede en Eerste Kamer sturen met de </w:t>
      </w:r>
      <w:r w:rsidR="00A458CB">
        <w:br/>
      </w:r>
      <w:r w:rsidR="00A458CB">
        <w:br/>
      </w:r>
      <w:r w:rsidR="00A458CB">
        <w:br/>
      </w:r>
      <w:r w:rsidR="00A458CB">
        <w:br/>
      </w:r>
      <w:r w:rsidR="00A458CB">
        <w:br/>
      </w:r>
      <w:r w:rsidR="00A458CB">
        <w:br/>
      </w:r>
      <w:r w:rsidR="00A458CB">
        <w:br/>
      </w:r>
      <w:r w:rsidR="00A458CB">
        <w:br/>
      </w:r>
      <w:r>
        <w:t>inhoudelijke reactie van het kabinet op dit rapp</w:t>
      </w:r>
      <w:r w:rsidR="000D6F35">
        <w:t>ort en de in het rapport genoemde bevindingen</w:t>
      </w:r>
      <w:r>
        <w:t xml:space="preserve">. </w:t>
      </w:r>
    </w:p>
    <w:p w:rsidR="00AC6FC3" w:rsidP="00AC6FC3" w14:paraId="57756F66" w14:textId="77777777">
      <w:r>
        <w:t xml:space="preserve"> </w:t>
      </w:r>
    </w:p>
    <w:p w:rsidRPr="003873A3" w:rsidR="004473DB" w:rsidP="003873A3" w14:paraId="4F3F8388" w14:textId="77777777"/>
    <w:p w:rsidR="00034F32" w14:paraId="52A5CC53" w14:textId="77777777"/>
    <w:p w:rsidR="00952BF2" w14:paraId="3D9C76C7" w14:textId="77777777">
      <w:r>
        <w:t xml:space="preserve">De </w:t>
      </w:r>
      <w:r w:rsidR="00C753E7">
        <w:t>staatssecretaris</w:t>
      </w:r>
      <w:r>
        <w:t xml:space="preserve"> van Binnenlandse Zaken en Koninkrijksrelaties,</w:t>
      </w:r>
      <w:r>
        <w:br/>
      </w:r>
      <w:r>
        <w:br/>
      </w:r>
      <w:r>
        <w:br/>
      </w:r>
      <w:r>
        <w:br/>
      </w:r>
      <w:r>
        <w:br/>
      </w:r>
    </w:p>
    <w:p w:rsidR="00730197" w14:paraId="368575FA" w14:textId="77777777">
      <w:r>
        <w:t>E</w:t>
      </w:r>
      <w:r w:rsidR="00943F7B">
        <w:t>ric</w:t>
      </w:r>
      <w:r>
        <w:t xml:space="preserve"> van de</w:t>
      </w:r>
      <w:r w:rsidR="00943F7B">
        <w:t>r</w:t>
      </w:r>
      <w:r>
        <w:t xml:space="preserve"> Burg</w:t>
      </w:r>
      <w:r w:rsidR="006672DD">
        <w:t xml:space="preserve"> </w:t>
      </w:r>
    </w:p>
    <w:sectPr>
      <w:headerReference w:type="even" r:id="rId5"/>
      <w:headerReference w:type="default" r:id="rId6"/>
      <w:footerReference w:type="even" r:id="rId7"/>
      <w:footerReference w:type="default" r:id="rId8"/>
      <w:headerReference w:type="first" r:id="rId9"/>
      <w:footerReference w:type="first" r:id="rId10"/>
      <w:pgSz w:w="11905" w:h="16837"/>
      <w:pgMar w:top="3966" w:right="2822" w:bottom="1081" w:left="1580"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8B8" w14:paraId="2E0B7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8B8" w14:paraId="55D56B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00D80880" w14:textId="77777777">
    <w:pPr>
      <w:pStyle w:val="MarginlessContainer"/>
      <w:spacing w:after="1108"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8B8" w14:paraId="3C9EC0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2316ED72" w14:textId="77777777">
    <w:pPr>
      <w:pStyle w:val="MarginlessContainer"/>
    </w:pPr>
    <w:r>
      <w:rPr>
        <w:noProof/>
      </w:rPr>
      <mc:AlternateContent>
        <mc:Choice Requires="wps">
          <w:drawing>
            <wp:anchor distT="0" distB="0" distL="0" distR="0" simplePos="0" relativeHeight="251658240" behindDoc="0" locked="1" layoutInCell="1" allowOverlap="1">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799589" cy="152400"/>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ubricering onder vervolgpagina" o:spid="_x0000_s2049" type="#_x0000_t202" style="width:141.7pt;height:12pt;margin-top:805pt;margin-left:79.2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812DF8" w14:paraId="46051CAB"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775" cy="143510"/>
                      </a:xfrm>
                      <a:prstGeom prst="rect">
                        <a:avLst/>
                      </a:prstGeom>
                      <a:noFill/>
                    </wps:spPr>
                    <wps:txbx>
                      <w:txbxContent>
                        <w:p w:rsidR="00934BCD" w14:textId="77777777">
                          <w:pPr>
                            <w:pStyle w:val="Referentiegegevens"/>
                          </w:pPr>
                          <w:r>
                            <w:t xml:space="preserve">Pagina </w:t>
                          </w:r>
                          <w:r>
                            <w:fldChar w:fldCharType="begin"/>
                          </w:r>
                          <w:r>
                            <w:instrText>PAGE</w:instrText>
                          </w:r>
                          <w:r>
                            <w:fldChar w:fldCharType="separate"/>
                          </w:r>
                          <w:r>
                            <w:t>6</w:t>
                          </w:r>
                          <w:r>
                            <w:fldChar w:fldCharType="end"/>
                          </w:r>
                          <w:r>
                            <w:t xml:space="preserve"> van </w:t>
                          </w:r>
                          <w:r>
                            <w:fldChar w:fldCharType="begin"/>
                          </w:r>
                          <w:r>
                            <w:instrText>NUMPAGES</w:instrText>
                          </w:r>
                          <w:r>
                            <w:fldChar w:fldCharType="separate"/>
                          </w:r>
                          <w:r>
                            <w:t>6</w:t>
                          </w:r>
                          <w:r>
                            <w:fldChar w:fldCharType="end"/>
                          </w:r>
                        </w:p>
                      </w:txbxContent>
                    </wps:txbx>
                    <wps:bodyPr vert="horz" wrap="square" lIns="0" tIns="0" rIns="0" bIns="0" anchor="t" anchorCtr="0"/>
                  </wps:wsp>
                </a:graphicData>
              </a:graphic>
            </wp:anchor>
          </w:drawing>
        </mc:Choice>
        <mc:Fallback>
          <w:pict>
            <v:shape id="Paginanummer vervolgpagina" o:spid="_x0000_s2050" type="#_x0000_t202" style="width:98.25pt;height:11.3pt;margin-top:805pt;margin-left:467.1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934BCD" w14:paraId="5071EFD1" w14:textId="77777777">
                    <w:pPr>
                      <w:pStyle w:val="Referentiegegevens"/>
                    </w:pPr>
                    <w:r>
                      <w:t xml:space="preserve">Pagina </w:t>
                    </w:r>
                    <w:r>
                      <w:fldChar w:fldCharType="begin"/>
                    </w:r>
                    <w:r>
                      <w:instrText>PAGE</w:instrText>
                    </w:r>
                    <w:r>
                      <w:fldChar w:fldCharType="separate"/>
                    </w:r>
                    <w:r>
                      <w:t>6</w:t>
                    </w:r>
                    <w:r>
                      <w:fldChar w:fldCharType="end"/>
                    </w:r>
                    <w:r>
                      <w:t xml:space="preserve"> van </w:t>
                    </w:r>
                    <w:r>
                      <w:fldChar w:fldCharType="begin"/>
                    </w:r>
                    <w:r>
                      <w:instrText>NUMPAGES</w:instrText>
                    </w:r>
                    <w:r>
                      <w:fldChar w:fldCharType="separate"/>
                    </w:r>
                    <w:r>
                      <w:t>6</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8086090"/>
                      </a:xfrm>
                      <a:prstGeom prst="rect">
                        <a:avLst/>
                      </a:prstGeom>
                      <a:noFill/>
                    </wps:spPr>
                    <wps:txbx>
                      <w:txbxContent>
                        <w:p w:rsidR="00730197" w14:textId="77777777">
                          <w:pPr>
                            <w:pStyle w:val="Kopjeafzendgegevens"/>
                          </w:pPr>
                          <w:r>
                            <w:t>Ministerie van Binnenlandse Zaken en Koninkrijksrelaties</w:t>
                          </w:r>
                        </w:p>
                        <w:p w:rsidR="00730197" w14:textId="77777777">
                          <w:pPr>
                            <w:pStyle w:val="WitregelW1"/>
                          </w:pPr>
                        </w:p>
                        <w:p w:rsidR="00F53B47" w:rsidRPr="00F53B47" w:rsidP="00F53B47" w14:textId="77777777"/>
                        <w:p w:rsidR="00730197" w14:textId="77777777">
                          <w:pPr>
                            <w:pStyle w:val="Kopjereferentiegegevens"/>
                          </w:pPr>
                          <w:r>
                            <w:t>Kenmerk</w:t>
                          </w:r>
                        </w:p>
                        <w:p w:rsidR="00730197" w14:textId="77777777">
                          <w:pPr>
                            <w:pStyle w:val="Referentiegegevens"/>
                          </w:pPr>
                          <w:r>
                            <w:t>2026-0000184693</w:t>
                          </w:r>
                        </w:p>
                      </w:txbxContent>
                    </wps:txbx>
                    <wps:bodyPr vert="horz" wrap="square" lIns="0" tIns="0" rIns="0" bIns="0" anchor="t" anchorCtr="0"/>
                  </wps:wsp>
                </a:graphicData>
              </a:graphic>
            </wp:anchor>
          </w:drawing>
        </mc:Choice>
        <mc:Fallback>
          <w:pict>
            <v:shape id="Colofon vervolgpagina" o:spid="_x0000_s2051" type="#_x0000_t202" style="width:98.2pt;height:636.7pt;margin-top:151.65pt;margin-left:467.1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730197" w14:paraId="210970AB" w14:textId="77777777">
                    <w:pPr>
                      <w:pStyle w:val="Kopjeafzendgegevens"/>
                    </w:pPr>
                    <w:r>
                      <w:t>Ministerie van Binnenlandse Zaken en Koninkrijksrelaties</w:t>
                    </w:r>
                  </w:p>
                  <w:p w:rsidR="00730197" w14:paraId="02342385" w14:textId="77777777">
                    <w:pPr>
                      <w:pStyle w:val="WitregelW1"/>
                    </w:pPr>
                  </w:p>
                  <w:p w:rsidR="00F53B47" w:rsidRPr="00F53B47" w:rsidP="00F53B47" w14:paraId="25435F2A" w14:textId="77777777"/>
                  <w:p w:rsidR="00730197" w14:paraId="24A68A6E" w14:textId="77777777">
                    <w:pPr>
                      <w:pStyle w:val="Kopjereferentiegegevens"/>
                    </w:pPr>
                    <w:r>
                      <w:t>Kenmerk</w:t>
                    </w:r>
                  </w:p>
                  <w:p w:rsidR="00730197" w14:paraId="241962F9" w14:textId="77777777">
                    <w:pPr>
                      <w:pStyle w:val="Referentiegegevens"/>
                    </w:pPr>
                    <w:r>
                      <w:t>2026-0000184693</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xmlns:wps="http://schemas.microsoft.com/office/word/2010/wordprocessingShape">
                    <wps:cNvSpPr txBox="1"/>
                    <wps:spPr>
                      <a:xfrm>
                        <a:off x="0" y="0"/>
                        <a:ext cx="3343275" cy="180975"/>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Rubricering boven vervolgpagina" o:spid="_x0000_s2052" type="#_x0000_t202" style="width:263.25pt;height:14.25pt;margin-top:151.65pt;margin-left:79.3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812DF8" w14:paraId="1DC1F83B"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0197" w14:paraId="12D067E8" w14:textId="77777777">
    <w:pPr>
      <w:pStyle w:val="MarginlessContaine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12DF8" w14:textId="77777777">
                          <w:r>
                            <w:rPr>
                              <w:noProof/>
                            </w:rPr>
                            <w:drawing>
                              <wp:inline distT="0" distB="0" distL="0" distR="0">
                                <wp:extent cx="467995" cy="1583690"/>
                                <wp:effectExtent l="0" t="0" r="8255" b="0"/>
                                <wp:docPr id="163286644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2866441"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Logo"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12DF8" w14:paraId="3DCB975A" w14:textId="77777777">
                    <w:drawing>
                      <wp:inline distT="0" distB="0" distL="0" distR="0">
                        <wp:extent cx="467995" cy="1583690"/>
                        <wp:effectExtent l="0" t="0" r="8255" b="0"/>
                        <wp:docPr id="192490040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24900402" name="Logo"/>
                                <pic:cNvPicPr/>
                              </pic:nvPicPr>
                              <pic:blipFill>
                                <a:blip xmlns:r="http://schemas.openxmlformats.org/officeDocument/2006/relationships" r:embed="rId1"/>
                                <a:stretch>
                                  <a:fillRect/>
                                </a:stretch>
                              </pic:blipFill>
                              <pic:spPr bwMode="auto">
                                <a:xfrm>
                                  <a:off x="0" y="0"/>
                                  <a:ext cx="467995" cy="1583690"/>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30197" w14:textId="77777777">
                          <w:pPr>
                            <w:pStyle w:val="MarginlessContainer"/>
                          </w:pPr>
                          <w:r>
                            <w:rPr>
                              <w:noProof/>
                            </w:rPr>
                            <w:drawing>
                              <wp:inline distT="0" distB="0" distL="0" distR="0">
                                <wp:extent cx="2339975" cy="1582834"/>
                                <wp:effectExtent l="0" t="0" r="0" b="0"/>
                                <wp:docPr id="829805679" name="BZK_standaard"/>
                                <wp:cNvGraphicFramePr/>
                                <a:graphic xmlns:a="http://schemas.openxmlformats.org/drawingml/2006/main">
                                  <a:graphicData uri="http://schemas.openxmlformats.org/drawingml/2006/picture">
                                    <pic:pic xmlns:pic="http://schemas.openxmlformats.org/drawingml/2006/picture">
                                      <pic:nvPicPr>
                                        <pic:cNvPr id="829805679"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2054" type="#_x0000_t202" style="width:184.25pt;height:124.7pt;margin-top:0;margin-left:316.05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730197" w14:paraId="57EAF087" w14:textId="77777777">
                    <w:pPr>
                      <w:pStyle w:val="MarginlessContainer"/>
                    </w:pPr>
                    <w:drawing>
                      <wp:inline distT="0" distB="0" distL="0" distR="0">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905" cy="107950"/>
                      </a:xfrm>
                      <a:prstGeom prst="rect">
                        <a:avLst/>
                      </a:prstGeom>
                      <a:noFill/>
                    </wps:spPr>
                    <wps:txbx>
                      <w:txbxContent>
                        <w:p w:rsidR="0073019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Retouradres" o:spid="_x0000_s2055" type="#_x0000_t202" style="width:340.15pt;height:8.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730197" w14:paraId="6BEDCB75"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1009650</wp:posOffset>
              </wp:positionH>
              <wp:positionV relativeFrom="page">
                <wp:posOffset>1971675</wp:posOffset>
              </wp:positionV>
              <wp:extent cx="3914775" cy="1186180"/>
              <wp:effectExtent l="0" t="0" r="0" b="0"/>
              <wp:wrapNone/>
              <wp:docPr id="5" name="Toezendgegevens"/>
              <wp:cNvGraphicFramePr/>
              <a:graphic xmlns:a="http://schemas.openxmlformats.org/drawingml/2006/main">
                <a:graphicData uri="http://schemas.microsoft.com/office/word/2010/wordprocessingShape">
                  <wps:wsp xmlns:wps="http://schemas.microsoft.com/office/word/2010/wordprocessingShape">
                    <wps:cNvSpPr txBox="1"/>
                    <wps:spPr>
                      <a:xfrm>
                        <a:off x="0" y="0"/>
                        <a:ext cx="3914775" cy="1186180"/>
                      </a:xfrm>
                      <a:prstGeom prst="rect">
                        <a:avLst/>
                      </a:prstGeom>
                      <a:noFill/>
                    </wps:spPr>
                    <wps:txbx>
                      <w:txbxContent>
                        <w:p w:rsidR="00730197" w:rsidP="00456A8A" w14:textId="77777777">
                          <w:pPr>
                            <w:pStyle w:val="WitregelW1bodytekst"/>
                          </w:pPr>
                          <w:r>
                            <w:t>Aan de Voorzitter van de Tweede Kamer</w:t>
                          </w:r>
                          <w:r w:rsidR="00456A8A">
                            <w:t xml:space="preserve"> </w:t>
                          </w:r>
                          <w:r>
                            <w:t>der Staten-Generaal</w:t>
                          </w:r>
                          <w:r>
                            <w:br/>
                            <w:t>Postbus 20018</w:t>
                          </w:r>
                          <w:r>
                            <w:br/>
                            <w:t xml:space="preserve">2500 EA </w:t>
                          </w:r>
                          <w:r w:rsidR="00456A8A">
                            <w:t xml:space="preserve"> </w:t>
                          </w:r>
                          <w:r>
                            <w:t>DEN HAAG</w:t>
                          </w:r>
                        </w:p>
                      </w:txbxContent>
                    </wps:txbx>
                    <wps:bodyPr vert="horz" wrap="square" lIns="0" tIns="0" rIns="0" bIns="0" anchor="t" anchorCtr="0"/>
                  </wps:wsp>
                </a:graphicData>
              </a:graphic>
              <wp14:sizeRelH relativeFrom="margin">
                <wp14:pctWidth>0</wp14:pctWidth>
              </wp14:sizeRelH>
            </wp:anchor>
          </w:drawing>
        </mc:Choice>
        <mc:Fallback>
          <w:pict>
            <v:shape id="Toezendgegevens" o:spid="_x0000_s2056" type="#_x0000_t202" style="width:308.25pt;height:93.4pt;margin-top:155.25pt;margin-left:79.5pt;mso-position-horizontal-relative:page;mso-position-vertical-relative:page;mso-width-percent:0;mso-width-relative:margin;mso-wrap-distance-bottom:0;mso-wrap-distance-left:0;mso-wrap-distance-right:0;mso-wrap-distance-top:0;mso-wrap-style:square;position:absolute;v-text-anchor:top;visibility:visible;z-index:251673600" filled="f" stroked="f">
              <v:textbox inset="0,0,0,0">
                <w:txbxContent>
                  <w:p w:rsidR="00730197" w:rsidP="00456A8A" w14:paraId="3DD7C9F3" w14:textId="77777777">
                    <w:pPr>
                      <w:pStyle w:val="WitregelW1bodytekst"/>
                    </w:pPr>
                    <w:r>
                      <w:t>Aan de Voorzitter van de Tweede Kamer</w:t>
                    </w:r>
                    <w:r w:rsidR="00456A8A">
                      <w:t xml:space="preserve"> </w:t>
                    </w:r>
                    <w:r>
                      <w:t>der Staten-Generaal</w:t>
                    </w:r>
                    <w:r>
                      <w:br/>
                      <w:t>Postbus 20018</w:t>
                    </w:r>
                    <w:r>
                      <w:br/>
                      <w:t xml:space="preserve">2500 EA </w:t>
                    </w:r>
                    <w:r w:rsidR="00456A8A">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xmlns:wps="http://schemas.microsoft.com/office/word/2010/wordprocessingShape">
                    <wps:cNvSpPr txBox="1"/>
                    <wps:spPr>
                      <a:xfrm>
                        <a:off x="0" y="0"/>
                        <a:ext cx="4761865" cy="800100"/>
                      </a:xfrm>
                      <a:prstGeom prst="rect">
                        <a:avLst/>
                      </a:prstGeom>
                      <a:noFill/>
                    </wps:spPr>
                    <wps:txbx>
                      <w:txbxContent>
                        <w:tbl>
                          <w:tblPr>
                            <w:tblW w:w="0" w:type="auto"/>
                            <w:tblLayout w:type="fixed"/>
                            <w:tblLook w:val="07E0"/>
                          </w:tblPr>
                          <w:tblGrid>
                            <w:gridCol w:w="1140"/>
                            <w:gridCol w:w="5918"/>
                          </w:tblGrid>
                          <w:tr w14:paraId="1849ECAD" w14:textId="77777777">
                            <w:tblPrEx>
                              <w:tblW w:w="0" w:type="auto"/>
                              <w:tblLayout w:type="fixed"/>
                              <w:tblLook w:val="07E0"/>
                            </w:tblPrEx>
                            <w:trPr>
                              <w:trHeight w:val="200"/>
                            </w:trPr>
                            <w:tc>
                              <w:tcPr>
                                <w:tcW w:w="1140" w:type="dxa"/>
                              </w:tcPr>
                              <w:p w:rsidR="00730197" w14:textId="77777777"/>
                            </w:tc>
                            <w:tc>
                              <w:tcPr>
                                <w:tcW w:w="5918" w:type="dxa"/>
                              </w:tcPr>
                              <w:p w:rsidR="00730197" w14:textId="77777777"/>
                            </w:tc>
                          </w:tr>
                          <w:tr w14:paraId="737AE735" w14:textId="77777777">
                            <w:tblPrEx>
                              <w:tblW w:w="0" w:type="auto"/>
                              <w:tblLayout w:type="fixed"/>
                              <w:tblLook w:val="07E0"/>
                            </w:tblPrEx>
                            <w:trPr>
                              <w:trHeight w:val="300"/>
                            </w:trPr>
                            <w:tc>
                              <w:tcPr>
                                <w:tcW w:w="1140" w:type="dxa"/>
                              </w:tcPr>
                              <w:p w:rsidR="00730197" w14:textId="77777777">
                                <w:r>
                                  <w:t>Datum</w:t>
                                </w:r>
                              </w:p>
                            </w:tc>
                            <w:tc>
                              <w:tcPr>
                                <w:tcW w:w="5918" w:type="dxa"/>
                              </w:tcPr>
                              <w:p w:rsidR="00730197" w:rsidP="00B25884" w14:textId="73DC4867">
                                <w:pPr>
                                  <w:pStyle w:val="Gegevensdocument"/>
                                </w:pPr>
                                <w:r>
                                  <w:t>08 mei 2026</w:t>
                                </w:r>
                              </w:p>
                            </w:tc>
                          </w:tr>
                          <w:tr w14:paraId="73F87F65" w14:textId="77777777">
                            <w:tblPrEx>
                              <w:tblW w:w="0" w:type="auto"/>
                              <w:tblLayout w:type="fixed"/>
                              <w:tblLook w:val="07E0"/>
                            </w:tblPrEx>
                            <w:trPr>
                              <w:trHeight w:val="300"/>
                            </w:trPr>
                            <w:tc>
                              <w:tcPr>
                                <w:tcW w:w="1140" w:type="dxa"/>
                              </w:tcPr>
                              <w:p w:rsidR="00730197" w14:textId="77777777">
                                <w:r>
                                  <w:t>Betreft</w:t>
                                </w:r>
                              </w:p>
                            </w:tc>
                            <w:tc>
                              <w:tcPr>
                                <w:tcW w:w="5918" w:type="dxa"/>
                              </w:tcPr>
                              <w:p w:rsidR="00730197" w:rsidP="0044664C" w14:textId="77777777">
                                <w:r>
                                  <w:t xml:space="preserve">Aanbieding </w:t>
                                </w:r>
                                <w:r w:rsidR="00396CC9">
                                  <w:t>Evaluatie Wet normering topinkomens 2021-2025</w:t>
                                </w:r>
                              </w:p>
                            </w:tc>
                          </w:tr>
                          <w:tr w14:paraId="4520328C" w14:textId="77777777">
                            <w:tblPrEx>
                              <w:tblW w:w="0" w:type="auto"/>
                              <w:tblLayout w:type="fixed"/>
                              <w:tblLook w:val="07E0"/>
                            </w:tblPrEx>
                            <w:trPr>
                              <w:trHeight w:val="200"/>
                            </w:trPr>
                            <w:tc>
                              <w:tcPr>
                                <w:tcW w:w="1140" w:type="dxa"/>
                              </w:tcPr>
                              <w:p w:rsidR="00730197" w14:textId="77777777"/>
                            </w:tc>
                            <w:tc>
                              <w:tcPr>
                                <w:tcW w:w="5918" w:type="dxa"/>
                              </w:tcPr>
                              <w:p w:rsidR="00730197" w14:textId="77777777"/>
                            </w:tc>
                          </w:tr>
                        </w:tbl>
                        <w:p w:rsidR="00812DF8" w14:textId="77777777"/>
                      </w:txbxContent>
                    </wps:txbx>
                    <wps:bodyPr vert="horz" wrap="square" lIns="0" tIns="0" rIns="0" bIns="0" anchor="t" anchorCtr="0"/>
                  </wps:wsp>
                </a:graphicData>
              </a:graphic>
            </wp:anchor>
          </w:drawing>
        </mc:Choice>
        <mc:Fallback>
          <w:pict>
            <v:shape id="Documenteigenschappen" o:spid="_x0000_s2057" type="#_x0000_t202" style="width:374.95pt;height:63pt;margin-top:293.35pt;margin-left:79.35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1849ECAC" w14:textId="77777777">
                      <w:tblPrEx>
                        <w:tblW w:w="0" w:type="auto"/>
                        <w:tblLayout w:type="fixed"/>
                        <w:tblLook w:val="07E0"/>
                      </w:tblPrEx>
                      <w:trPr>
                        <w:trHeight w:val="200"/>
                      </w:trPr>
                      <w:tc>
                        <w:tcPr>
                          <w:tcW w:w="1140" w:type="dxa"/>
                        </w:tcPr>
                        <w:p w:rsidR="00730197" w14:paraId="22D7DEF1" w14:textId="77777777"/>
                      </w:tc>
                      <w:tc>
                        <w:tcPr>
                          <w:tcW w:w="5918" w:type="dxa"/>
                        </w:tcPr>
                        <w:p w:rsidR="00730197" w14:paraId="4E907E4B" w14:textId="77777777"/>
                      </w:tc>
                    </w:tr>
                    <w:tr w14:paraId="737AE734" w14:textId="77777777">
                      <w:tblPrEx>
                        <w:tblW w:w="0" w:type="auto"/>
                        <w:tblLayout w:type="fixed"/>
                        <w:tblLook w:val="07E0"/>
                      </w:tblPrEx>
                      <w:trPr>
                        <w:trHeight w:val="300"/>
                      </w:trPr>
                      <w:tc>
                        <w:tcPr>
                          <w:tcW w:w="1140" w:type="dxa"/>
                        </w:tcPr>
                        <w:p w:rsidR="00730197" w14:paraId="67094BC3" w14:textId="77777777">
                          <w:r>
                            <w:t>Datum</w:t>
                          </w:r>
                        </w:p>
                      </w:tc>
                      <w:tc>
                        <w:tcPr>
                          <w:tcW w:w="5918" w:type="dxa"/>
                        </w:tcPr>
                        <w:p w:rsidR="00730197" w:rsidP="00B25884" w14:paraId="6AAC6A67" w14:textId="73DC4867">
                          <w:pPr>
                            <w:pStyle w:val="Gegevensdocument"/>
                          </w:pPr>
                          <w:r>
                            <w:t>08 mei 2026</w:t>
                          </w:r>
                        </w:p>
                      </w:tc>
                    </w:tr>
                    <w:tr w14:paraId="73F87F64" w14:textId="77777777">
                      <w:tblPrEx>
                        <w:tblW w:w="0" w:type="auto"/>
                        <w:tblLayout w:type="fixed"/>
                        <w:tblLook w:val="07E0"/>
                      </w:tblPrEx>
                      <w:trPr>
                        <w:trHeight w:val="300"/>
                      </w:trPr>
                      <w:tc>
                        <w:tcPr>
                          <w:tcW w:w="1140" w:type="dxa"/>
                        </w:tcPr>
                        <w:p w:rsidR="00730197" w14:paraId="4D04A469" w14:textId="77777777">
                          <w:r>
                            <w:t>Betreft</w:t>
                          </w:r>
                        </w:p>
                      </w:tc>
                      <w:tc>
                        <w:tcPr>
                          <w:tcW w:w="5918" w:type="dxa"/>
                        </w:tcPr>
                        <w:p w:rsidR="00730197" w:rsidP="0044664C" w14:paraId="462426FD" w14:textId="77777777">
                          <w:r>
                            <w:t xml:space="preserve">Aanbieding </w:t>
                          </w:r>
                          <w:r w:rsidR="00396CC9">
                            <w:t>Evaluatie Wet normering topinkomens 2021-2025</w:t>
                          </w:r>
                        </w:p>
                      </w:tc>
                    </w:tr>
                    <w:tr w14:paraId="4520328B" w14:textId="77777777">
                      <w:tblPrEx>
                        <w:tblW w:w="0" w:type="auto"/>
                        <w:tblLayout w:type="fixed"/>
                        <w:tblLook w:val="07E0"/>
                      </w:tblPrEx>
                      <w:trPr>
                        <w:trHeight w:val="200"/>
                      </w:trPr>
                      <w:tc>
                        <w:tcPr>
                          <w:tcW w:w="1140" w:type="dxa"/>
                        </w:tcPr>
                        <w:p w:rsidR="00730197" w14:paraId="1F3C041C" w14:textId="77777777"/>
                      </w:tc>
                      <w:tc>
                        <w:tcPr>
                          <w:tcW w:w="5918" w:type="dxa"/>
                        </w:tcPr>
                        <w:p w:rsidR="00730197" w14:paraId="5C76657C" w14:textId="77777777"/>
                      </w:tc>
                    </w:tr>
                  </w:tbl>
                  <w:p w:rsidR="00812DF8" w14:paraId="7F3FD8E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1961514</wp:posOffset>
              </wp:positionV>
              <wp:extent cx="1277620" cy="8009890"/>
              <wp:effectExtent l="0" t="0" r="0" b="0"/>
              <wp:wrapNone/>
              <wp:docPr id="7" name="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30197" w14:textId="77777777">
                          <w:pPr>
                            <w:pStyle w:val="Kopjeafzendgegevens"/>
                          </w:pPr>
                          <w:r>
                            <w:t>Ministerie van Binnenlandse Zaken en Koninkrijksrelaties</w:t>
                          </w:r>
                        </w:p>
                        <w:p w:rsidR="00730197" w14:textId="77777777">
                          <w:pPr>
                            <w:pStyle w:val="WitregelW1"/>
                          </w:pPr>
                        </w:p>
                        <w:p w:rsidR="00730197" w:rsidRPr="006B0949" w14:textId="77777777">
                          <w:pPr>
                            <w:pStyle w:val="Afzendgegevens"/>
                            <w:rPr>
                              <w:lang w:val="de-DE"/>
                            </w:rPr>
                          </w:pPr>
                          <w:r w:rsidRPr="006B0949">
                            <w:rPr>
                              <w:lang w:val="de-DE"/>
                            </w:rPr>
                            <w:t>Turfmarkt 147</w:t>
                          </w:r>
                        </w:p>
                        <w:p w:rsidR="00730197" w:rsidRPr="006B0949" w14:textId="77777777">
                          <w:pPr>
                            <w:pStyle w:val="Afzendgegevens"/>
                            <w:rPr>
                              <w:lang w:val="de-DE"/>
                            </w:rPr>
                          </w:pPr>
                          <w:r w:rsidRPr="006B0949">
                            <w:rPr>
                              <w:lang w:val="de-DE"/>
                            </w:rPr>
                            <w:t>Den Haag</w:t>
                          </w:r>
                        </w:p>
                        <w:p w:rsidR="00730197" w:rsidRPr="006B0949" w14:textId="77777777">
                          <w:pPr>
                            <w:pStyle w:val="Afzendgegevens"/>
                            <w:rPr>
                              <w:lang w:val="de-DE"/>
                            </w:rPr>
                          </w:pPr>
                          <w:r w:rsidRPr="006B0949">
                            <w:rPr>
                              <w:lang w:val="de-DE"/>
                            </w:rPr>
                            <w:t>Postbus 20011</w:t>
                          </w:r>
                        </w:p>
                        <w:p w:rsidR="00730197" w:rsidRPr="006B0949" w14:textId="77777777">
                          <w:pPr>
                            <w:pStyle w:val="Afzendgegevens"/>
                            <w:rPr>
                              <w:lang w:val="de-DE"/>
                            </w:rPr>
                          </w:pPr>
                          <w:r w:rsidRPr="006B0949">
                            <w:rPr>
                              <w:lang w:val="de-DE"/>
                            </w:rPr>
                            <w:t xml:space="preserve">2500 EA </w:t>
                          </w:r>
                          <w:r w:rsidRPr="006B0949" w:rsidR="006672DD">
                            <w:rPr>
                              <w:lang w:val="de-DE"/>
                            </w:rPr>
                            <w:t>Den Haag</w:t>
                          </w:r>
                        </w:p>
                        <w:p w:rsidR="00730197" w:rsidRPr="006B0949" w14:textId="77777777">
                          <w:pPr>
                            <w:pStyle w:val="WitregelW1"/>
                            <w:rPr>
                              <w:lang w:val="de-DE"/>
                            </w:rPr>
                          </w:pPr>
                        </w:p>
                        <w:p w:rsidR="00730197" w:rsidRPr="006B0949" w14:textId="77777777">
                          <w:pPr>
                            <w:pStyle w:val="WitregelW1"/>
                            <w:rPr>
                              <w:lang w:val="de-DE"/>
                            </w:rPr>
                          </w:pPr>
                        </w:p>
                        <w:p w:rsidR="00730197" w14:textId="77777777">
                          <w:pPr>
                            <w:pStyle w:val="Kopjereferentiegegevens"/>
                          </w:pPr>
                          <w:r>
                            <w:t>Kenmerk</w:t>
                          </w:r>
                        </w:p>
                        <w:p w:rsidR="00934BCD" w14:textId="77777777">
                          <w:pPr>
                            <w:pStyle w:val="Referentiegegevens"/>
                          </w:pPr>
                          <w:r>
                            <w:t>2026-0000184693</w:t>
                          </w:r>
                          <w:r>
                            <w:fldChar w:fldCharType="begin"/>
                          </w:r>
                          <w:r>
                            <w:instrText xml:space="preserve"> DOCPROPERTY  "UwKenmerk"  \* MERGEFORMAT </w:instrText>
                          </w:r>
                          <w:r>
                            <w:fldChar w:fldCharType="separate"/>
                          </w:r>
                          <w:r>
                            <w:fldChar w:fldCharType="end"/>
                          </w:r>
                        </w:p>
                        <w:p w:rsidR="00730197" w14:textId="77777777">
                          <w:pPr>
                            <w:pStyle w:val="WitregelW1"/>
                          </w:pPr>
                        </w:p>
                        <w:p w:rsidR="00730197" w14:textId="77777777">
                          <w:pPr>
                            <w:pStyle w:val="Kopjereferentiegegevens"/>
                          </w:pPr>
                          <w:r>
                            <w:t>Bijlage(n)</w:t>
                          </w:r>
                        </w:p>
                        <w:p w:rsidR="00730197" w14:textId="77777777">
                          <w:pPr>
                            <w:pStyle w:val="Referentiegegevens"/>
                          </w:pPr>
                          <w:r>
                            <w:t>1</w:t>
                          </w:r>
                        </w:p>
                      </w:txbxContent>
                    </wps:txbx>
                    <wps:bodyPr vert="horz" wrap="square" lIns="0" tIns="0" rIns="0" bIns="0" anchor="t" anchorCtr="0"/>
                  </wps:wsp>
                </a:graphicData>
              </a:graphic>
            </wp:anchor>
          </w:drawing>
        </mc:Choice>
        <mc:Fallback>
          <w:pict>
            <v:shape id="Colofon" o:spid="_x0000_s2058" type="#_x0000_t202" style="width:100.6pt;height:630.7pt;margin-top:154.45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730197" w14:paraId="6A0A35AC" w14:textId="77777777">
                    <w:pPr>
                      <w:pStyle w:val="Kopjeafzendgegevens"/>
                    </w:pPr>
                    <w:r>
                      <w:t>Ministerie van Binnenlandse Zaken en Koninkrijksrelaties</w:t>
                    </w:r>
                  </w:p>
                  <w:p w:rsidR="00730197" w14:paraId="24B9E6A5" w14:textId="77777777">
                    <w:pPr>
                      <w:pStyle w:val="WitregelW1"/>
                    </w:pPr>
                  </w:p>
                  <w:p w:rsidR="00730197" w:rsidRPr="006B0949" w14:paraId="0AD215A5" w14:textId="77777777">
                    <w:pPr>
                      <w:pStyle w:val="Afzendgegevens"/>
                      <w:rPr>
                        <w:lang w:val="de-DE"/>
                      </w:rPr>
                    </w:pPr>
                    <w:r w:rsidRPr="006B0949">
                      <w:rPr>
                        <w:lang w:val="de-DE"/>
                      </w:rPr>
                      <w:t>Turfmarkt 147</w:t>
                    </w:r>
                  </w:p>
                  <w:p w:rsidR="00730197" w:rsidRPr="006B0949" w14:paraId="38951C48" w14:textId="77777777">
                    <w:pPr>
                      <w:pStyle w:val="Afzendgegevens"/>
                      <w:rPr>
                        <w:lang w:val="de-DE"/>
                      </w:rPr>
                    </w:pPr>
                    <w:r w:rsidRPr="006B0949">
                      <w:rPr>
                        <w:lang w:val="de-DE"/>
                      </w:rPr>
                      <w:t>Den Haag</w:t>
                    </w:r>
                  </w:p>
                  <w:p w:rsidR="00730197" w:rsidRPr="006B0949" w14:paraId="4B6AB89E" w14:textId="77777777">
                    <w:pPr>
                      <w:pStyle w:val="Afzendgegevens"/>
                      <w:rPr>
                        <w:lang w:val="de-DE"/>
                      </w:rPr>
                    </w:pPr>
                    <w:r w:rsidRPr="006B0949">
                      <w:rPr>
                        <w:lang w:val="de-DE"/>
                      </w:rPr>
                      <w:t>Postbus 20011</w:t>
                    </w:r>
                  </w:p>
                  <w:p w:rsidR="00730197" w:rsidRPr="006B0949" w14:paraId="583963A8" w14:textId="77777777">
                    <w:pPr>
                      <w:pStyle w:val="Afzendgegevens"/>
                      <w:rPr>
                        <w:lang w:val="de-DE"/>
                      </w:rPr>
                    </w:pPr>
                    <w:r w:rsidRPr="006B0949">
                      <w:rPr>
                        <w:lang w:val="de-DE"/>
                      </w:rPr>
                      <w:t xml:space="preserve">2500 EA </w:t>
                    </w:r>
                    <w:r w:rsidRPr="006B0949" w:rsidR="006672DD">
                      <w:rPr>
                        <w:lang w:val="de-DE"/>
                      </w:rPr>
                      <w:t>Den Haag</w:t>
                    </w:r>
                  </w:p>
                  <w:p w:rsidR="00730197" w:rsidRPr="006B0949" w14:paraId="2CB11134" w14:textId="77777777">
                    <w:pPr>
                      <w:pStyle w:val="WitregelW1"/>
                      <w:rPr>
                        <w:lang w:val="de-DE"/>
                      </w:rPr>
                    </w:pPr>
                  </w:p>
                  <w:p w:rsidR="00730197" w:rsidRPr="006B0949" w14:paraId="1FEDC452" w14:textId="77777777">
                    <w:pPr>
                      <w:pStyle w:val="WitregelW1"/>
                      <w:rPr>
                        <w:lang w:val="de-DE"/>
                      </w:rPr>
                    </w:pPr>
                  </w:p>
                  <w:p w:rsidR="00730197" w14:paraId="7F913BC0" w14:textId="77777777">
                    <w:pPr>
                      <w:pStyle w:val="Kopjereferentiegegevens"/>
                    </w:pPr>
                    <w:r>
                      <w:t>Kenmerk</w:t>
                    </w:r>
                  </w:p>
                  <w:p w:rsidR="00934BCD" w14:paraId="01AE3D46" w14:textId="77777777">
                    <w:pPr>
                      <w:pStyle w:val="Referentiegegevens"/>
                    </w:pPr>
                    <w:r>
                      <w:t>2026-0000184693</w:t>
                    </w:r>
                    <w:r>
                      <w:fldChar w:fldCharType="begin"/>
                    </w:r>
                    <w:r>
                      <w:instrText xml:space="preserve"> DOCPROPERTY  "UwKenmerk"  \* MERGEFORMAT </w:instrText>
                    </w:r>
                    <w:r>
                      <w:fldChar w:fldCharType="separate"/>
                    </w:r>
                    <w:r>
                      <w:fldChar w:fldCharType="end"/>
                    </w:r>
                  </w:p>
                  <w:p w:rsidR="00730197" w14:paraId="1471581C" w14:textId="77777777">
                    <w:pPr>
                      <w:pStyle w:val="WitregelW1"/>
                    </w:pPr>
                  </w:p>
                  <w:p w:rsidR="00730197" w14:paraId="5B4DEE0F" w14:textId="77777777">
                    <w:pPr>
                      <w:pStyle w:val="Kopjereferentiegegevens"/>
                    </w:pPr>
                    <w:r>
                      <w:t>Bijlage(n)</w:t>
                    </w:r>
                  </w:p>
                  <w:p w:rsidR="00730197" w14:paraId="57B295A8"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142875"/>
                      </a:xfrm>
                      <a:prstGeom prst="rect">
                        <a:avLst/>
                      </a:prstGeom>
                      <a:noFill/>
                    </wps:spPr>
                    <wps:txbx>
                      <w:txbxContent>
                        <w:p w:rsidR="00934B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6</w:t>
                          </w:r>
                          <w:r>
                            <w:fldChar w:fldCharType="end"/>
                          </w:r>
                        </w:p>
                      </w:txbxContent>
                    </wps:txbx>
                    <wps:bodyPr vert="horz" wrap="square" lIns="0" tIns="0" rIns="0" bIns="0" anchor="t" anchorCtr="0"/>
                  </wps:wsp>
                </a:graphicData>
              </a:graphic>
            </wp:anchor>
          </w:drawing>
        </mc:Choice>
        <mc:Fallback>
          <w:pict>
            <v:shape id="Paginanummer" o:spid="_x0000_s2059" type="#_x0000_t202" style="width:98.2pt;height:11.25pt;margin-top:802.95pt;margin-left:467.1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934BCD" w14:paraId="7C67D8A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6</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0225" cy="151765"/>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Rubricering onder" o:spid="_x0000_s2060" type="#_x0000_t202" style="width:141.75pt;height:11.95pt;margin-top:802.9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812DF8" w14:paraId="426F524B"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812DF8" w14:textId="77777777"/>
                      </w:txbxContent>
                    </wps:txbx>
                    <wps:bodyPr vert="horz" wrap="square" lIns="0" tIns="0" rIns="0" bIns="0" anchor="t" anchorCtr="0"/>
                  </wps:wsp>
                </a:graphicData>
              </a:graphic>
            </wp:anchor>
          </w:drawing>
        </mc:Choice>
        <mc:Fallback>
          <w:pict>
            <v:shape id="Documentnaam" o:spid="_x0000_s2061" type="#_x0000_t202" style="width:98.2pt;height:37.5pt;margin-top:248.95pt;margin-left:79.35pt;mso-position-horizontal-relative:page;mso-position-vertical-relative:page;mso-wrap-distance-bottom:0;mso-wrap-distance-left:0;mso-wrap-distance-right:0;mso-wrap-distance-top:0;mso-wrap-style:square;position:absolute;v-text-anchor:top;visibility:visible;z-index:251683840" filled="f" stroked="f">
              <v:textbox inset="0,0,0,0">
                <w:txbxContent>
                  <w:p w:rsidR="00812DF8" w14:paraId="0CE3FDE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006A3F9"/>
    <w:multiLevelType w:val="multilevel"/>
    <w:tmpl w:val="893393E1"/>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873F5F30"/>
    <w:multiLevelType w:val="multilevel"/>
    <w:tmpl w:val="AD63A3E9"/>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8A916911"/>
    <w:multiLevelType w:val="multilevel"/>
    <w:tmpl w:val="506C83EB"/>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2D8BA33"/>
    <w:multiLevelType w:val="multilevel"/>
    <w:tmpl w:val="3980E19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48EBB7D"/>
    <w:multiLevelType w:val="multilevel"/>
    <w:tmpl w:val="EA748200"/>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AE0C7A3F"/>
    <w:multiLevelType w:val="multilevel"/>
    <w:tmpl w:val="CC9AA690"/>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6">
    <w:nsid w:val="B11FA06C"/>
    <w:multiLevelType w:val="multilevel"/>
    <w:tmpl w:val="A37C1261"/>
    <w:name w:val="Logius Bullets"/>
    <w:lvl w:ilvl="0">
      <w:start w:val="1"/>
      <w:numFmt w:val="bullet"/>
      <w:pStyle w:val="LogiusBulletsRapport"/>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D648CBCF"/>
    <w:multiLevelType w:val="multilevel"/>
    <w:tmpl w:val="43FF5383"/>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DFFD650B"/>
    <w:multiLevelType w:val="multilevel"/>
    <w:tmpl w:val="CAAD204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E4375A3C"/>
    <w:multiLevelType w:val="multilevel"/>
    <w:tmpl w:val="37551AB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EAED6F78"/>
    <w:multiLevelType w:val="multilevel"/>
    <w:tmpl w:val="54EF7A11"/>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F0D07658"/>
    <w:multiLevelType w:val="multilevel"/>
    <w:tmpl w:val="FE752B94"/>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F3115AB6"/>
    <w:multiLevelType w:val="multilevel"/>
    <w:tmpl w:val="A5D4498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F971B0EC"/>
    <w:multiLevelType w:val="multilevel"/>
    <w:tmpl w:val="7B1A6C47"/>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FC9E8EE4"/>
    <w:multiLevelType w:val="multilevel"/>
    <w:tmpl w:val="343FE420"/>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021F69FB"/>
    <w:multiLevelType w:val="multilevel"/>
    <w:tmpl w:val="F32E2A16"/>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04CA78F0"/>
    <w:multiLevelType w:val="hybridMultilevel"/>
    <w:tmpl w:val="DA601C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A106F28"/>
    <w:multiLevelType w:val="multilevel"/>
    <w:tmpl w:val="9A052EB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0BABA970"/>
    <w:multiLevelType w:val="multilevel"/>
    <w:tmpl w:val="34C14E44"/>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0CBB1447"/>
    <w:multiLevelType w:val="hybridMultilevel"/>
    <w:tmpl w:val="5D4228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22990ABC"/>
    <w:multiLevelType w:val="hybridMultilevel"/>
    <w:tmpl w:val="DC8216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243FA4B8"/>
    <w:multiLevelType w:val="multilevel"/>
    <w:tmpl w:val="92955906"/>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34BD58CC"/>
    <w:multiLevelType w:val="multilevel"/>
    <w:tmpl w:val="37BD95FB"/>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80E4E78"/>
    <w:multiLevelType w:val="multilevel"/>
    <w:tmpl w:val="C52061D1"/>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38317E9F"/>
    <w:multiLevelType w:val="hybridMultilevel"/>
    <w:tmpl w:val="A61AB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C11F5B"/>
    <w:multiLevelType w:val="hybridMultilevel"/>
    <w:tmpl w:val="19B481E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849296C"/>
    <w:multiLevelType w:val="multilevel"/>
    <w:tmpl w:val="7D599226"/>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1667CDF"/>
    <w:multiLevelType w:val="multilevel"/>
    <w:tmpl w:val="C9D4583A"/>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8B64DAA"/>
    <w:multiLevelType w:val="multilevel"/>
    <w:tmpl w:val="75D1681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C4D4D52"/>
    <w:multiLevelType w:val="hybridMultilevel"/>
    <w:tmpl w:val="8E6E96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089232F"/>
    <w:multiLevelType w:val="multilevel"/>
    <w:tmpl w:val="5998B3C6"/>
    <w:lvl w:ilvl="0">
      <w:start w:val="1"/>
      <w:numFmt w:val="decimal"/>
      <w:lvlText w:val="%1."/>
      <w:lvlJc w:val="left"/>
      <w:pPr>
        <w:ind w:left="360" w:hanging="360"/>
      </w:pPr>
      <w:rPr>
        <w:b/>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1">
    <w:nsid w:val="6996FA2B"/>
    <w:multiLevelType w:val="multilevel"/>
    <w:tmpl w:val="CA53F43A"/>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9A36C64"/>
    <w:multiLevelType w:val="hybridMultilevel"/>
    <w:tmpl w:val="BBD693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6DCBBC"/>
    <w:multiLevelType w:val="multilevel"/>
    <w:tmpl w:val="7D36465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6D79F479"/>
    <w:multiLevelType w:val="multilevel"/>
    <w:tmpl w:val="261296F5"/>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6D7D3072"/>
    <w:multiLevelType w:val="hybridMultilevel"/>
    <w:tmpl w:val="9E7C7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DD56524"/>
    <w:multiLevelType w:val="multilevel"/>
    <w:tmpl w:val="70F04B4A"/>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75982296"/>
    <w:multiLevelType w:val="multilevel"/>
    <w:tmpl w:val="82736BDE"/>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7FB5F261"/>
    <w:multiLevelType w:val="multilevel"/>
    <w:tmpl w:val="319BDB51"/>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012149125">
    <w:abstractNumId w:val="12"/>
  </w:num>
  <w:num w:numId="2" w16cid:durableId="1306740616">
    <w:abstractNumId w:val="36"/>
  </w:num>
  <w:num w:numId="3" w16cid:durableId="717319961">
    <w:abstractNumId w:val="37"/>
  </w:num>
  <w:num w:numId="4" w16cid:durableId="1298878628">
    <w:abstractNumId w:val="0"/>
  </w:num>
  <w:num w:numId="5" w16cid:durableId="1443917900">
    <w:abstractNumId w:val="21"/>
  </w:num>
  <w:num w:numId="6" w16cid:durableId="1584678923">
    <w:abstractNumId w:val="22"/>
  </w:num>
  <w:num w:numId="7" w16cid:durableId="1416394358">
    <w:abstractNumId w:val="4"/>
  </w:num>
  <w:num w:numId="8" w16cid:durableId="1553155112">
    <w:abstractNumId w:val="14"/>
  </w:num>
  <w:num w:numId="9" w16cid:durableId="1767722901">
    <w:abstractNumId w:val="26"/>
  </w:num>
  <w:num w:numId="10" w16cid:durableId="2051109105">
    <w:abstractNumId w:val="9"/>
  </w:num>
  <w:num w:numId="11" w16cid:durableId="80570569">
    <w:abstractNumId w:val="6"/>
  </w:num>
  <w:num w:numId="12" w16cid:durableId="1331251241">
    <w:abstractNumId w:val="13"/>
  </w:num>
  <w:num w:numId="13" w16cid:durableId="1089621524">
    <w:abstractNumId w:val="17"/>
  </w:num>
  <w:num w:numId="14" w16cid:durableId="556555371">
    <w:abstractNumId w:val="38"/>
  </w:num>
  <w:num w:numId="15" w16cid:durableId="1730766677">
    <w:abstractNumId w:val="3"/>
  </w:num>
  <w:num w:numId="16" w16cid:durableId="1504737907">
    <w:abstractNumId w:val="18"/>
  </w:num>
  <w:num w:numId="17" w16cid:durableId="1267731867">
    <w:abstractNumId w:val="10"/>
  </w:num>
  <w:num w:numId="18" w16cid:durableId="1451899553">
    <w:abstractNumId w:val="2"/>
  </w:num>
  <w:num w:numId="19" w16cid:durableId="1145006803">
    <w:abstractNumId w:val="11"/>
  </w:num>
  <w:num w:numId="20" w16cid:durableId="401146654">
    <w:abstractNumId w:val="7"/>
  </w:num>
  <w:num w:numId="21" w16cid:durableId="945580674">
    <w:abstractNumId w:val="5"/>
  </w:num>
  <w:num w:numId="22" w16cid:durableId="984814171">
    <w:abstractNumId w:val="8"/>
  </w:num>
  <w:num w:numId="23" w16cid:durableId="1197618537">
    <w:abstractNumId w:val="1"/>
  </w:num>
  <w:num w:numId="24" w16cid:durableId="1238052149">
    <w:abstractNumId w:val="28"/>
  </w:num>
  <w:num w:numId="25" w16cid:durableId="512650451">
    <w:abstractNumId w:val="15"/>
  </w:num>
  <w:num w:numId="26" w16cid:durableId="513737783">
    <w:abstractNumId w:val="31"/>
  </w:num>
  <w:num w:numId="27" w16cid:durableId="1076047851">
    <w:abstractNumId w:val="34"/>
  </w:num>
  <w:num w:numId="28" w16cid:durableId="968516787">
    <w:abstractNumId w:val="23"/>
  </w:num>
  <w:num w:numId="29" w16cid:durableId="976449463">
    <w:abstractNumId w:val="33"/>
  </w:num>
  <w:num w:numId="30" w16cid:durableId="1734236325">
    <w:abstractNumId w:val="32"/>
  </w:num>
  <w:num w:numId="31" w16cid:durableId="1377703627">
    <w:abstractNumId w:val="19"/>
  </w:num>
  <w:num w:numId="32" w16cid:durableId="1843081622">
    <w:abstractNumId w:val="35"/>
  </w:num>
  <w:num w:numId="33" w16cid:durableId="64062237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1563296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7568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7658740">
    <w:abstractNumId w:val="16"/>
  </w:num>
  <w:num w:numId="37" w16cid:durableId="590433810">
    <w:abstractNumId w:val="25"/>
  </w:num>
  <w:num w:numId="38" w16cid:durableId="2059746386">
    <w:abstractNumId w:val="20"/>
  </w:num>
  <w:num w:numId="39" w16cid:durableId="569272709">
    <w:abstractNumId w:val="29"/>
  </w:num>
  <w:num w:numId="40" w16cid:durableId="2642690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197"/>
    <w:rsid w:val="00000210"/>
    <w:rsid w:val="000009CA"/>
    <w:rsid w:val="00014D01"/>
    <w:rsid w:val="00034F32"/>
    <w:rsid w:val="00037D67"/>
    <w:rsid w:val="00040B4A"/>
    <w:rsid w:val="000440D2"/>
    <w:rsid w:val="00044513"/>
    <w:rsid w:val="00055092"/>
    <w:rsid w:val="00057126"/>
    <w:rsid w:val="0006376F"/>
    <w:rsid w:val="00063ADE"/>
    <w:rsid w:val="00065BA0"/>
    <w:rsid w:val="00071D33"/>
    <w:rsid w:val="00081CAF"/>
    <w:rsid w:val="00083C40"/>
    <w:rsid w:val="00086C50"/>
    <w:rsid w:val="00087D5F"/>
    <w:rsid w:val="00094558"/>
    <w:rsid w:val="00096973"/>
    <w:rsid w:val="000A0F8C"/>
    <w:rsid w:val="000A1CE5"/>
    <w:rsid w:val="000A238A"/>
    <w:rsid w:val="000A461D"/>
    <w:rsid w:val="000C0A03"/>
    <w:rsid w:val="000C1C59"/>
    <w:rsid w:val="000C2F21"/>
    <w:rsid w:val="000D056D"/>
    <w:rsid w:val="000D6F35"/>
    <w:rsid w:val="000D75FC"/>
    <w:rsid w:val="000E5156"/>
    <w:rsid w:val="000E7A40"/>
    <w:rsid w:val="000F5E8D"/>
    <w:rsid w:val="00114764"/>
    <w:rsid w:val="001168C1"/>
    <w:rsid w:val="00120143"/>
    <w:rsid w:val="001266F6"/>
    <w:rsid w:val="00126D8B"/>
    <w:rsid w:val="00132207"/>
    <w:rsid w:val="00132CE1"/>
    <w:rsid w:val="00137888"/>
    <w:rsid w:val="00143CF1"/>
    <w:rsid w:val="00153B28"/>
    <w:rsid w:val="00155FCC"/>
    <w:rsid w:val="00165097"/>
    <w:rsid w:val="0017054A"/>
    <w:rsid w:val="00177F97"/>
    <w:rsid w:val="001813EA"/>
    <w:rsid w:val="001A0726"/>
    <w:rsid w:val="001B1650"/>
    <w:rsid w:val="001D5EB0"/>
    <w:rsid w:val="001D65A9"/>
    <w:rsid w:val="001E2675"/>
    <w:rsid w:val="001E7ED4"/>
    <w:rsid w:val="001F2DFA"/>
    <w:rsid w:val="00200F80"/>
    <w:rsid w:val="00211CE2"/>
    <w:rsid w:val="00214DCA"/>
    <w:rsid w:val="002238F1"/>
    <w:rsid w:val="002314A8"/>
    <w:rsid w:val="00232706"/>
    <w:rsid w:val="00233A73"/>
    <w:rsid w:val="0023436F"/>
    <w:rsid w:val="002351F1"/>
    <w:rsid w:val="00244595"/>
    <w:rsid w:val="002453E9"/>
    <w:rsid w:val="00252FEA"/>
    <w:rsid w:val="002715F2"/>
    <w:rsid w:val="00272B4D"/>
    <w:rsid w:val="002813CE"/>
    <w:rsid w:val="00287F6C"/>
    <w:rsid w:val="002A2977"/>
    <w:rsid w:val="002A4679"/>
    <w:rsid w:val="002B6D97"/>
    <w:rsid w:val="002B7276"/>
    <w:rsid w:val="002C24B3"/>
    <w:rsid w:val="002C6209"/>
    <w:rsid w:val="002C66CB"/>
    <w:rsid w:val="002D1221"/>
    <w:rsid w:val="002E511B"/>
    <w:rsid w:val="002F01F4"/>
    <w:rsid w:val="00300045"/>
    <w:rsid w:val="00305749"/>
    <w:rsid w:val="00313E39"/>
    <w:rsid w:val="00316CD0"/>
    <w:rsid w:val="00324017"/>
    <w:rsid w:val="00332BC2"/>
    <w:rsid w:val="00342720"/>
    <w:rsid w:val="0035103D"/>
    <w:rsid w:val="00360EA2"/>
    <w:rsid w:val="00386924"/>
    <w:rsid w:val="00386C3C"/>
    <w:rsid w:val="003873A3"/>
    <w:rsid w:val="00396CC9"/>
    <w:rsid w:val="003B2740"/>
    <w:rsid w:val="003B39EE"/>
    <w:rsid w:val="003B4C2E"/>
    <w:rsid w:val="003B514D"/>
    <w:rsid w:val="003B62F4"/>
    <w:rsid w:val="003C0588"/>
    <w:rsid w:val="003C0D99"/>
    <w:rsid w:val="003C0E0A"/>
    <w:rsid w:val="003C5B96"/>
    <w:rsid w:val="003C5DFE"/>
    <w:rsid w:val="003C63D7"/>
    <w:rsid w:val="003C69DC"/>
    <w:rsid w:val="003C7510"/>
    <w:rsid w:val="003D1DFD"/>
    <w:rsid w:val="003D70C4"/>
    <w:rsid w:val="003D7D22"/>
    <w:rsid w:val="003F3C21"/>
    <w:rsid w:val="003F49AD"/>
    <w:rsid w:val="004010A9"/>
    <w:rsid w:val="00421C13"/>
    <w:rsid w:val="00422667"/>
    <w:rsid w:val="004240C6"/>
    <w:rsid w:val="00431E0B"/>
    <w:rsid w:val="00432D24"/>
    <w:rsid w:val="0044664C"/>
    <w:rsid w:val="004473DB"/>
    <w:rsid w:val="00456133"/>
    <w:rsid w:val="00456A8A"/>
    <w:rsid w:val="00465DB0"/>
    <w:rsid w:val="0046696A"/>
    <w:rsid w:val="00467302"/>
    <w:rsid w:val="00467439"/>
    <w:rsid w:val="00467871"/>
    <w:rsid w:val="00480533"/>
    <w:rsid w:val="00480FAB"/>
    <w:rsid w:val="004822E5"/>
    <w:rsid w:val="0048332C"/>
    <w:rsid w:val="00484641"/>
    <w:rsid w:val="00494B6D"/>
    <w:rsid w:val="0049721E"/>
    <w:rsid w:val="004A4912"/>
    <w:rsid w:val="004B07DF"/>
    <w:rsid w:val="004C0E92"/>
    <w:rsid w:val="004C32BE"/>
    <w:rsid w:val="004D2802"/>
    <w:rsid w:val="004E2C81"/>
    <w:rsid w:val="004E31E2"/>
    <w:rsid w:val="004F2BAB"/>
    <w:rsid w:val="004F406F"/>
    <w:rsid w:val="005009F3"/>
    <w:rsid w:val="0050150C"/>
    <w:rsid w:val="00501632"/>
    <w:rsid w:val="00505E36"/>
    <w:rsid w:val="005144EF"/>
    <w:rsid w:val="00564E1C"/>
    <w:rsid w:val="005656E7"/>
    <w:rsid w:val="00582725"/>
    <w:rsid w:val="005841B8"/>
    <w:rsid w:val="00587A2C"/>
    <w:rsid w:val="005A785C"/>
    <w:rsid w:val="005B0E40"/>
    <w:rsid w:val="005B3B94"/>
    <w:rsid w:val="005B5464"/>
    <w:rsid w:val="005C3BAA"/>
    <w:rsid w:val="005D666B"/>
    <w:rsid w:val="005F3A4E"/>
    <w:rsid w:val="005F7067"/>
    <w:rsid w:val="00600262"/>
    <w:rsid w:val="00600D12"/>
    <w:rsid w:val="0060466C"/>
    <w:rsid w:val="00616EE1"/>
    <w:rsid w:val="00623B64"/>
    <w:rsid w:val="00623E15"/>
    <w:rsid w:val="00626ED5"/>
    <w:rsid w:val="00630462"/>
    <w:rsid w:val="00635910"/>
    <w:rsid w:val="00635B14"/>
    <w:rsid w:val="00636037"/>
    <w:rsid w:val="00637D82"/>
    <w:rsid w:val="00640AB7"/>
    <w:rsid w:val="0064761C"/>
    <w:rsid w:val="00655C27"/>
    <w:rsid w:val="0066288A"/>
    <w:rsid w:val="006672DD"/>
    <w:rsid w:val="00686D93"/>
    <w:rsid w:val="0068720B"/>
    <w:rsid w:val="006874C8"/>
    <w:rsid w:val="006906EA"/>
    <w:rsid w:val="00690952"/>
    <w:rsid w:val="006916A4"/>
    <w:rsid w:val="006920B0"/>
    <w:rsid w:val="00695FB4"/>
    <w:rsid w:val="006A7B81"/>
    <w:rsid w:val="006B0949"/>
    <w:rsid w:val="006C28A4"/>
    <w:rsid w:val="006C5BBA"/>
    <w:rsid w:val="006C73AF"/>
    <w:rsid w:val="006D0681"/>
    <w:rsid w:val="006E692D"/>
    <w:rsid w:val="006F4375"/>
    <w:rsid w:val="00701A61"/>
    <w:rsid w:val="00706365"/>
    <w:rsid w:val="00715CD7"/>
    <w:rsid w:val="00720CD6"/>
    <w:rsid w:val="00730197"/>
    <w:rsid w:val="00740801"/>
    <w:rsid w:val="007413C8"/>
    <w:rsid w:val="007423BE"/>
    <w:rsid w:val="00750D26"/>
    <w:rsid w:val="00753E8D"/>
    <w:rsid w:val="00761E22"/>
    <w:rsid w:val="00775228"/>
    <w:rsid w:val="007773E3"/>
    <w:rsid w:val="007875DC"/>
    <w:rsid w:val="00787CF0"/>
    <w:rsid w:val="00793088"/>
    <w:rsid w:val="007B49CB"/>
    <w:rsid w:val="007B7B17"/>
    <w:rsid w:val="007D1374"/>
    <w:rsid w:val="007E1A2D"/>
    <w:rsid w:val="007E718C"/>
    <w:rsid w:val="007E7E67"/>
    <w:rsid w:val="007F183C"/>
    <w:rsid w:val="00801B6E"/>
    <w:rsid w:val="008126AE"/>
    <w:rsid w:val="00812DF8"/>
    <w:rsid w:val="00815260"/>
    <w:rsid w:val="00815383"/>
    <w:rsid w:val="00817E62"/>
    <w:rsid w:val="00823315"/>
    <w:rsid w:val="00824D48"/>
    <w:rsid w:val="00836120"/>
    <w:rsid w:val="00850428"/>
    <w:rsid w:val="0085592D"/>
    <w:rsid w:val="008709C9"/>
    <w:rsid w:val="00871A23"/>
    <w:rsid w:val="0087459B"/>
    <w:rsid w:val="008774F9"/>
    <w:rsid w:val="00882D52"/>
    <w:rsid w:val="00885753"/>
    <w:rsid w:val="00892CC4"/>
    <w:rsid w:val="008A2CEF"/>
    <w:rsid w:val="008A7285"/>
    <w:rsid w:val="008B1DD2"/>
    <w:rsid w:val="008C550F"/>
    <w:rsid w:val="008D5541"/>
    <w:rsid w:val="008E6E24"/>
    <w:rsid w:val="008E71F0"/>
    <w:rsid w:val="008F4CCC"/>
    <w:rsid w:val="008F7DAD"/>
    <w:rsid w:val="009024A1"/>
    <w:rsid w:val="009157DC"/>
    <w:rsid w:val="00934BCD"/>
    <w:rsid w:val="009351C7"/>
    <w:rsid w:val="00943F7B"/>
    <w:rsid w:val="00946A7A"/>
    <w:rsid w:val="00952BF2"/>
    <w:rsid w:val="009631A3"/>
    <w:rsid w:val="009727EA"/>
    <w:rsid w:val="00973D50"/>
    <w:rsid w:val="00985225"/>
    <w:rsid w:val="00987EDE"/>
    <w:rsid w:val="00993787"/>
    <w:rsid w:val="009A5BA4"/>
    <w:rsid w:val="009D1038"/>
    <w:rsid w:val="009D228F"/>
    <w:rsid w:val="009D6367"/>
    <w:rsid w:val="009E26CC"/>
    <w:rsid w:val="009F3EE4"/>
    <w:rsid w:val="009F40F3"/>
    <w:rsid w:val="009F45B2"/>
    <w:rsid w:val="00A06FEC"/>
    <w:rsid w:val="00A10904"/>
    <w:rsid w:val="00A16BC2"/>
    <w:rsid w:val="00A458CB"/>
    <w:rsid w:val="00A46585"/>
    <w:rsid w:val="00A53021"/>
    <w:rsid w:val="00A55D00"/>
    <w:rsid w:val="00A60370"/>
    <w:rsid w:val="00A65C2C"/>
    <w:rsid w:val="00A703D8"/>
    <w:rsid w:val="00A87F68"/>
    <w:rsid w:val="00AA1582"/>
    <w:rsid w:val="00AB334C"/>
    <w:rsid w:val="00AB5CF6"/>
    <w:rsid w:val="00AC173C"/>
    <w:rsid w:val="00AC58AF"/>
    <w:rsid w:val="00AC6FC3"/>
    <w:rsid w:val="00AC72AA"/>
    <w:rsid w:val="00AD51BB"/>
    <w:rsid w:val="00AE5EBC"/>
    <w:rsid w:val="00AE623C"/>
    <w:rsid w:val="00AF03A5"/>
    <w:rsid w:val="00AF16ED"/>
    <w:rsid w:val="00AF3A4D"/>
    <w:rsid w:val="00B0079C"/>
    <w:rsid w:val="00B03D45"/>
    <w:rsid w:val="00B158A8"/>
    <w:rsid w:val="00B24B29"/>
    <w:rsid w:val="00B25884"/>
    <w:rsid w:val="00B3551C"/>
    <w:rsid w:val="00B356A0"/>
    <w:rsid w:val="00B442B4"/>
    <w:rsid w:val="00B57F54"/>
    <w:rsid w:val="00B7216D"/>
    <w:rsid w:val="00B76AC8"/>
    <w:rsid w:val="00B82A97"/>
    <w:rsid w:val="00B858E3"/>
    <w:rsid w:val="00B957ED"/>
    <w:rsid w:val="00B974E3"/>
    <w:rsid w:val="00B97BD7"/>
    <w:rsid w:val="00BC600A"/>
    <w:rsid w:val="00BD25A6"/>
    <w:rsid w:val="00BE7179"/>
    <w:rsid w:val="00BF1506"/>
    <w:rsid w:val="00BF6930"/>
    <w:rsid w:val="00C009A3"/>
    <w:rsid w:val="00C11710"/>
    <w:rsid w:val="00C176F1"/>
    <w:rsid w:val="00C21305"/>
    <w:rsid w:val="00C31307"/>
    <w:rsid w:val="00C40544"/>
    <w:rsid w:val="00C54061"/>
    <w:rsid w:val="00C66F3D"/>
    <w:rsid w:val="00C72B3E"/>
    <w:rsid w:val="00C753E7"/>
    <w:rsid w:val="00C8359C"/>
    <w:rsid w:val="00C84977"/>
    <w:rsid w:val="00C93706"/>
    <w:rsid w:val="00C967E1"/>
    <w:rsid w:val="00CB5BD2"/>
    <w:rsid w:val="00CC48A1"/>
    <w:rsid w:val="00CC6A4C"/>
    <w:rsid w:val="00CD51F4"/>
    <w:rsid w:val="00CD6263"/>
    <w:rsid w:val="00CD6C84"/>
    <w:rsid w:val="00CD6F31"/>
    <w:rsid w:val="00CE6CA9"/>
    <w:rsid w:val="00CF19F9"/>
    <w:rsid w:val="00D015D5"/>
    <w:rsid w:val="00D04309"/>
    <w:rsid w:val="00D06DEA"/>
    <w:rsid w:val="00D11D15"/>
    <w:rsid w:val="00D1352E"/>
    <w:rsid w:val="00D22D3B"/>
    <w:rsid w:val="00D3366C"/>
    <w:rsid w:val="00D41B75"/>
    <w:rsid w:val="00D437C6"/>
    <w:rsid w:val="00D61858"/>
    <w:rsid w:val="00D64693"/>
    <w:rsid w:val="00D734FA"/>
    <w:rsid w:val="00D75343"/>
    <w:rsid w:val="00D81D17"/>
    <w:rsid w:val="00D918DB"/>
    <w:rsid w:val="00D93409"/>
    <w:rsid w:val="00D95D92"/>
    <w:rsid w:val="00D9647D"/>
    <w:rsid w:val="00DA48EA"/>
    <w:rsid w:val="00DB28C6"/>
    <w:rsid w:val="00DB45D1"/>
    <w:rsid w:val="00DC2300"/>
    <w:rsid w:val="00DD07E3"/>
    <w:rsid w:val="00DD2415"/>
    <w:rsid w:val="00DE7B6F"/>
    <w:rsid w:val="00DF2376"/>
    <w:rsid w:val="00E05C4F"/>
    <w:rsid w:val="00E114D1"/>
    <w:rsid w:val="00E20018"/>
    <w:rsid w:val="00E23304"/>
    <w:rsid w:val="00E257C0"/>
    <w:rsid w:val="00E327E3"/>
    <w:rsid w:val="00E34172"/>
    <w:rsid w:val="00E36ACF"/>
    <w:rsid w:val="00E41231"/>
    <w:rsid w:val="00E4293A"/>
    <w:rsid w:val="00E468B8"/>
    <w:rsid w:val="00E94B18"/>
    <w:rsid w:val="00EA187A"/>
    <w:rsid w:val="00EB1D2D"/>
    <w:rsid w:val="00EB34F4"/>
    <w:rsid w:val="00EC1698"/>
    <w:rsid w:val="00EC46CD"/>
    <w:rsid w:val="00EC77E5"/>
    <w:rsid w:val="00ED2968"/>
    <w:rsid w:val="00ED3D40"/>
    <w:rsid w:val="00ED69DE"/>
    <w:rsid w:val="00EE7747"/>
    <w:rsid w:val="00EF0B14"/>
    <w:rsid w:val="00F001EC"/>
    <w:rsid w:val="00F14161"/>
    <w:rsid w:val="00F17CA0"/>
    <w:rsid w:val="00F243E3"/>
    <w:rsid w:val="00F34C15"/>
    <w:rsid w:val="00F350E1"/>
    <w:rsid w:val="00F4759C"/>
    <w:rsid w:val="00F53B47"/>
    <w:rsid w:val="00F61CA7"/>
    <w:rsid w:val="00F8443C"/>
    <w:rsid w:val="00FA02C2"/>
    <w:rsid w:val="00FA1229"/>
    <w:rsid w:val="00FA2CF9"/>
    <w:rsid w:val="00FA3828"/>
    <w:rsid w:val="00FC2A44"/>
    <w:rsid w:val="00FC61CD"/>
    <w:rsid w:val="00FD2B5D"/>
    <w:rsid w:val="00FE11ED"/>
    <w:rsid w:val="00FE2968"/>
    <w:rsid w:val="00FE4557"/>
    <w:rsid w:val="00FF1966"/>
    <w:rsid w:val="00FF348D"/>
    <w:rsid w:val="00FF7D8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E8D8D72"/>
  <w15:docId w15:val="{419CACB6-3A85-4D35-BA54-688DABD6C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
    <w:name w:val="Artikel"/>
    <w:basedOn w:val="Normal"/>
    <w:next w:val="Normal"/>
    <w:pPr>
      <w:spacing w:line="240" w:lineRule="exact"/>
    </w:pPr>
  </w:style>
  <w:style w:type="paragraph" w:customStyle="1" w:styleId="Artikelniveau2">
    <w:name w:val="Artikel niveau 2"/>
    <w:basedOn w:val="Normal"/>
    <w:next w:val="Normal"/>
    <w:pPr>
      <w:spacing w:line="240" w:lineRule="exact"/>
    </w:p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ijlageKop">
    <w:name w:val="Bijlage_Kop"/>
    <w:basedOn w:val="Normal"/>
    <w:next w:val="Normal"/>
    <w:pPr>
      <w:spacing w:before="180" w:after="180" w:line="240" w:lineRule="exact"/>
    </w:pPr>
  </w:style>
  <w:style w:type="paragraph" w:customStyle="1" w:styleId="BijlageLidArtikel">
    <w:name w:val="Bijlage_Lid_Artikel"/>
    <w:basedOn w:val="Normal"/>
    <w:next w:val="Normal"/>
    <w:pPr>
      <w:spacing w:line="240" w:lineRule="exact"/>
      <w:ind w:left="400"/>
    </w:pPr>
  </w:style>
  <w:style w:type="paragraph" w:customStyle="1" w:styleId="BijlageLidArtikelGenummerd">
    <w:name w:val="Bijlage_Lid_Artikel_Genummerd"/>
    <w:basedOn w:val="Normal"/>
    <w:next w:val="Normal"/>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6"/>
      </w:numPr>
    </w:pPr>
  </w:style>
  <w:style w:type="paragraph" w:customStyle="1" w:styleId="Bulletskantlijn">
    <w:name w:val="Bullets kantlijn"/>
    <w:basedOn w:val="Normal"/>
    <w:next w:val="Normal"/>
    <w:pPr>
      <w:spacing w:line="240" w:lineRule="exact"/>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9"/>
      </w:numPr>
      <w:spacing w:before="200" w:after="200" w:line="240" w:lineRule="exact"/>
    </w:pPr>
    <w:rPr>
      <w:b/>
      <w:sz w:val="20"/>
      <w:szCs w:val="20"/>
    </w:rPr>
  </w:style>
  <w:style w:type="paragraph" w:customStyle="1" w:styleId="ConvenantletteringArtikel">
    <w:name w:val="Convenant lettering Artikel"/>
    <w:basedOn w:val="Normal"/>
    <w:next w:val="Normal"/>
    <w:pPr>
      <w:spacing w:line="240" w:lineRule="exact"/>
    </w:pPr>
  </w:style>
  <w:style w:type="paragraph" w:customStyle="1" w:styleId="Convenantletteringinspring">
    <w:name w:val="Convenant lettering inspring"/>
    <w:basedOn w:val="Normal"/>
    <w:next w:val="Normal"/>
    <w:pPr>
      <w:spacing w:line="240" w:lineRule="exact"/>
    </w:pPr>
    <w:rPr>
      <w:sz w:val="20"/>
      <w:szCs w:val="20"/>
    </w:rPr>
  </w:style>
  <w:style w:type="paragraph" w:customStyle="1" w:styleId="ConvenantLid">
    <w:name w:val="Convenant Lid"/>
    <w:basedOn w:val="Normal"/>
    <w:next w:val="Normal"/>
    <w:pPr>
      <w:numPr>
        <w:ilvl w:val="1"/>
        <w:numId w:val="9"/>
      </w:numPr>
      <w:spacing w:line="240" w:lineRule="exact"/>
    </w:pPr>
    <w:rPr>
      <w:sz w:val="20"/>
      <w:szCs w:val="20"/>
    </w:rPr>
  </w:style>
  <w:style w:type="paragraph" w:customStyle="1" w:styleId="Convenantlidletterstijlinspring">
    <w:name w:val="Convenant lid (letterstijl inspring)"/>
    <w:basedOn w:val="Normal"/>
    <w:next w:val="Normal"/>
    <w:pPr>
      <w:numPr>
        <w:numId w:val="8"/>
      </w:numPr>
      <w:spacing w:line="240" w:lineRule="exact"/>
    </w:pPr>
    <w:rPr>
      <w:sz w:val="20"/>
      <w:szCs w:val="20"/>
    </w:rPr>
  </w:style>
  <w:style w:type="paragraph" w:customStyle="1" w:styleId="ConvenantLidletterstijl">
    <w:name w:val="Convenant Lid (letterstijl)"/>
    <w:basedOn w:val="Normal"/>
    <w:next w:val="Normal"/>
    <w:pPr>
      <w:numPr>
        <w:numId w:val="7"/>
      </w:numPr>
      <w:spacing w:line="240" w:lineRule="exact"/>
    </w:pPr>
    <w:rPr>
      <w:sz w:val="20"/>
      <w:szCs w:val="20"/>
    </w:rPr>
  </w:style>
  <w:style w:type="paragraph" w:customStyle="1" w:styleId="ConvenantnummeringArtikel">
    <w:name w:val="Convenant nummering Artikel"/>
    <w:basedOn w:val="Normal"/>
    <w:next w:val="Normal"/>
    <w:pPr>
      <w:spacing w:line="240" w:lineRule="exact"/>
    </w:pPr>
  </w:style>
  <w:style w:type="paragraph" w:customStyle="1" w:styleId="Convenantstandaard">
    <w:name w:val="Convenant standaard"/>
    <w:basedOn w:val="Normal"/>
    <w:next w:val="Normal"/>
    <w:p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Normal"/>
    <w:next w:val="Normal"/>
    <w:pPr>
      <w:numPr>
        <w:numId w:val="16"/>
      </w:numPr>
      <w:spacing w:after="700" w:line="300" w:lineRule="exact"/>
    </w:pPr>
    <w:rPr>
      <w:sz w:val="24"/>
      <w:szCs w:val="24"/>
    </w:rPr>
  </w:style>
  <w:style w:type="paragraph" w:customStyle="1" w:styleId="Hoofdstukzondernummering">
    <w:name w:val="Hoofdstuk zonder nummering"/>
    <w:basedOn w:val="Normal"/>
    <w:next w:val="Normal"/>
    <w:pPr>
      <w:spacing w:after="700" w:line="300" w:lineRule="exact"/>
    </w:pPr>
    <w:rPr>
      <w:sz w:val="24"/>
      <w:szCs w:val="24"/>
    </w:rPr>
  </w:style>
  <w:style w:type="paragraph" w:styleId="TOC1">
    <w:name w:val="toc 1"/>
    <w:basedOn w:val="Normal"/>
    <w:next w:val="Normal"/>
    <w:pPr>
      <w:spacing w:before="240" w:after="120" w:line="240" w:lineRule="exact"/>
    </w:pPr>
    <w:rPr>
      <w:b/>
      <w:sz w:val="20"/>
      <w:szCs w:val="20"/>
    </w:rPr>
  </w:style>
  <w:style w:type="paragraph" w:styleId="TOC2">
    <w:name w:val="toc 2"/>
    <w:basedOn w:val="TOC1"/>
    <w:next w:val="Normal"/>
    <w:pPr>
      <w:spacing w:before="120" w:after="0"/>
      <w:ind w:left="180"/>
    </w:pPr>
    <w:rPr>
      <w:b w:val="0"/>
      <w:i/>
    </w:rPr>
  </w:style>
  <w:style w:type="paragraph" w:styleId="TOC3">
    <w:name w:val="toc 3"/>
    <w:basedOn w:val="TOC2"/>
    <w:next w:val="Normal"/>
    <w:pPr>
      <w:spacing w:before="0"/>
      <w:ind w:left="360"/>
    </w:pPr>
    <w:rPr>
      <w:i w:val="0"/>
    </w:rPr>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Normal"/>
    <w:pPr>
      <w:spacing w:line="220" w:lineRule="exact"/>
    </w:pPr>
    <w:rPr>
      <w:rFonts w:ascii="Arial" w:hAnsi="Arial"/>
      <w:color w:val="000000"/>
      <w:sz w:val="16"/>
      <w:szCs w:val="16"/>
    </w:rPr>
  </w:style>
  <w:style w:type="paragraph" w:customStyle="1" w:styleId="Kiesraadafzendgegevensbold">
    <w:name w:val="Kiesraad_afzendgegevens_bold"/>
    <w:next w:val="Normal"/>
    <w:pPr>
      <w:spacing w:line="220" w:lineRule="exact"/>
    </w:pPr>
    <w:rPr>
      <w:rFonts w:ascii="Arial" w:hAnsi="Arial"/>
      <w:b/>
      <w:color w:val="000000"/>
      <w:sz w:val="16"/>
      <w:szCs w:val="16"/>
    </w:rPr>
  </w:style>
  <w:style w:type="paragraph" w:customStyle="1" w:styleId="Kiesraadfax">
    <w:name w:val="Kiesraad_fax"/>
    <w:basedOn w:val="Normal"/>
    <w:next w:val="Normal"/>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Normal"/>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Normal"/>
    <w:pPr>
      <w:spacing w:line="220" w:lineRule="exact"/>
    </w:pPr>
    <w:rPr>
      <w:rFonts w:ascii="Arial" w:hAnsi="Arial"/>
      <w:color w:val="000000"/>
      <w:sz w:val="16"/>
      <w:szCs w:val="16"/>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gegevensAgenda">
    <w:name w:val="Kop gegevens Agenda"/>
    <w:basedOn w:val="KopDocumentgegevens"/>
    <w:next w:val="Normal"/>
    <w:pPr>
      <w:tabs>
        <w:tab w:val="left" w:pos="2267"/>
      </w:tabs>
    </w:pPr>
  </w:style>
  <w:style w:type="paragraph" w:customStyle="1" w:styleId="KopNotitiegegevens">
    <w:name w:val="Kop Notitie gegevens"/>
    <w:basedOn w:val="KopDocumentgegevens"/>
    <w:next w:val="Normal"/>
    <w:pPr>
      <w:spacing w:before="80" w:after="160"/>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24"/>
      </w:numPr>
      <w:spacing w:line="240" w:lineRule="exact"/>
    </w:pPr>
  </w:style>
  <w:style w:type="paragraph" w:customStyle="1" w:styleId="LedenArt1niv2">
    <w:name w:val="Leden_Art_1_niv2"/>
    <w:basedOn w:val="Normal"/>
    <w:next w:val="Normal"/>
    <w:pPr>
      <w:numPr>
        <w:ilvl w:val="1"/>
        <w:numId w:val="24"/>
      </w:numPr>
      <w:spacing w:line="240" w:lineRule="exact"/>
    </w:pPr>
  </w:style>
  <w:style w:type="paragraph" w:customStyle="1" w:styleId="LedenArt10">
    <w:name w:val="Leden_Art_10"/>
    <w:basedOn w:val="Normal"/>
    <w:next w:val="Normal"/>
    <w:pPr>
      <w:numPr>
        <w:numId w:val="25"/>
      </w:numPr>
      <w:spacing w:line="240" w:lineRule="exact"/>
    </w:pPr>
  </w:style>
  <w:style w:type="paragraph" w:customStyle="1" w:styleId="LedenArt10niv2">
    <w:name w:val="Leden_Art_10_niv2"/>
    <w:basedOn w:val="Normal"/>
    <w:next w:val="Normal"/>
    <w:pPr>
      <w:numPr>
        <w:ilvl w:val="1"/>
        <w:numId w:val="25"/>
      </w:numPr>
      <w:spacing w:line="240" w:lineRule="exact"/>
    </w:pPr>
  </w:style>
  <w:style w:type="paragraph" w:customStyle="1" w:styleId="LedenArt11">
    <w:name w:val="Leden_Art_11"/>
    <w:basedOn w:val="Normal"/>
    <w:next w:val="Normal"/>
    <w:pPr>
      <w:numPr>
        <w:numId w:val="26"/>
      </w:numPr>
      <w:spacing w:line="240" w:lineRule="exact"/>
    </w:pPr>
  </w:style>
  <w:style w:type="paragraph" w:customStyle="1" w:styleId="LedenArt3">
    <w:name w:val="Leden_Art_3"/>
    <w:basedOn w:val="Normal"/>
    <w:next w:val="Normal"/>
    <w:pPr>
      <w:numPr>
        <w:numId w:val="27"/>
      </w:numPr>
      <w:spacing w:line="240" w:lineRule="exact"/>
    </w:pPr>
  </w:style>
  <w:style w:type="paragraph" w:customStyle="1" w:styleId="LedenArt6">
    <w:name w:val="Leden_Art_6"/>
    <w:basedOn w:val="Normal"/>
    <w:next w:val="Normal"/>
    <w:pPr>
      <w:numPr>
        <w:numId w:val="28"/>
      </w:numPr>
      <w:spacing w:line="240" w:lineRule="exact"/>
    </w:pPr>
  </w:style>
  <w:style w:type="paragraph" w:customStyle="1" w:styleId="LedenArt6niv2">
    <w:name w:val="Leden_Art_6_niv2"/>
    <w:basedOn w:val="Normal"/>
    <w:next w:val="Normal"/>
    <w:pPr>
      <w:numPr>
        <w:ilvl w:val="1"/>
        <w:numId w:val="28"/>
      </w:numPr>
      <w:spacing w:line="240" w:lineRule="exact"/>
    </w:pPr>
  </w:style>
  <w:style w:type="paragraph" w:customStyle="1" w:styleId="LedenArt7">
    <w:name w:val="Leden_Art_7"/>
    <w:basedOn w:val="Normal"/>
    <w:next w:val="Normal"/>
    <w:pPr>
      <w:numPr>
        <w:numId w:val="29"/>
      </w:numPr>
      <w:spacing w:line="240" w:lineRule="exact"/>
    </w:pPr>
  </w:style>
  <w:style w:type="paragraph" w:customStyle="1" w:styleId="LedenArt7niv2">
    <w:name w:val="Leden_Art_7_niv2"/>
    <w:basedOn w:val="Normal"/>
    <w:next w:val="Normal"/>
    <w:pPr>
      <w:numPr>
        <w:ilvl w:val="1"/>
        <w:numId w:val="29"/>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Normal"/>
    <w:next w:val="Normal"/>
    <w:pPr>
      <w:spacing w:line="240" w:lineRule="exact"/>
    </w:pPr>
  </w:style>
  <w:style w:type="paragraph" w:customStyle="1" w:styleId="LogiusBullets">
    <w:name w:val="Logius Bullets"/>
    <w:basedOn w:val="Normal"/>
    <w:next w:val="Normal"/>
    <w:pPr>
      <w:spacing w:line="240" w:lineRule="exact"/>
    </w:pPr>
  </w:style>
  <w:style w:type="paragraph" w:customStyle="1" w:styleId="LogiusBulletsRapport">
    <w:name w:val="Logius Bullets Rapport"/>
    <w:basedOn w:val="Normal"/>
    <w:next w:val="Normal"/>
    <w:pPr>
      <w:numPr>
        <w:numId w:val="11"/>
      </w:numPr>
      <w:spacing w:line="240" w:lineRule="exact"/>
    </w:pPr>
  </w:style>
  <w:style w:type="paragraph" w:customStyle="1" w:styleId="LogiusMTNotitiebullet">
    <w:name w:val="Logius MT Notitie bullet"/>
    <w:basedOn w:val="Normal"/>
    <w:next w:val="Normal"/>
    <w:pPr>
      <w:numPr>
        <w:numId w:val="12"/>
      </w:numPr>
      <w:spacing w:line="240" w:lineRule="exact"/>
    </w:pPr>
  </w:style>
  <w:style w:type="paragraph" w:customStyle="1" w:styleId="LogiusMTNotitieopsomming">
    <w:name w:val="Logius MT Notitie opsomming"/>
    <w:basedOn w:val="Normal"/>
    <w:next w:val="Normal"/>
    <w:pPr>
      <w:numPr>
        <w:numId w:val="13"/>
      </w:numPr>
      <w:spacing w:line="240" w:lineRule="exact"/>
    </w:pPr>
    <w:rPr>
      <w:b/>
    </w:rPr>
  </w:style>
  <w:style w:type="paragraph" w:customStyle="1" w:styleId="LogiusMTNotitieopsommingbullet">
    <w:name w:val="Logius MT Notitie opsomming bullet"/>
    <w:basedOn w:val="Normal"/>
    <w:next w:val="Normal"/>
    <w:pPr>
      <w:spacing w:line="240" w:lineRule="exact"/>
    </w:pPr>
  </w:style>
  <w:style w:type="paragraph" w:customStyle="1" w:styleId="LogiusMTNotitieopsommingniv2">
    <w:name w:val="Logius MT Notitie opsomming niv 2"/>
    <w:basedOn w:val="Normal"/>
    <w:next w:val="Normal"/>
    <w:pPr>
      <w:numPr>
        <w:ilvl w:val="1"/>
        <w:numId w:val="12"/>
      </w:numPr>
      <w:spacing w:line="240" w:lineRule="exact"/>
    </w:pPr>
  </w:style>
  <w:style w:type="paragraph" w:customStyle="1" w:styleId="LogiusMTNotitieopsommingnummering">
    <w:name w:val="Logius MT Notitie opsomming nummering"/>
    <w:basedOn w:val="Normal"/>
    <w:next w:val="Normal"/>
    <w:pPr>
      <w:spacing w:line="240" w:lineRule="exact"/>
    </w:pPr>
  </w:style>
  <w:style w:type="paragraph" w:customStyle="1" w:styleId="LogiusNummeringExtra">
    <w:name w:val="Logius Nummering Extra"/>
    <w:basedOn w:val="Normal"/>
    <w:next w:val="Normal"/>
    <w:pPr>
      <w:numPr>
        <w:numId w:val="14"/>
      </w:numPr>
      <w:spacing w:line="240" w:lineRule="exact"/>
    </w:pPr>
  </w:style>
  <w:style w:type="paragraph" w:customStyle="1" w:styleId="LogiusNummeringExtraLijst">
    <w:name w:val="Logius Nummering Extra Lijst"/>
    <w:basedOn w:val="Normal"/>
    <w:next w:val="Normal"/>
    <w:pPr>
      <w:spacing w:line="240" w:lineRule="exact"/>
    </w:p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Opsomming1a">
    <w:name w:val="Logius Opsomming 1a"/>
    <w:basedOn w:val="Normal"/>
    <w:next w:val="Normal"/>
    <w:pPr>
      <w:spacing w:line="240" w:lineRule="exact"/>
    </w:pPr>
  </w:style>
  <w:style w:type="paragraph" w:customStyle="1" w:styleId="LogiusOpsomming1aniv1">
    <w:name w:val="Logius Opsomming 1a niv1"/>
    <w:basedOn w:val="Normal"/>
    <w:next w:val="Normal"/>
    <w:pPr>
      <w:numPr>
        <w:numId w:val="15"/>
      </w:numPr>
      <w:spacing w:line="240" w:lineRule="exact"/>
    </w:pPr>
  </w:style>
  <w:style w:type="paragraph" w:customStyle="1" w:styleId="LogiusOpsomming1aniv2">
    <w:name w:val="Logius Opsomming 1a niv2"/>
    <w:basedOn w:val="Normal"/>
    <w:next w:val="Normal"/>
    <w:pPr>
      <w:numPr>
        <w:ilvl w:val="1"/>
        <w:numId w:val="15"/>
      </w:numPr>
      <w:spacing w:line="240" w:lineRule="exact"/>
    </w:pPr>
  </w:style>
  <w:style w:type="paragraph" w:customStyle="1" w:styleId="LogiusOpsommingHoofdletters">
    <w:name w:val="Logius Opsomming Hoofdletters"/>
    <w:basedOn w:val="Normal"/>
    <w:next w:val="Normal"/>
    <w:pPr>
      <w:numPr>
        <w:numId w:val="17"/>
      </w:numPr>
      <w:spacing w:line="240" w:lineRule="exact"/>
    </w:pPr>
  </w:style>
  <w:style w:type="paragraph" w:customStyle="1" w:styleId="LogiusRapportsoorten">
    <w:name w:val="Logius Rapportsoorten"/>
    <w:basedOn w:val="Normal"/>
    <w:next w:val="Normal"/>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Normal"/>
    <w:next w:val="Normal"/>
    <w:pPr>
      <w:numPr>
        <w:numId w:val="10"/>
      </w:numPr>
      <w:spacing w:line="240" w:lineRule="exact"/>
    </w:pPr>
  </w:style>
  <w:style w:type="paragraph" w:customStyle="1" w:styleId="Logiustekstmetopsommingniveau2">
    <w:name w:val="Logius tekst met opsomming niveau 2"/>
    <w:basedOn w:val="Normal"/>
    <w:next w:val="Normal"/>
    <w:pPr>
      <w:numPr>
        <w:ilvl w:val="1"/>
        <w:numId w:val="10"/>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basisnummering">
    <w:name w:val="Logius_basis_nummering"/>
    <w:basedOn w:val="Normal"/>
    <w:next w:val="Normal"/>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Normal"/>
    <w:pPr>
      <w:spacing w:line="240" w:lineRule="exact"/>
    </w:pPr>
    <w:rPr>
      <w:i/>
    </w:rPr>
  </w:style>
  <w:style w:type="paragraph" w:customStyle="1" w:styleId="Opsomminghoofdletters">
    <w:name w:val="Opsomming hoofdletters"/>
    <w:basedOn w:val="Normal"/>
    <w:next w:val="Normal"/>
    <w:pPr>
      <w:spacing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aragraaf">
    <w:name w:val="Paragraaf"/>
    <w:basedOn w:val="Normal"/>
    <w:next w:val="Normal"/>
    <w:pPr>
      <w:numPr>
        <w:ilvl w:val="1"/>
        <w:numId w:val="16"/>
      </w:numPr>
      <w:spacing w:line="240" w:lineRule="exact"/>
    </w:pPr>
    <w:rPr>
      <w:b/>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
    <w:name w:val="Rapport"/>
    <w:basedOn w:val="Normal"/>
    <w:next w:val="Normal"/>
    <w:pPr>
      <w:spacing w:line="240" w:lineRule="exact"/>
    </w:pPr>
    <w:rPr>
      <w:b/>
    </w:rPr>
  </w:style>
  <w:style w:type="paragraph" w:customStyle="1" w:styleId="RapportNiveau1">
    <w:name w:val="Rapport_Niveau_1"/>
    <w:basedOn w:val="Normal"/>
    <w:next w:val="Normal"/>
    <w:pPr>
      <w:numPr>
        <w:numId w:val="18"/>
      </w:numPr>
      <w:spacing w:after="700" w:line="300" w:lineRule="exact"/>
    </w:pPr>
    <w:rPr>
      <w:sz w:val="24"/>
      <w:szCs w:val="24"/>
    </w:rPr>
  </w:style>
  <w:style w:type="paragraph" w:customStyle="1" w:styleId="RapportNiveau2">
    <w:name w:val="Rapport_Niveau_2"/>
    <w:basedOn w:val="Normal"/>
    <w:next w:val="Normal"/>
    <w:pPr>
      <w:numPr>
        <w:ilvl w:val="1"/>
        <w:numId w:val="18"/>
      </w:numPr>
      <w:spacing w:line="240" w:lineRule="exact"/>
    </w:pPr>
    <w:rPr>
      <w:b/>
    </w:rPr>
  </w:style>
  <w:style w:type="paragraph" w:customStyle="1" w:styleId="RapportNiveau3">
    <w:name w:val="Rapport_Niveau_3"/>
    <w:basedOn w:val="Normal"/>
    <w:next w:val="Normal"/>
    <w:pPr>
      <w:numPr>
        <w:ilvl w:val="2"/>
        <w:numId w:val="18"/>
      </w:numPr>
      <w:spacing w:line="240" w:lineRule="exact"/>
    </w:pPr>
    <w:rPr>
      <w:i/>
    </w:rPr>
  </w:style>
  <w:style w:type="paragraph" w:customStyle="1" w:styleId="RapportNiveau4">
    <w:name w:val="Rapport_Niveau_4"/>
    <w:basedOn w:val="Normal"/>
    <w:next w:val="Normal"/>
    <w:pPr>
      <w:numPr>
        <w:ilvl w:val="3"/>
        <w:numId w:val="18"/>
      </w:numPr>
      <w:spacing w:line="240" w:lineRule="exact"/>
    </w:pPr>
  </w:style>
  <w:style w:type="paragraph" w:customStyle="1" w:styleId="RapportNiveau5">
    <w:name w:val="Rapport_Niveau_5"/>
    <w:basedOn w:val="Normal"/>
    <w:next w:val="Normal"/>
    <w:pPr>
      <w:numPr>
        <w:ilvl w:val="4"/>
        <w:numId w:val="18"/>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COpsommingstreepje">
    <w:name w:val="RC Opsomming streepje"/>
    <w:basedOn w:val="Normal"/>
    <w:next w:val="Normal"/>
    <w:pPr>
      <w:numPr>
        <w:numId w:val="19"/>
      </w:numPr>
      <w:spacing w:line="240" w:lineRule="exact"/>
    </w:pPr>
  </w:style>
  <w:style w:type="paragraph" w:customStyle="1" w:styleId="RCStreepje">
    <w:name w:val="RC Streepje"/>
    <w:basedOn w:val="Normal"/>
    <w:next w:val="Normal"/>
    <w:pPr>
      <w:spacing w:line="240" w:lineRule="exact"/>
    </w:pPr>
  </w:style>
  <w:style w:type="paragraph" w:customStyle="1" w:styleId="RCabc">
    <w:name w:val="RC_abc"/>
    <w:basedOn w:val="Normal"/>
    <w:next w:val="Normal"/>
    <w:pPr>
      <w:spacing w:line="240" w:lineRule="exact"/>
    </w:pPr>
  </w:style>
  <w:style w:type="paragraph" w:customStyle="1" w:styleId="RCabcalinea">
    <w:name w:val="RC_abc alinea"/>
    <w:basedOn w:val="Normal"/>
    <w:next w:val="Normal"/>
    <w:pPr>
      <w:numPr>
        <w:numId w:val="20"/>
      </w:numPr>
      <w:spacing w:line="240" w:lineRule="exact"/>
    </w:p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Normal"/>
    <w:next w:val="Normal"/>
    <w:pPr>
      <w:numPr>
        <w:ilvl w:val="2"/>
        <w:numId w:val="21"/>
      </w:numPr>
      <w:spacing w:before="180" w:line="300" w:lineRule="exact"/>
    </w:pPr>
    <w:rPr>
      <w:b/>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rfvabc">
    <w:name w:val="Robrfv_abc"/>
    <w:basedOn w:val="Normal"/>
    <w:next w:val="Normal"/>
    <w:pPr>
      <w:numPr>
        <w:ilvl w:val="5"/>
        <w:numId w:val="21"/>
      </w:numPr>
      <w:spacing w:before="180" w:line="300" w:lineRule="exact"/>
    </w:pPr>
  </w:style>
  <w:style w:type="paragraph" w:customStyle="1" w:styleId="Robrfvniv1b11">
    <w:name w:val="Robrfvniv1_b11"/>
    <w:basedOn w:val="Normal"/>
    <w:next w:val="Normal"/>
    <w:pPr>
      <w:numPr>
        <w:numId w:val="21"/>
      </w:numPr>
      <w:spacing w:before="360" w:line="300" w:lineRule="exact"/>
    </w:pPr>
    <w:rPr>
      <w:b/>
      <w:sz w:val="22"/>
      <w:szCs w:val="22"/>
    </w:rPr>
  </w:style>
  <w:style w:type="paragraph" w:customStyle="1" w:styleId="Robrfvniv2">
    <w:name w:val="Robrfvniv2"/>
    <w:basedOn w:val="Normal"/>
    <w:next w:val="Normal"/>
    <w:pPr>
      <w:numPr>
        <w:ilvl w:val="1"/>
        <w:numId w:val="21"/>
      </w:numPr>
      <w:spacing w:before="180" w:line="300" w:lineRule="exact"/>
    </w:pPr>
    <w:rPr>
      <w:b/>
    </w:rPr>
  </w:style>
  <w:style w:type="paragraph" w:customStyle="1" w:styleId="Robrfvniv3standaard">
    <w:name w:val="Robrfvniv3_standaard"/>
    <w:basedOn w:val="Normal"/>
    <w:next w:val="Normal"/>
    <w:pPr>
      <w:numPr>
        <w:ilvl w:val="3"/>
        <w:numId w:val="21"/>
      </w:numPr>
      <w:spacing w:line="240" w:lineRule="exact"/>
    </w:pPr>
  </w:style>
  <w:style w:type="paragraph" w:customStyle="1" w:styleId="Robrfvniv5">
    <w:name w:val="Robrfvniv5"/>
    <w:basedOn w:val="Normal"/>
    <w:next w:val="Normal"/>
    <w:pPr>
      <w:numPr>
        <w:ilvl w:val="4"/>
        <w:numId w:val="21"/>
      </w:numPr>
      <w:spacing w:line="240" w:lineRule="exact"/>
    </w:pPr>
  </w:style>
  <w:style w:type="paragraph" w:customStyle="1" w:styleId="Robrfvopsommingslijst">
    <w:name w:val="Robrfvopsommingslijst"/>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Normal"/>
    <w:next w:val="Normal"/>
    <w:pPr>
      <w:spacing w:line="240" w:lineRule="exact"/>
    </w:pPr>
  </w:style>
  <w:style w:type="paragraph" w:customStyle="1" w:styleId="RVIGLetteropsomming">
    <w:name w:val="RVIG Letteropsomming"/>
    <w:basedOn w:val="Normal"/>
    <w:next w:val="Normal"/>
    <w:pPr>
      <w:spacing w:line="240" w:lineRule="exact"/>
    </w:pPr>
  </w:style>
  <w:style w:type="paragraph" w:customStyle="1" w:styleId="RvIGOpsomming">
    <w:name w:val="RvIG Opsomming"/>
    <w:basedOn w:val="Normal"/>
    <w:next w:val="Normal"/>
    <w:pPr>
      <w:spacing w:line="240" w:lineRule="exact"/>
      <w:ind w:left="1260"/>
    </w:pPr>
  </w:style>
  <w:style w:type="paragraph" w:customStyle="1" w:styleId="RVIGOpsommingGebruikersgegevens">
    <w:name w:val="RVIG Opsomming Gebruikersgegevens"/>
    <w:basedOn w:val="Normal"/>
    <w:next w:val="Normal"/>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Normal"/>
    <w:next w:val="Normal"/>
    <w:pPr>
      <w:numPr>
        <w:numId w:val="22"/>
      </w:numPr>
      <w:spacing w:after="240" w:line="240" w:lineRule="exact"/>
    </w:pPr>
  </w:style>
  <w:style w:type="paragraph" w:customStyle="1" w:styleId="RVIGTekstbesluitmetletters">
    <w:name w:val="RVIG Tekst besluit met letters"/>
    <w:basedOn w:val="Normal"/>
    <w:next w:val="Normal"/>
    <w:pPr>
      <w:numPr>
        <w:numId w:val="23"/>
      </w:numPr>
      <w:spacing w:after="240" w:line="240" w:lineRule="exact"/>
    </w:pPr>
  </w:style>
  <w:style w:type="paragraph" w:customStyle="1" w:styleId="Slotzin">
    <w:name w:val="Slotzin"/>
    <w:basedOn w:val="Normal"/>
    <w:next w:val="Normal"/>
    <w:pPr>
      <w:spacing w:line="240" w:lineRule="exact"/>
    </w:pPr>
  </w:style>
  <w:style w:type="paragraph" w:customStyle="1" w:styleId="SSCICTslotzin">
    <w:name w:val="SSC_ICT_slotzin"/>
    <w:basedOn w:val="Normal"/>
    <w:next w:val="Normal"/>
    <w:pPr>
      <w:spacing w:before="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Normal"/>
    <w:next w:val="Normal"/>
    <w:pPr>
      <w:spacing w:before="40" w:after="40" w:line="240" w:lineRule="exact"/>
      <w:ind w:left="40"/>
    </w:p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Normal"/>
    <w:next w:val="Normal"/>
    <w:pPr>
      <w:numPr>
        <w:ilvl w:val="2"/>
        <w:numId w:val="16"/>
      </w:numPr>
      <w:spacing w:line="240" w:lineRule="exact"/>
    </w:pPr>
    <w:rPr>
      <w:i/>
    </w:rPr>
  </w:style>
  <w:style w:type="paragraph" w:customStyle="1" w:styleId="Subparagraaf2">
    <w:name w:val="Subparagraaf 2"/>
    <w:basedOn w:val="Normal"/>
    <w:next w:val="Normal"/>
    <w:pPr>
      <w:numPr>
        <w:ilvl w:val="3"/>
        <w:numId w:val="16"/>
      </w:numPr>
      <w:spacing w:line="240" w:lineRule="exact"/>
    </w:pPr>
  </w:style>
  <w:style w:type="paragraph" w:customStyle="1" w:styleId="Subtitelpersbericht">
    <w:name w:val="Subtitel persbericht"/>
    <w:basedOn w:val="Titelpersbericht"/>
    <w:next w:val="Normal"/>
    <w:rPr>
      <w:b w:val="0"/>
    </w:rPr>
  </w:style>
  <w:style w:type="paragraph" w:customStyle="1" w:styleId="SubtitelRapport">
    <w:name w:val="Subtitel Rapport"/>
    <w:next w:val="Normal"/>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Normal"/>
    <w:next w:val="Normal"/>
    <w:pPr>
      <w:pageBreakBefore/>
      <w:numPr>
        <w:numId w:val="3"/>
      </w:numPr>
      <w:spacing w:before="180" w:line="240" w:lineRule="exact"/>
    </w:pPr>
    <w:rPr>
      <w:b/>
    </w:rPr>
  </w:style>
  <w:style w:type="paragraph" w:customStyle="1" w:styleId="WOBBesluitBijlageLidArtikel">
    <w:name w:val="WOB Besluit Bijlage Lid Artikel"/>
    <w:basedOn w:val="Normal"/>
    <w:next w:val="Normal"/>
    <w:pPr>
      <w:numPr>
        <w:numId w:val="4"/>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5"/>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obBijlageLedenArtikel1">
    <w:name w:val="Wob_Bijlage_Leden_Artikel_1"/>
    <w:basedOn w:val="Normal"/>
    <w:next w:val="Normal"/>
    <w:pPr>
      <w:spacing w:line="240" w:lineRule="exact"/>
    </w:pPr>
  </w:style>
  <w:style w:type="paragraph" w:customStyle="1" w:styleId="WobBijlageLedenArtikel10">
    <w:name w:val="Wob_Bijlage_Leden_Artikel_10"/>
    <w:basedOn w:val="Normal"/>
    <w:next w:val="Normal"/>
    <w:pPr>
      <w:spacing w:line="240" w:lineRule="exact"/>
    </w:pPr>
  </w:style>
  <w:style w:type="paragraph" w:customStyle="1" w:styleId="WobBijlageLedenArtikel11">
    <w:name w:val="Wob_Bijlage_Leden_Artikel_11"/>
    <w:basedOn w:val="Normal"/>
    <w:next w:val="Normal"/>
    <w:pPr>
      <w:spacing w:line="240" w:lineRule="exact"/>
    </w:pPr>
  </w:style>
  <w:style w:type="paragraph" w:customStyle="1" w:styleId="WobBijlageLedenArtikel3">
    <w:name w:val="Wob_Bijlage_Leden_Artikel_3"/>
    <w:basedOn w:val="Normal"/>
    <w:next w:val="Normal"/>
    <w:pPr>
      <w:spacing w:line="240" w:lineRule="exact"/>
    </w:pPr>
  </w:style>
  <w:style w:type="paragraph" w:customStyle="1" w:styleId="WobBijlageLedenArtikel6">
    <w:name w:val="Wob_Bijlage_Leden_Artikel_6"/>
    <w:basedOn w:val="Normal"/>
    <w:next w:val="Normal"/>
    <w:pPr>
      <w:spacing w:line="240" w:lineRule="exact"/>
    </w:pPr>
  </w:style>
  <w:style w:type="paragraph" w:customStyle="1" w:styleId="WobBijlageLedenArtikel7">
    <w:name w:val="Wob_Bijlage_Leden_Artikel_7"/>
    <w:basedOn w:val="Normal"/>
    <w:next w:val="Normal"/>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styleId="Header">
    <w:name w:val="header"/>
    <w:basedOn w:val="Normal"/>
    <w:link w:val="KoptekstChar"/>
    <w:uiPriority w:val="99"/>
    <w:unhideWhenUsed/>
    <w:rsid w:val="006672DD"/>
    <w:pPr>
      <w:tabs>
        <w:tab w:val="center" w:pos="4536"/>
        <w:tab w:val="right" w:pos="9072"/>
      </w:tabs>
      <w:spacing w:line="240" w:lineRule="auto"/>
    </w:pPr>
  </w:style>
  <w:style w:type="character" w:customStyle="1" w:styleId="KoptekstChar">
    <w:name w:val="Koptekst Char"/>
    <w:basedOn w:val="DefaultParagraphFont"/>
    <w:link w:val="Header"/>
    <w:uiPriority w:val="99"/>
    <w:rsid w:val="006672DD"/>
    <w:rPr>
      <w:rFonts w:ascii="Verdana" w:hAnsi="Verdana"/>
      <w:color w:val="000000"/>
      <w:sz w:val="18"/>
      <w:szCs w:val="18"/>
    </w:rPr>
  </w:style>
  <w:style w:type="paragraph" w:styleId="Footer">
    <w:name w:val="footer"/>
    <w:basedOn w:val="Normal"/>
    <w:link w:val="VoettekstChar"/>
    <w:uiPriority w:val="99"/>
    <w:unhideWhenUsed/>
    <w:rsid w:val="006672DD"/>
    <w:pPr>
      <w:tabs>
        <w:tab w:val="center" w:pos="4536"/>
        <w:tab w:val="right" w:pos="9072"/>
      </w:tabs>
      <w:spacing w:line="240" w:lineRule="auto"/>
    </w:pPr>
  </w:style>
  <w:style w:type="character" w:customStyle="1" w:styleId="VoettekstChar">
    <w:name w:val="Voettekst Char"/>
    <w:basedOn w:val="DefaultParagraphFont"/>
    <w:link w:val="Footer"/>
    <w:uiPriority w:val="99"/>
    <w:rsid w:val="006672DD"/>
    <w:rPr>
      <w:rFonts w:ascii="Verdana" w:hAnsi="Verdana"/>
      <w:color w:val="000000"/>
      <w:sz w:val="18"/>
      <w:szCs w:val="18"/>
    </w:rPr>
  </w:style>
  <w:style w:type="paragraph" w:styleId="FootnoteText">
    <w:name w:val="footnote text"/>
    <w:aliases w:val="Voetnootteksta,Fodnotetekst Tegn Tegn Tegn Tegn Tegn Tegn Tegn Char Char,Fodnotetekst Tegn Tegn Tegn Tegn Tegn Tegn Tegn Char Char Char Char,Fodnotetekst Tegn Tegn Tegn Tegn Tegn Tegn Tegn,fn"/>
    <w:basedOn w:val="Normal"/>
    <w:link w:val="VoetnoottekstChar"/>
    <w:uiPriority w:val="99"/>
    <w:semiHidden/>
    <w:unhideWhenUsed/>
    <w:qFormat/>
    <w:rsid w:val="00494B6D"/>
    <w:pPr>
      <w:spacing w:line="240" w:lineRule="auto"/>
    </w:pPr>
    <w:rPr>
      <w:sz w:val="20"/>
      <w:szCs w:val="20"/>
    </w:rPr>
  </w:style>
  <w:style w:type="character" w:customStyle="1" w:styleId="VoetnoottekstChar">
    <w:name w:val="Voetnoottekst Char"/>
    <w:aliases w:val="Voetnootteksta Char,Fodnotetekst Tegn Tegn Tegn Tegn Tegn Tegn Tegn Char Char Char,Fodnotetekst Tegn Tegn Tegn Tegn Tegn Tegn Tegn Char Char Char Char Char,Fodnotetekst Tegn Tegn Tegn Tegn Tegn Tegn Tegn Char,fn Char"/>
    <w:basedOn w:val="DefaultParagraphFont"/>
    <w:link w:val="FootnoteText"/>
    <w:uiPriority w:val="99"/>
    <w:semiHidden/>
    <w:rsid w:val="00494B6D"/>
    <w:rPr>
      <w:rFonts w:ascii="Verdana" w:hAnsi="Verdana"/>
      <w:color w:val="000000"/>
    </w:rPr>
  </w:style>
  <w:style w:type="character" w:styleId="FootnoteReference">
    <w:name w:val="footnote reference"/>
    <w:basedOn w:val="DefaultParagraphFont"/>
    <w:uiPriority w:val="99"/>
    <w:semiHidden/>
    <w:unhideWhenUsed/>
    <w:rsid w:val="00494B6D"/>
    <w:rPr>
      <w:vertAlign w:val="superscript"/>
    </w:rPr>
  </w:style>
  <w:style w:type="paragraph" w:styleId="ListParagraph">
    <w:name w:val="List Paragraph"/>
    <w:basedOn w:val="Normal"/>
    <w:uiPriority w:val="34"/>
    <w:qFormat/>
    <w:rsid w:val="004473DB"/>
    <w:pPr>
      <w:ind w:left="720"/>
      <w:contextualSpacing/>
    </w:pPr>
  </w:style>
  <w:style w:type="character" w:styleId="CommentReference">
    <w:name w:val="annotation reference"/>
    <w:basedOn w:val="DefaultParagraphFont"/>
    <w:uiPriority w:val="99"/>
    <w:semiHidden/>
    <w:unhideWhenUsed/>
    <w:rsid w:val="000A1CE5"/>
    <w:rPr>
      <w:sz w:val="16"/>
      <w:szCs w:val="16"/>
    </w:rPr>
  </w:style>
  <w:style w:type="paragraph" w:styleId="CommentText">
    <w:name w:val="annotation text"/>
    <w:basedOn w:val="Normal"/>
    <w:link w:val="TekstopmerkingChar"/>
    <w:uiPriority w:val="99"/>
    <w:unhideWhenUsed/>
    <w:rsid w:val="000A1CE5"/>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TekstopmerkingChar">
    <w:name w:val="Tekst opmerking Char"/>
    <w:basedOn w:val="DefaultParagraphFont"/>
    <w:link w:val="CommentText"/>
    <w:uiPriority w:val="99"/>
    <w:rsid w:val="000A1CE5"/>
    <w:rPr>
      <w:rFonts w:asciiTheme="minorHAnsi" w:eastAsiaTheme="minorHAnsi" w:hAnsiTheme="minorHAnsi" w:cstheme="minorBidi"/>
      <w:lang w:eastAsia="en-US"/>
    </w:rPr>
  </w:style>
  <w:style w:type="paragraph" w:styleId="BalloonText">
    <w:name w:val="Balloon Text"/>
    <w:basedOn w:val="Normal"/>
    <w:link w:val="BallontekstChar"/>
    <w:uiPriority w:val="99"/>
    <w:semiHidden/>
    <w:unhideWhenUsed/>
    <w:rsid w:val="000A1CE5"/>
    <w:pPr>
      <w:spacing w:line="240" w:lineRule="auto"/>
    </w:pPr>
    <w:rPr>
      <w:rFonts w:ascii="Segoe UI" w:hAnsi="Segoe UI" w:cs="Segoe UI"/>
    </w:rPr>
  </w:style>
  <w:style w:type="character" w:customStyle="1" w:styleId="BallontekstChar">
    <w:name w:val="Ballontekst Char"/>
    <w:basedOn w:val="DefaultParagraphFont"/>
    <w:link w:val="BalloonText"/>
    <w:uiPriority w:val="99"/>
    <w:semiHidden/>
    <w:rsid w:val="000A1CE5"/>
    <w:rPr>
      <w:rFonts w:ascii="Segoe UI" w:hAnsi="Segoe UI" w:cs="Segoe UI"/>
      <w:color w:val="000000"/>
      <w:sz w:val="18"/>
      <w:szCs w:val="18"/>
    </w:rPr>
  </w:style>
  <w:style w:type="paragraph" w:styleId="CommentSubject">
    <w:name w:val="annotation subject"/>
    <w:basedOn w:val="CommentText"/>
    <w:next w:val="CommentText"/>
    <w:link w:val="OnderwerpvanopmerkingChar"/>
    <w:uiPriority w:val="99"/>
    <w:semiHidden/>
    <w:unhideWhenUsed/>
    <w:rsid w:val="00287F6C"/>
    <w:pPr>
      <w:autoSpaceDN w:val="0"/>
      <w:spacing w:after="0"/>
      <w:textAlignment w:val="baseline"/>
    </w:pPr>
    <w:rPr>
      <w:rFonts w:ascii="Verdana" w:eastAsia="DejaVu Sans" w:hAnsi="Verdana" w:cs="Lohit Hindi"/>
      <w:b/>
      <w:bCs/>
      <w:color w:val="000000"/>
      <w:lang w:eastAsia="nl-NL"/>
    </w:rPr>
  </w:style>
  <w:style w:type="character" w:customStyle="1" w:styleId="OnderwerpvanopmerkingChar">
    <w:name w:val="Onderwerp van opmerking Char"/>
    <w:basedOn w:val="TekstopmerkingChar"/>
    <w:link w:val="CommentSubject"/>
    <w:uiPriority w:val="99"/>
    <w:semiHidden/>
    <w:rsid w:val="00287F6C"/>
    <w:rPr>
      <w:rFonts w:ascii="Verdana" w:hAnsi="Verdana" w:eastAsiaTheme="minorHAnsi" w:cstheme="minorBidi"/>
      <w:b/>
      <w:bCs/>
      <w:color w:val="000000"/>
      <w:lang w:eastAsia="en-US"/>
    </w:rPr>
  </w:style>
  <w:style w:type="character" w:styleId="Hyperlink">
    <w:name w:val="Hyperlink"/>
    <w:basedOn w:val="DefaultParagraphFont"/>
    <w:uiPriority w:val="99"/>
    <w:unhideWhenUsed/>
    <w:rsid w:val="009024A1"/>
    <w:rPr>
      <w:color w:val="0563C1" w:themeColor="hyperlink"/>
      <w:u w:val="single"/>
    </w:rPr>
  </w:style>
  <w:style w:type="paragraph" w:styleId="Revision">
    <w:name w:val="Revision"/>
    <w:hidden/>
    <w:uiPriority w:val="99"/>
    <w:semiHidden/>
    <w:rsid w:val="00823315"/>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oter" Target="footer3.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5" /><Relationship Type="http://schemas.openxmlformats.org/officeDocument/2006/relationships/header" Target="header2.xml" Id="rId6" /><Relationship Type="http://schemas.openxmlformats.org/officeDocument/2006/relationships/footer" Target="footer1.xml" Id="rId7" /><Relationship Type="http://schemas.openxmlformats.org/officeDocument/2006/relationships/footer" Target="footer2.xml" Id="rId8" /><Relationship Type="http://schemas.openxmlformats.org/officeDocument/2006/relationships/header" Target="header3.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1150</ap:Words>
  <ap:Characters>6331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2026-03-11T15:52:00.0000000Z</lastPrinted>
  <dcterms:created xsi:type="dcterms:W3CDTF">2026-04-16T08:55:00.0000000Z</dcterms:created>
  <dcterms:modified xsi:type="dcterms:W3CDTF">2026-05-08T09:19:00.0000000Z</dcterms:modified>
  <dc:creator/>
  <lastModifiedBy/>
  <dc:description>------------------------</dc:description>
  <dc:subject/>
  <dc:title/>
  <keywords/>
  <version/>
  <category/>
</coreProperties>
</file>