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2026Z09587</w:t>
        <w:br/>
      </w:r>
      <w:proofErr w:type="spellEnd"/>
    </w:p>
    <w:p>
      <w:pPr>
        <w:pStyle w:val="Normal"/>
        <w:rPr>
          <w:b w:val="1"/>
          <w:bCs w:val="1"/>
        </w:rPr>
      </w:pPr>
      <w:r w:rsidR="250AE766">
        <w:rPr>
          <w:b w:val="0"/>
          <w:bCs w:val="0"/>
        </w:rPr>
        <w:t>(ingezonden 12 mei 2026)</w:t>
        <w:br/>
      </w:r>
    </w:p>
    <w:p>
      <w:r>
        <w:t xml:space="preserve">Vragen van het lid Piri (GroenLinks-PvdA) aan de minister van Buitenlandse Zaken over visa voor Russische staatsburgers</w:t>
      </w:r>
      <w:r>
        <w:br/>
      </w:r>
    </w:p>
    <w:p>
      <w:pPr>
        <w:pStyle w:val="ListParagraph"/>
        <w:numPr>
          <w:ilvl w:val="0"/>
          <w:numId w:val="100506820"/>
        </w:numPr>
        <w:ind w:left="360"/>
      </w:pPr>
      <w:r>
        <w:t xml:space="preserve">Bent u bekend met het bericht “IND vernedert Buitenlandse Zaken” in de NRC, d.d. 29 april 2026?[1]</w:t>
      </w:r>
      <w:r>
        <w:br/>
      </w:r>
    </w:p>
    <w:p>
      <w:pPr>
        <w:pStyle w:val="ListParagraph"/>
        <w:numPr>
          <w:ilvl w:val="0"/>
          <w:numId w:val="100506820"/>
        </w:numPr>
        <w:ind w:left="360"/>
      </w:pPr>
      <w:r>
        <w:t xml:space="preserve">Klopt het dat Nederland in 2025 aan duizenden Russische zeelieden visa heeft verstrekt? Hoeveel daarvan zijn werkzaam op de Russische schaduwvloot? Hoeveel daarvan zijn werkzaam op schepen die Russische ruwe grondstoffen vervoeren, zoals het schip Sergey Bodrov, dat met de export van nikkel een belangrijke bijdrage levert aan de Russische oorlogskas?</w:t>
      </w:r>
      <w:r>
        <w:br/>
      </w:r>
    </w:p>
    <w:p>
      <w:pPr>
        <w:pStyle w:val="ListParagraph"/>
        <w:numPr>
          <w:ilvl w:val="0"/>
          <w:numId w:val="100506820"/>
        </w:numPr>
        <w:ind w:left="360"/>
      </w:pPr>
      <w:r>
        <w:t xml:space="preserve">Hoe rechtvaardigt u dat Russische zeelieden dankzij de visumverlening van Nederland activiteiten kunnen ontplooien die de Russische staatskas spekken, terwijl onafhankelijke Russische journalisten, fotografen en kunstenaars zonder “vestigingsgevaar” de toegang tot Nederland wordt geweigerd?</w:t>
      </w:r>
      <w:r>
        <w:br/>
      </w:r>
    </w:p>
    <w:p>
      <w:pPr>
        <w:pStyle w:val="ListParagraph"/>
        <w:numPr>
          <w:ilvl w:val="0"/>
          <w:numId w:val="100506820"/>
        </w:numPr>
        <w:ind w:left="360"/>
      </w:pPr>
      <w:r>
        <w:t xml:space="preserve">Bent u bekend met de motie Dobbe c.s. (Kamerstuk 32623-346) over het verschaffen van een veilige multi-entry toegang voor mensenrechtenactivisten en journalisten voor het geval zij gevaar lopen in Syrië, die destijds van minister Veldkamp de appreciatie 'oordeel Kamer' kreeg en met een brede meerderheid door de Tweede Kamer is aangenomen?</w:t>
      </w:r>
      <w:r>
        <w:br/>
      </w:r>
    </w:p>
    <w:p>
      <w:pPr>
        <w:pStyle w:val="ListParagraph"/>
        <w:numPr>
          <w:ilvl w:val="0"/>
          <w:numId w:val="100506820"/>
        </w:numPr>
        <w:ind w:left="360"/>
      </w:pPr>
      <w:r>
        <w:t xml:space="preserve">Bent u bereid om, in de geest van deze motie, Russische mensenrechtenactivisten, journalisten en kunstenaars een multi-entry visum te verschaffen? Zo nee, waarom niet?</w:t>
      </w:r>
      <w:r>
        <w:br/>
      </w:r>
    </w:p>
    <w:p>
      <w:pPr>
        <w:pStyle w:val="ListParagraph"/>
        <w:numPr>
          <w:ilvl w:val="0"/>
          <w:numId w:val="100506820"/>
        </w:numPr>
        <w:ind w:left="360"/>
      </w:pPr>
      <w:r>
        <w:t xml:space="preserve">Waarom begint de bezwaartermijn bij een visumbesluit al voordat de aanvrager zijn paspoort heeft opgehaald en te horen heeft gekregen waarom de aanvraag is afgewezen?</w:t>
      </w:r>
      <w:r>
        <w:br/>
      </w:r>
    </w:p>
    <w:p>
      <w:pPr>
        <w:pStyle w:val="ListParagraph"/>
        <w:numPr>
          <w:ilvl w:val="0"/>
          <w:numId w:val="100506820"/>
        </w:numPr>
        <w:ind w:left="360"/>
      </w:pPr>
      <w:r>
        <w:t xml:space="preserve">Vindt u niet dat het rechtvaardig zou zijn om, wanneer het voor de aanvrager praktisch onmogelijk is om binnen vier weken na het visumbesluit zijn paspoort op te halen, de bezwaartermijn pas na ophalen van het paspoort te laten aanvangen? Zo nee, waarom niet?</w:t>
      </w:r>
      <w:r>
        <w:br/>
      </w:r>
    </w:p>
    <w:p>
      <w:r>
        <w:t xml:space="preserve">[1] NRC. (2026, 29 april). </w:t>
      </w:r>
      <w:r>
        <w:rPr>
          <w:i w:val="1"/>
          <w:iCs w:val="1"/>
        </w:rPr>
        <w:t xml:space="preserve">IND vernedert Buitenlandse Zaken</w:t>
      </w:r>
      <w:r>
        <w:rPr/>
        <w:t xml:space="preserve">. https://www.nrc.nl/nieuws/2026/04/29/ind-vernedert-buitenlandse-zaken-a4926586.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