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575" w:rsidR="00B45575" w:rsidP="00B45575" w:rsidRDefault="00AC70F1" w14:paraId="0663C2C4" w14:textId="77D5CCF8">
      <w:pPr>
        <w:ind w:left="1410" w:hanging="1410"/>
        <w:rPr>
          <w:rFonts w:ascii="Calibri" w:hAnsi="Calibri" w:cs="Calibri"/>
          <w:sz w:val="22"/>
          <w:szCs w:val="22"/>
        </w:rPr>
      </w:pPr>
      <w:r w:rsidRPr="00B45575">
        <w:rPr>
          <w:rFonts w:ascii="Calibri" w:hAnsi="Calibri" w:cs="Calibri"/>
          <w:sz w:val="22"/>
          <w:szCs w:val="22"/>
        </w:rPr>
        <w:t>36</w:t>
      </w:r>
      <w:r w:rsidRPr="00B45575" w:rsidR="00B45575">
        <w:rPr>
          <w:rFonts w:ascii="Calibri" w:hAnsi="Calibri" w:cs="Calibri"/>
          <w:sz w:val="22"/>
          <w:szCs w:val="22"/>
        </w:rPr>
        <w:t xml:space="preserve"> </w:t>
      </w:r>
      <w:r w:rsidRPr="00B45575">
        <w:rPr>
          <w:rFonts w:ascii="Calibri" w:hAnsi="Calibri" w:cs="Calibri"/>
          <w:sz w:val="22"/>
          <w:szCs w:val="22"/>
        </w:rPr>
        <w:t>530</w:t>
      </w:r>
      <w:r w:rsidRPr="00B45575" w:rsidR="00B45575">
        <w:rPr>
          <w:rFonts w:ascii="Calibri" w:hAnsi="Calibri" w:cs="Calibri"/>
          <w:sz w:val="22"/>
          <w:szCs w:val="22"/>
        </w:rPr>
        <w:tab/>
      </w:r>
      <w:r w:rsidRPr="00B45575" w:rsidR="00B45575">
        <w:rPr>
          <w:rFonts w:ascii="Calibri" w:hAnsi="Calibri" w:cs="Calibri"/>
          <w:sz w:val="22"/>
          <w:szCs w:val="22"/>
        </w:rPr>
        <w:tab/>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Pr="00B45575" w:rsidR="00B45575" w:rsidP="00B45575" w:rsidRDefault="00B45575" w14:paraId="7368DB26" w14:textId="77777777">
      <w:pPr>
        <w:ind w:left="1410" w:hanging="1410"/>
        <w:rPr>
          <w:rFonts w:ascii="Calibri" w:hAnsi="Calibri" w:cs="Calibri"/>
          <w:sz w:val="22"/>
          <w:szCs w:val="22"/>
        </w:rPr>
      </w:pPr>
      <w:r w:rsidRPr="00B45575">
        <w:rPr>
          <w:rFonts w:ascii="Calibri" w:hAnsi="Calibri" w:cs="Calibri"/>
          <w:sz w:val="22"/>
          <w:szCs w:val="22"/>
        </w:rPr>
        <w:t xml:space="preserve">Nr. </w:t>
      </w:r>
      <w:r w:rsidRPr="00B45575" w:rsidR="00AC70F1">
        <w:rPr>
          <w:rFonts w:ascii="Calibri" w:hAnsi="Calibri" w:cs="Calibri"/>
          <w:sz w:val="22"/>
          <w:szCs w:val="22"/>
        </w:rPr>
        <w:t>37</w:t>
      </w:r>
      <w:r w:rsidRPr="00B45575">
        <w:rPr>
          <w:rFonts w:ascii="Calibri" w:hAnsi="Calibri" w:cs="Calibri"/>
          <w:sz w:val="22"/>
          <w:szCs w:val="22"/>
        </w:rPr>
        <w:tab/>
      </w:r>
      <w:r w:rsidRPr="00B45575">
        <w:rPr>
          <w:rFonts w:ascii="Calibri" w:hAnsi="Calibri" w:cs="Calibri"/>
          <w:sz w:val="22"/>
          <w:szCs w:val="22"/>
        </w:rPr>
        <w:tab/>
        <w:t>Brief van de staatssecretaris van Onderwijs, Cultuur en Wetenschap</w:t>
      </w:r>
    </w:p>
    <w:p w:rsidRPr="00B45575" w:rsidR="00B45575" w:rsidP="00B45575" w:rsidRDefault="00B45575" w14:paraId="01AD6127" w14:textId="788454DA">
      <w:pPr>
        <w:spacing w:line="240" w:lineRule="auto"/>
        <w:rPr>
          <w:rFonts w:ascii="Calibri" w:hAnsi="Calibri" w:cs="Calibri"/>
          <w:sz w:val="22"/>
          <w:szCs w:val="22"/>
        </w:rPr>
      </w:pPr>
      <w:r w:rsidRPr="00B45575">
        <w:rPr>
          <w:rFonts w:ascii="Calibri" w:hAnsi="Calibri" w:cs="Calibri"/>
          <w:sz w:val="22"/>
          <w:szCs w:val="22"/>
        </w:rPr>
        <w:t>Aan de Voorzitter van de Tweede Kamer der Staten-Generaal</w:t>
      </w:r>
    </w:p>
    <w:p w:rsidRPr="00B45575" w:rsidR="00AC70F1" w:rsidP="00B45575" w:rsidRDefault="00B45575" w14:paraId="32C4A5DA" w14:textId="64AF157A">
      <w:pPr>
        <w:spacing w:line="240" w:lineRule="auto"/>
        <w:rPr>
          <w:rFonts w:ascii="Calibri" w:hAnsi="Calibri" w:cs="Calibri"/>
          <w:sz w:val="22"/>
          <w:szCs w:val="22"/>
        </w:rPr>
      </w:pPr>
      <w:r w:rsidRPr="00B45575">
        <w:rPr>
          <w:rFonts w:ascii="Calibri" w:hAnsi="Calibri" w:cs="Calibri"/>
          <w:sz w:val="22"/>
          <w:szCs w:val="22"/>
        </w:rPr>
        <w:t xml:space="preserve">Den Haag, 29 mei 2026 </w:t>
      </w:r>
      <w:r w:rsidRPr="00B45575" w:rsidR="00AC70F1">
        <w:rPr>
          <w:rFonts w:ascii="Calibri" w:hAnsi="Calibri" w:cs="Calibri"/>
          <w:sz w:val="22"/>
          <w:szCs w:val="22"/>
        </w:rPr>
        <w:br/>
      </w:r>
      <w:r w:rsidRPr="00B45575" w:rsidR="00AC70F1">
        <w:rPr>
          <w:rFonts w:ascii="Calibri" w:hAnsi="Calibri" w:cs="Calibri"/>
          <w:sz w:val="22"/>
          <w:szCs w:val="22"/>
        </w:rPr>
        <w:br/>
        <w:t xml:space="preserve">Met deze brief maak ik aan uw Kamer het voornemen bekend tot oprichting van stichting Ziezon. Deze stichting krijgt de wettelijke taak tot ondersteuning van scholen met zieke leerlingen. Deze voorhangprocedure is conform artikel 4.7, eerste lid, onderdeel a, van de Comptabiliteitswet 2016 en het Kader voor stichtingen en verenigingen. Indien ten minste een vijfde van de leden van uw Kamer binnen de termijn nadere inlichtingen vraagt, wordt de akte van oprichting niet eerder gepasseerd dan veertien dagen nadat de inlichtingen zijn verstrekt. </w:t>
      </w:r>
    </w:p>
    <w:p w:rsidRPr="00B45575" w:rsidR="00AC70F1" w:rsidP="00AC70F1" w:rsidRDefault="00AC70F1" w14:paraId="3D1B6AA5" w14:textId="77777777">
      <w:pPr>
        <w:spacing w:after="0"/>
        <w:rPr>
          <w:rFonts w:ascii="Calibri" w:hAnsi="Calibri" w:cs="Calibri"/>
          <w:sz w:val="22"/>
          <w:szCs w:val="22"/>
        </w:rPr>
      </w:pPr>
    </w:p>
    <w:p w:rsidRPr="00B45575" w:rsidR="00AC70F1" w:rsidP="00AC70F1" w:rsidRDefault="00AC70F1" w14:paraId="5FD71C99" w14:textId="77777777">
      <w:pPr>
        <w:spacing w:after="0"/>
        <w:rPr>
          <w:rFonts w:ascii="Calibri" w:hAnsi="Calibri" w:cs="Calibri"/>
          <w:sz w:val="22"/>
          <w:szCs w:val="22"/>
        </w:rPr>
      </w:pPr>
      <w:r w:rsidRPr="00B45575">
        <w:rPr>
          <w:rFonts w:ascii="Calibri" w:hAnsi="Calibri" w:cs="Calibri"/>
          <w:sz w:val="22"/>
          <w:szCs w:val="22"/>
        </w:rPr>
        <w:t xml:space="preserve">Aanleiding voor oprichting van stichting Ziezon is de Wet onderwijsondersteuning zieke leerlingen, waarmee de Eerste Kamer op 12 mei heeft ingestemd. Deze wet regelt dat de ondersteuning aan scholen met zieke leerlingen via één nieuwe landelijke stichting wordt georganiseerd. Dit vervangt de huidige situatie, waarin ozl binnen 18 verschillende organisaties is belegd. Stichting Ziezon krijgt de wettelijke taak om scholen en mbo-instellingen te ondersteunen bij het onderwijs aan leerlingen die door fysieke klachten (tijdelijk) niet naar school kunnen. </w:t>
      </w:r>
    </w:p>
    <w:p w:rsidRPr="00B45575" w:rsidR="00AC70F1" w:rsidP="00AC70F1" w:rsidRDefault="00AC70F1" w14:paraId="1EEA829D" w14:textId="77777777">
      <w:pPr>
        <w:spacing w:after="0"/>
        <w:rPr>
          <w:rFonts w:ascii="Calibri" w:hAnsi="Calibri" w:cs="Calibri"/>
          <w:sz w:val="22"/>
          <w:szCs w:val="22"/>
        </w:rPr>
      </w:pPr>
    </w:p>
    <w:p w:rsidRPr="00B45575" w:rsidR="00AC70F1" w:rsidP="00AC70F1" w:rsidRDefault="00AC70F1" w14:paraId="25A1843F" w14:textId="77777777">
      <w:pPr>
        <w:spacing w:after="0"/>
        <w:rPr>
          <w:rFonts w:ascii="Calibri" w:hAnsi="Calibri" w:cs="Calibri"/>
          <w:i/>
          <w:iCs/>
          <w:sz w:val="22"/>
          <w:szCs w:val="22"/>
        </w:rPr>
      </w:pPr>
      <w:r w:rsidRPr="00B45575">
        <w:rPr>
          <w:rFonts w:ascii="Calibri" w:hAnsi="Calibri" w:cs="Calibri"/>
          <w:i/>
          <w:iCs/>
          <w:sz w:val="22"/>
          <w:szCs w:val="22"/>
        </w:rPr>
        <w:t>Advies Ministerie van Financiën</w:t>
      </w:r>
    </w:p>
    <w:p w:rsidRPr="00B45575" w:rsidR="00AC70F1" w:rsidP="00AC70F1" w:rsidRDefault="00AC70F1" w14:paraId="405B3C1B" w14:textId="77777777">
      <w:pPr>
        <w:spacing w:after="0"/>
        <w:rPr>
          <w:rFonts w:ascii="Calibri" w:hAnsi="Calibri" w:cs="Calibri"/>
          <w:sz w:val="22"/>
          <w:szCs w:val="22"/>
        </w:rPr>
      </w:pPr>
      <w:r w:rsidRPr="00B45575">
        <w:rPr>
          <w:rFonts w:ascii="Calibri" w:hAnsi="Calibri" w:cs="Calibri"/>
          <w:sz w:val="22"/>
          <w:szCs w:val="22"/>
        </w:rPr>
        <w:t xml:space="preserve">Het Ministerie van Financiën heeft conform het stichtingenkader een toetsing uitgevoerd en een positief advies gegeven over het inrichten van een stichting. Hierbij is het voorbehoud gemaakt dat de tekst over ontwikkeling van (landelijk uitvoerings-)beleid, zowel in de concept-statuten als de concept-wettekst zou worden aangepast. Dit is in de concept-statuten (artikel 3 lid 2a), de memorie van toelichting (2.6.1.) en de wetstekst (artikel 3a, lid 1a) gebeurd. Het Ministerie van Financiën heeft ook twee aandachtspunten in haar advies opgenomen: </w:t>
      </w:r>
    </w:p>
    <w:p w:rsidRPr="00B45575" w:rsidR="00AC70F1" w:rsidP="00AC70F1" w:rsidRDefault="00AC70F1" w14:paraId="071D9BC6" w14:textId="77777777">
      <w:pPr>
        <w:spacing w:after="0"/>
        <w:rPr>
          <w:rFonts w:ascii="Calibri" w:hAnsi="Calibri" w:cs="Calibri"/>
          <w:sz w:val="22"/>
          <w:szCs w:val="22"/>
        </w:rPr>
      </w:pPr>
    </w:p>
    <w:p w:rsidRPr="00B45575" w:rsidR="00AC70F1" w:rsidP="00AC70F1" w:rsidRDefault="00AC70F1" w14:paraId="15EDA4BE" w14:textId="77777777">
      <w:pPr>
        <w:spacing w:after="0"/>
        <w:ind w:left="426"/>
        <w:rPr>
          <w:rFonts w:ascii="Calibri" w:hAnsi="Calibri" w:cs="Calibri"/>
          <w:sz w:val="22"/>
          <w:szCs w:val="22"/>
        </w:rPr>
      </w:pPr>
      <w:r w:rsidRPr="00B45575">
        <w:rPr>
          <w:rFonts w:ascii="Calibri" w:hAnsi="Calibri" w:cs="Calibri"/>
          <w:sz w:val="22"/>
          <w:szCs w:val="22"/>
        </w:rPr>
        <w:t xml:space="preserve">1. De vraag of de subsidiestromen na de herstructurering, daadwerkelijk efficiënter gaan worden. Bij de wetsbehandeling is hierop ingegaan; de efficiëntiewinst ligt in het gegeven dat er als gevolg van de nieuwe wet in plaats van 18 afzonderlijke subsidiestromen vanuit OCW (naar 8 ziekenhuizen, 9 onderwijsadviesbureaus (oab’s) en een koepel van de oab’s) er straks één </w:t>
      </w:r>
      <w:r w:rsidRPr="00B45575">
        <w:rPr>
          <w:rFonts w:ascii="Calibri" w:hAnsi="Calibri" w:cs="Calibri"/>
          <w:sz w:val="22"/>
          <w:szCs w:val="22"/>
        </w:rPr>
        <w:lastRenderedPageBreak/>
        <w:t>subsidiestroom is (naar stichting Ziezon). De regering investeert in de voorziening ozl en verhoogt het budget voor ozl; er is dus geen sprake van een besparing.</w:t>
      </w:r>
    </w:p>
    <w:p w:rsidRPr="00B45575" w:rsidR="00AC70F1" w:rsidP="00AC70F1" w:rsidRDefault="00AC70F1" w14:paraId="58D5CE23" w14:textId="77777777">
      <w:pPr>
        <w:spacing w:after="0"/>
        <w:rPr>
          <w:rFonts w:ascii="Calibri" w:hAnsi="Calibri" w:cs="Calibri"/>
          <w:sz w:val="22"/>
          <w:szCs w:val="22"/>
        </w:rPr>
      </w:pPr>
    </w:p>
    <w:p w:rsidRPr="00B45575" w:rsidR="00AC70F1" w:rsidP="00AC70F1" w:rsidRDefault="00AC70F1" w14:paraId="1D51E8A3" w14:textId="77777777">
      <w:pPr>
        <w:spacing w:after="0"/>
        <w:ind w:left="426"/>
        <w:rPr>
          <w:rFonts w:ascii="Calibri" w:hAnsi="Calibri" w:cs="Calibri"/>
          <w:sz w:val="22"/>
          <w:szCs w:val="22"/>
        </w:rPr>
      </w:pPr>
      <w:r w:rsidRPr="00B45575">
        <w:rPr>
          <w:rFonts w:ascii="Calibri" w:hAnsi="Calibri" w:cs="Calibri"/>
          <w:sz w:val="22"/>
          <w:szCs w:val="22"/>
        </w:rPr>
        <w:t xml:space="preserve">2. Het advies om in de statuten op te nemen hoe de verdeling van de functies binnen de raad van toezicht is. Dit advies is niet overgenomen. De reden hiervoor is dat het gewenst is om bij benoeming van een nieuw lid van de raad van toezicht het profiel optimaal af te stemmen op wat de raad van toezicht op dat moment daadwerkelijk versterkt. In de statuten is daarom in artikel 12 opgenomen dat de raad van toezicht een algemeen profiel opstelt voor zijn samenstelling naar ten minste deskundigheden, vaardigheden en diversiteit en dat voor iedere vacature een specifiek profiel op wordt gesteld. Tevens is in de statuten vastgelegd dat bij het ontstaan van een vacature het algemeen profiel van de raad van toezicht als geheel wordt bekeken en dat de raad van toezicht nagaat of de algemene dan wel specifieke profielschets nadere uitwerking en/of aanpassing behoeft. </w:t>
      </w:r>
    </w:p>
    <w:p w:rsidRPr="00B45575" w:rsidR="00AC70F1" w:rsidP="00AC70F1" w:rsidRDefault="00AC70F1" w14:paraId="6A567979" w14:textId="77777777">
      <w:pPr>
        <w:spacing w:after="0"/>
        <w:rPr>
          <w:rFonts w:ascii="Calibri" w:hAnsi="Calibri" w:cs="Calibri"/>
          <w:sz w:val="22"/>
          <w:szCs w:val="22"/>
        </w:rPr>
      </w:pPr>
    </w:p>
    <w:p w:rsidRPr="00B45575" w:rsidR="00AC70F1" w:rsidP="00AC70F1" w:rsidRDefault="00AC70F1" w14:paraId="127F0302" w14:textId="77777777">
      <w:pPr>
        <w:spacing w:after="0"/>
        <w:rPr>
          <w:rFonts w:ascii="Calibri" w:hAnsi="Calibri" w:cs="Calibri"/>
          <w:i/>
          <w:iCs/>
          <w:sz w:val="22"/>
          <w:szCs w:val="22"/>
        </w:rPr>
      </w:pPr>
      <w:r w:rsidRPr="00B45575">
        <w:rPr>
          <w:rFonts w:ascii="Calibri" w:hAnsi="Calibri" w:cs="Calibri"/>
          <w:i/>
          <w:iCs/>
          <w:sz w:val="22"/>
          <w:szCs w:val="22"/>
        </w:rPr>
        <w:t>Advies Algemene Rekenkamer</w:t>
      </w:r>
    </w:p>
    <w:p w:rsidRPr="00B45575" w:rsidR="00AC70F1" w:rsidP="00AC70F1" w:rsidRDefault="00AC70F1" w14:paraId="2DA3145B" w14:textId="77777777">
      <w:pPr>
        <w:spacing w:after="0"/>
        <w:rPr>
          <w:rFonts w:ascii="Calibri" w:hAnsi="Calibri" w:cs="Calibri"/>
          <w:sz w:val="22"/>
          <w:szCs w:val="22"/>
        </w:rPr>
      </w:pPr>
      <w:r w:rsidRPr="00B45575">
        <w:rPr>
          <w:rFonts w:ascii="Calibri" w:hAnsi="Calibri" w:cs="Calibri"/>
          <w:sz w:val="22"/>
          <w:szCs w:val="22"/>
        </w:rPr>
        <w:t xml:space="preserve">Tevens is formeel overleg gevoerd met de Algemene Rekenkamer (ARK) over de oprichting. Het advies van de ARK is instemmend. De ARK ziet geen lacunes in de sturingsmogelijkheden. Verder heeft de ARK benadrukt dat het aanwijzingsbesluit nadere bepalingen over toezicht en verantwoording moet bevatten, dat er een toezichtarrangement moet worden gecreëerd en dat de oprichting van de Stichting via een voorhangprocedure wordt voorgelegd. Deze punten zijn bekend en worden gerealiseerd. </w:t>
      </w:r>
    </w:p>
    <w:p w:rsidRPr="00B45575" w:rsidR="00AC70F1" w:rsidP="00AC70F1" w:rsidRDefault="00AC70F1" w14:paraId="6450BC7A" w14:textId="77777777">
      <w:pPr>
        <w:spacing w:after="0"/>
        <w:rPr>
          <w:rFonts w:ascii="Calibri" w:hAnsi="Calibri" w:cs="Calibri"/>
          <w:sz w:val="22"/>
          <w:szCs w:val="22"/>
        </w:rPr>
      </w:pPr>
    </w:p>
    <w:p w:rsidRPr="00B45575" w:rsidR="00AC70F1" w:rsidP="00AC70F1" w:rsidRDefault="00AC70F1" w14:paraId="085B70DC" w14:textId="77777777">
      <w:pPr>
        <w:spacing w:after="0"/>
        <w:rPr>
          <w:rFonts w:ascii="Calibri" w:hAnsi="Calibri" w:cs="Calibri"/>
          <w:sz w:val="22"/>
          <w:szCs w:val="22"/>
        </w:rPr>
      </w:pPr>
      <w:r w:rsidRPr="00B45575">
        <w:rPr>
          <w:rFonts w:ascii="Calibri" w:hAnsi="Calibri" w:cs="Calibri"/>
          <w:sz w:val="22"/>
          <w:szCs w:val="22"/>
        </w:rPr>
        <w:t xml:space="preserve">Bij deze brief zijn de conceptakte van statuten (bijlage 1), het advies van het Ministerie van Financiën (bijlage 2) en het advies van de Algemene Rekenkamer (bijlage 3) bijgevoegd. </w:t>
      </w:r>
    </w:p>
    <w:p w:rsidRPr="00B45575" w:rsidR="00AC70F1" w:rsidP="00AC70F1" w:rsidRDefault="00AC70F1" w14:paraId="370567E9" w14:textId="77777777">
      <w:pPr>
        <w:spacing w:after="0"/>
        <w:rPr>
          <w:rFonts w:ascii="Calibri" w:hAnsi="Calibri" w:cs="Calibri"/>
          <w:sz w:val="22"/>
          <w:szCs w:val="22"/>
        </w:rPr>
      </w:pPr>
    </w:p>
    <w:p w:rsidRPr="00B45575" w:rsidR="00AC70F1" w:rsidP="00AC70F1" w:rsidRDefault="00AC70F1" w14:paraId="65703421" w14:textId="77777777">
      <w:pPr>
        <w:spacing w:after="0" w:line="240" w:lineRule="auto"/>
        <w:rPr>
          <w:rFonts w:ascii="Calibri" w:hAnsi="Calibri" w:cs="Calibri"/>
          <w:sz w:val="22"/>
          <w:szCs w:val="22"/>
        </w:rPr>
      </w:pPr>
      <w:r w:rsidRPr="00B45575">
        <w:rPr>
          <w:rFonts w:ascii="Calibri" w:hAnsi="Calibri" w:cs="Calibri"/>
          <w:sz w:val="22"/>
          <w:szCs w:val="22"/>
        </w:rPr>
        <w:t>Een gelijkluidende brief heb ik heden gezonden aan de voorzitter van de Eerste Kamer der Staten-Generaal.</w:t>
      </w:r>
    </w:p>
    <w:p w:rsidRPr="00B45575" w:rsidR="00AC70F1" w:rsidP="00B45575" w:rsidRDefault="00AC70F1" w14:paraId="5C8A0674" w14:textId="155366F2">
      <w:pPr>
        <w:pStyle w:val="Geenafstand"/>
        <w:rPr>
          <w:rFonts w:ascii="Calibri" w:hAnsi="Calibri" w:cs="Calibri"/>
          <w:sz w:val="22"/>
          <w:szCs w:val="22"/>
        </w:rPr>
      </w:pPr>
    </w:p>
    <w:p w:rsidRPr="00B45575" w:rsidR="00B45575" w:rsidP="00B45575" w:rsidRDefault="00B45575" w14:paraId="6718F5B0" w14:textId="4F275A08">
      <w:pPr>
        <w:pStyle w:val="Geenafstand"/>
        <w:rPr>
          <w:rFonts w:ascii="Calibri" w:hAnsi="Calibri" w:cs="Calibri"/>
          <w:spacing w:val="-3"/>
          <w:sz w:val="22"/>
          <w:szCs w:val="22"/>
        </w:rPr>
      </w:pPr>
      <w:r w:rsidRPr="00B45575">
        <w:rPr>
          <w:rFonts w:ascii="Calibri" w:hAnsi="Calibri" w:cs="Calibri"/>
          <w:sz w:val="22"/>
          <w:szCs w:val="22"/>
        </w:rPr>
        <w:t>D</w:t>
      </w:r>
      <w:r w:rsidRPr="00B45575" w:rsidR="00AC70F1">
        <w:rPr>
          <w:rFonts w:ascii="Calibri" w:hAnsi="Calibri" w:cs="Calibri"/>
          <w:sz w:val="22"/>
          <w:szCs w:val="22"/>
        </w:rPr>
        <w:t xml:space="preserve">e staatssecretaris van </w:t>
      </w:r>
      <w:r w:rsidRPr="00B45575">
        <w:rPr>
          <w:rFonts w:ascii="Calibri" w:hAnsi="Calibri" w:cs="Calibri"/>
          <w:spacing w:val="-3"/>
          <w:sz w:val="22"/>
          <w:szCs w:val="22"/>
        </w:rPr>
        <w:t>Onderwijs, Cultuur en Wetenschap,</w:t>
      </w:r>
    </w:p>
    <w:p w:rsidRPr="00B45575" w:rsidR="00AC70F1" w:rsidP="00B45575" w:rsidRDefault="00AC70F1" w14:paraId="59512CD4" w14:textId="4AA5A13C">
      <w:pPr>
        <w:pStyle w:val="Geenafstand"/>
        <w:rPr>
          <w:rFonts w:ascii="Calibri" w:hAnsi="Calibri" w:cs="Calibri"/>
          <w:sz w:val="22"/>
          <w:szCs w:val="22"/>
        </w:rPr>
      </w:pPr>
      <w:r w:rsidRPr="00B45575">
        <w:rPr>
          <w:rFonts w:ascii="Calibri" w:hAnsi="Calibri" w:cs="Calibri"/>
          <w:sz w:val="22"/>
          <w:szCs w:val="22"/>
        </w:rPr>
        <w:t>J</w:t>
      </w:r>
      <w:r w:rsidRPr="00B45575" w:rsidR="00B45575">
        <w:rPr>
          <w:rFonts w:ascii="Calibri" w:hAnsi="Calibri" w:cs="Calibri"/>
          <w:sz w:val="22"/>
          <w:szCs w:val="22"/>
        </w:rPr>
        <w:t>.</w:t>
      </w:r>
      <w:r w:rsidRPr="00B45575">
        <w:rPr>
          <w:rFonts w:ascii="Calibri" w:hAnsi="Calibri" w:cs="Calibri"/>
          <w:sz w:val="22"/>
          <w:szCs w:val="22"/>
        </w:rPr>
        <w:t>Z.C.M. Tielen</w:t>
      </w:r>
    </w:p>
    <w:p w:rsidRPr="00B45575" w:rsidR="00AC70F1" w:rsidP="00B45575" w:rsidRDefault="00AC70F1" w14:paraId="1A31A7E5" w14:textId="77777777">
      <w:pPr>
        <w:pStyle w:val="Geenafstand"/>
        <w:rPr>
          <w:rFonts w:ascii="Calibri" w:hAnsi="Calibri" w:cs="Calibri"/>
          <w:sz w:val="22"/>
          <w:szCs w:val="22"/>
        </w:rPr>
      </w:pPr>
    </w:p>
    <w:p w:rsidR="004E5D09" w:rsidP="00AC70F1" w:rsidRDefault="00AC70F1" w14:paraId="3E7FDD3C" w14:textId="6B35E321">
      <w:pPr>
        <w:spacing w:after="0"/>
        <w:rPr>
          <w:rFonts w:ascii="Calibri" w:hAnsi="Calibri" w:cs="Calibri"/>
          <w:sz w:val="20"/>
          <w:szCs w:val="20"/>
        </w:rPr>
      </w:pPr>
      <w:r w:rsidRPr="00B45575">
        <w:rPr>
          <w:rFonts w:ascii="Calibri" w:hAnsi="Calibri" w:cs="Calibri"/>
          <w:sz w:val="20"/>
          <w:szCs w:val="20"/>
        </w:rPr>
        <w:t>Ter griffie van de Tweede Kamer der Staten-Generaal</w:t>
      </w:r>
      <w:r w:rsidRPr="00B45575" w:rsidR="00B45575">
        <w:rPr>
          <w:rFonts w:ascii="Calibri" w:hAnsi="Calibri" w:cs="Calibri"/>
          <w:sz w:val="20"/>
          <w:szCs w:val="20"/>
        </w:rPr>
        <w:br/>
      </w:r>
      <w:r w:rsidRPr="00B45575">
        <w:rPr>
          <w:rFonts w:ascii="Calibri" w:hAnsi="Calibri" w:cs="Calibri"/>
          <w:sz w:val="20"/>
          <w:szCs w:val="20"/>
        </w:rPr>
        <w:t>ontvangen op 29 mei 2026.</w:t>
      </w:r>
      <w:r w:rsidRPr="00B45575">
        <w:rPr>
          <w:rFonts w:ascii="Calibri" w:hAnsi="Calibri" w:cs="Calibri"/>
          <w:sz w:val="20"/>
          <w:szCs w:val="20"/>
        </w:rPr>
        <w:br/>
      </w:r>
      <w:r w:rsidRPr="00B45575">
        <w:rPr>
          <w:rFonts w:ascii="Calibri" w:hAnsi="Calibri" w:cs="Calibri"/>
          <w:sz w:val="20"/>
          <w:szCs w:val="20"/>
        </w:rPr>
        <w:br/>
        <w:t>De wens om over de voorgenomen voor dracht voor</w:t>
      </w:r>
      <w:r w:rsidRPr="00B45575" w:rsidR="00B45575">
        <w:rPr>
          <w:rFonts w:ascii="Calibri" w:hAnsi="Calibri" w:cs="Calibri"/>
          <w:sz w:val="20"/>
          <w:szCs w:val="20"/>
        </w:rPr>
        <w:br/>
      </w:r>
      <w:r w:rsidRPr="00B45575">
        <w:rPr>
          <w:rFonts w:ascii="Calibri" w:hAnsi="Calibri" w:cs="Calibri"/>
          <w:sz w:val="20"/>
          <w:szCs w:val="20"/>
        </w:rPr>
        <w:t>de vast te stellen ministeriële regeling nadere</w:t>
      </w:r>
      <w:r w:rsidRPr="00B45575" w:rsidR="00B45575">
        <w:rPr>
          <w:rFonts w:ascii="Calibri" w:hAnsi="Calibri" w:cs="Calibri"/>
          <w:sz w:val="20"/>
          <w:szCs w:val="20"/>
        </w:rPr>
        <w:br/>
      </w:r>
      <w:r w:rsidRPr="00B45575">
        <w:rPr>
          <w:rFonts w:ascii="Calibri" w:hAnsi="Calibri" w:cs="Calibri"/>
          <w:sz w:val="20"/>
          <w:szCs w:val="20"/>
        </w:rPr>
        <w:t>inlichtingen te ontvangen kan door of namens</w:t>
      </w:r>
      <w:r w:rsidRPr="00B45575" w:rsidR="00B45575">
        <w:rPr>
          <w:rFonts w:ascii="Calibri" w:hAnsi="Calibri" w:cs="Calibri"/>
          <w:sz w:val="20"/>
          <w:szCs w:val="20"/>
        </w:rPr>
        <w:br/>
      </w:r>
      <w:r w:rsidRPr="00B45575">
        <w:rPr>
          <w:rFonts w:ascii="Calibri" w:hAnsi="Calibri" w:cs="Calibri"/>
          <w:sz w:val="20"/>
          <w:szCs w:val="20"/>
        </w:rPr>
        <w:t>de Kamer of door ten minste dertig leden van de</w:t>
      </w:r>
      <w:r w:rsidRPr="00B45575" w:rsidR="00B45575">
        <w:rPr>
          <w:rFonts w:ascii="Calibri" w:hAnsi="Calibri" w:cs="Calibri"/>
          <w:sz w:val="20"/>
          <w:szCs w:val="20"/>
        </w:rPr>
        <w:br/>
      </w:r>
      <w:r w:rsidRPr="00B45575">
        <w:rPr>
          <w:rFonts w:ascii="Calibri" w:hAnsi="Calibri" w:cs="Calibri"/>
          <w:sz w:val="20"/>
          <w:szCs w:val="20"/>
        </w:rPr>
        <w:lastRenderedPageBreak/>
        <w:t>Kamer te kennen worden gegeven uiterlijk</w:t>
      </w:r>
      <w:r w:rsidRPr="00B45575" w:rsidR="00B45575">
        <w:rPr>
          <w:rFonts w:ascii="Calibri" w:hAnsi="Calibri" w:cs="Calibri"/>
          <w:sz w:val="20"/>
          <w:szCs w:val="20"/>
        </w:rPr>
        <w:br/>
      </w:r>
      <w:r w:rsidRPr="00B45575">
        <w:rPr>
          <w:rFonts w:ascii="Calibri" w:hAnsi="Calibri" w:cs="Calibri"/>
          <w:sz w:val="20"/>
          <w:szCs w:val="20"/>
        </w:rPr>
        <w:t>op 28 juni 2026.</w:t>
      </w:r>
      <w:r w:rsidRPr="00B45575">
        <w:rPr>
          <w:rFonts w:ascii="Calibri" w:hAnsi="Calibri" w:cs="Calibri"/>
          <w:sz w:val="20"/>
          <w:szCs w:val="20"/>
        </w:rPr>
        <w:br/>
      </w:r>
      <w:r w:rsidRPr="00B45575">
        <w:rPr>
          <w:rFonts w:ascii="Calibri" w:hAnsi="Calibri" w:cs="Calibri"/>
          <w:sz w:val="20"/>
          <w:szCs w:val="20"/>
        </w:rPr>
        <w:br/>
        <w:t>De voordracht voor de vast te stellen</w:t>
      </w:r>
      <w:r w:rsidRPr="00B45575" w:rsidR="00B45575">
        <w:rPr>
          <w:rFonts w:ascii="Calibri" w:hAnsi="Calibri" w:cs="Calibri"/>
          <w:sz w:val="20"/>
          <w:szCs w:val="20"/>
        </w:rPr>
        <w:br/>
      </w:r>
      <w:r w:rsidRPr="00B45575">
        <w:rPr>
          <w:rFonts w:ascii="Calibri" w:hAnsi="Calibri" w:cs="Calibri"/>
          <w:sz w:val="20"/>
          <w:szCs w:val="20"/>
        </w:rPr>
        <w:t>ministeriële regeling kan niet eerder worden</w:t>
      </w:r>
      <w:r w:rsidRPr="00B45575" w:rsidR="00B45575">
        <w:rPr>
          <w:rFonts w:ascii="Calibri" w:hAnsi="Calibri" w:cs="Calibri"/>
          <w:sz w:val="20"/>
          <w:szCs w:val="20"/>
        </w:rPr>
        <w:br/>
      </w:r>
      <w:r w:rsidRPr="00B45575">
        <w:rPr>
          <w:rFonts w:ascii="Calibri" w:hAnsi="Calibri" w:cs="Calibri"/>
          <w:sz w:val="20"/>
          <w:szCs w:val="20"/>
        </w:rPr>
        <w:t>gedaan dan op 29 juni 2026 dan wel binnen</w:t>
      </w:r>
      <w:r w:rsidRPr="00B45575" w:rsidR="00B45575">
        <w:rPr>
          <w:rFonts w:ascii="Calibri" w:hAnsi="Calibri" w:cs="Calibri"/>
          <w:sz w:val="20"/>
          <w:szCs w:val="20"/>
        </w:rPr>
        <w:br/>
      </w:r>
      <w:r w:rsidRPr="00B45575">
        <w:rPr>
          <w:rFonts w:ascii="Calibri" w:hAnsi="Calibri" w:cs="Calibri"/>
          <w:sz w:val="20"/>
          <w:szCs w:val="20"/>
        </w:rPr>
        <w:t>veertien dagen na het verstrekken van de in</w:t>
      </w:r>
      <w:r w:rsidRPr="00B45575" w:rsidR="00B45575">
        <w:rPr>
          <w:rFonts w:ascii="Calibri" w:hAnsi="Calibri" w:cs="Calibri"/>
          <w:sz w:val="20"/>
          <w:szCs w:val="20"/>
        </w:rPr>
        <w:br/>
      </w:r>
      <w:r w:rsidRPr="00B45575">
        <w:rPr>
          <w:rFonts w:ascii="Calibri" w:hAnsi="Calibri" w:cs="Calibri"/>
          <w:sz w:val="20"/>
          <w:szCs w:val="20"/>
        </w:rPr>
        <w:t>de vorige volzin bedoelde inlichtingen.</w:t>
      </w:r>
    </w:p>
    <w:p w:rsidRPr="00B45575" w:rsidR="00B45575" w:rsidP="00AC70F1" w:rsidRDefault="00B45575" w14:paraId="6B4EE6DC" w14:textId="77777777">
      <w:pPr>
        <w:spacing w:after="0"/>
        <w:rPr>
          <w:rFonts w:ascii="Calibri" w:hAnsi="Calibri" w:cs="Calibri"/>
          <w:sz w:val="20"/>
          <w:szCs w:val="20"/>
        </w:rPr>
      </w:pPr>
    </w:p>
    <w:sectPr w:rsidRPr="00B45575" w:rsidR="00B45575" w:rsidSect="00AC70F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8159" w14:textId="77777777" w:rsidR="00A036A4" w:rsidRDefault="00A036A4" w:rsidP="00AC70F1">
      <w:pPr>
        <w:spacing w:after="0" w:line="240" w:lineRule="auto"/>
      </w:pPr>
      <w:r>
        <w:separator/>
      </w:r>
    </w:p>
  </w:endnote>
  <w:endnote w:type="continuationSeparator" w:id="0">
    <w:p w14:paraId="45CBC448" w14:textId="77777777" w:rsidR="00A036A4" w:rsidRDefault="00A036A4" w:rsidP="00AC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73F2" w14:textId="77777777" w:rsidR="00AC70F1" w:rsidRPr="00AC70F1" w:rsidRDefault="00AC70F1" w:rsidP="00AC70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74C3" w14:textId="77777777" w:rsidR="00AC70F1" w:rsidRPr="00AC70F1" w:rsidRDefault="00AC70F1" w:rsidP="00AC70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74D6" w14:textId="77777777" w:rsidR="00AC70F1" w:rsidRPr="00AC70F1" w:rsidRDefault="00AC70F1" w:rsidP="00AC70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CBDF" w14:textId="77777777" w:rsidR="00A036A4" w:rsidRDefault="00A036A4" w:rsidP="00AC70F1">
      <w:pPr>
        <w:spacing w:after="0" w:line="240" w:lineRule="auto"/>
      </w:pPr>
      <w:r>
        <w:separator/>
      </w:r>
    </w:p>
  </w:footnote>
  <w:footnote w:type="continuationSeparator" w:id="0">
    <w:p w14:paraId="5E4D251B" w14:textId="77777777" w:rsidR="00A036A4" w:rsidRDefault="00A036A4" w:rsidP="00AC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1CBF" w14:textId="77777777" w:rsidR="00AC70F1" w:rsidRPr="00AC70F1" w:rsidRDefault="00AC70F1" w:rsidP="00AC70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79" w14:textId="77777777" w:rsidR="00AC70F1" w:rsidRPr="00AC70F1" w:rsidRDefault="00AC70F1" w:rsidP="00AC70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6B6" w14:textId="77777777" w:rsidR="00AC70F1" w:rsidRPr="00AC70F1" w:rsidRDefault="00AC70F1" w:rsidP="00AC70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F1"/>
    <w:rsid w:val="000E6610"/>
    <w:rsid w:val="002F3ED1"/>
    <w:rsid w:val="004770C5"/>
    <w:rsid w:val="004E5D09"/>
    <w:rsid w:val="005B53BC"/>
    <w:rsid w:val="006F48EB"/>
    <w:rsid w:val="00A036A4"/>
    <w:rsid w:val="00AC70F1"/>
    <w:rsid w:val="00B45575"/>
    <w:rsid w:val="00C54BF0"/>
    <w:rsid w:val="00D90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760"/>
  <w15:chartTrackingRefBased/>
  <w15:docId w15:val="{5A46DCCD-37B5-4F38-99AD-AA83F696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0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0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0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0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0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0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0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0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0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0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0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0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0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0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0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0F1"/>
    <w:rPr>
      <w:rFonts w:eastAsiaTheme="majorEastAsia" w:cstheme="majorBidi"/>
      <w:color w:val="272727" w:themeColor="text1" w:themeTint="D8"/>
    </w:rPr>
  </w:style>
  <w:style w:type="paragraph" w:styleId="Titel">
    <w:name w:val="Title"/>
    <w:basedOn w:val="Standaard"/>
    <w:next w:val="Standaard"/>
    <w:link w:val="TitelChar"/>
    <w:uiPriority w:val="10"/>
    <w:qFormat/>
    <w:rsid w:val="00AC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0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0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0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0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0F1"/>
    <w:rPr>
      <w:i/>
      <w:iCs/>
      <w:color w:val="404040" w:themeColor="text1" w:themeTint="BF"/>
    </w:rPr>
  </w:style>
  <w:style w:type="paragraph" w:styleId="Lijstalinea">
    <w:name w:val="List Paragraph"/>
    <w:basedOn w:val="Standaard"/>
    <w:uiPriority w:val="34"/>
    <w:qFormat/>
    <w:rsid w:val="00AC70F1"/>
    <w:pPr>
      <w:ind w:left="720"/>
      <w:contextualSpacing/>
    </w:pPr>
  </w:style>
  <w:style w:type="character" w:styleId="Intensievebenadrukking">
    <w:name w:val="Intense Emphasis"/>
    <w:basedOn w:val="Standaardalinea-lettertype"/>
    <w:uiPriority w:val="21"/>
    <w:qFormat/>
    <w:rsid w:val="00AC70F1"/>
    <w:rPr>
      <w:i/>
      <w:iCs/>
      <w:color w:val="0F4761" w:themeColor="accent1" w:themeShade="BF"/>
    </w:rPr>
  </w:style>
  <w:style w:type="paragraph" w:styleId="Duidelijkcitaat">
    <w:name w:val="Intense Quote"/>
    <w:basedOn w:val="Standaard"/>
    <w:next w:val="Standaard"/>
    <w:link w:val="DuidelijkcitaatChar"/>
    <w:uiPriority w:val="30"/>
    <w:qFormat/>
    <w:rsid w:val="00AC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0F1"/>
    <w:rPr>
      <w:i/>
      <w:iCs/>
      <w:color w:val="0F4761" w:themeColor="accent1" w:themeShade="BF"/>
    </w:rPr>
  </w:style>
  <w:style w:type="character" w:styleId="Intensieveverwijzing">
    <w:name w:val="Intense Reference"/>
    <w:basedOn w:val="Standaardalinea-lettertype"/>
    <w:uiPriority w:val="32"/>
    <w:qFormat/>
    <w:rsid w:val="00AC70F1"/>
    <w:rPr>
      <w:b/>
      <w:bCs/>
      <w:smallCaps/>
      <w:color w:val="0F4761" w:themeColor="accent1" w:themeShade="BF"/>
      <w:spacing w:val="5"/>
    </w:rPr>
  </w:style>
  <w:style w:type="paragraph" w:styleId="Koptekst">
    <w:name w:val="header"/>
    <w:basedOn w:val="Standaard"/>
    <w:link w:val="KoptekstChar"/>
    <w:rsid w:val="00AC70F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AC70F1"/>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AC70F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AC70F1"/>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AC70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70F1"/>
    <w:rPr>
      <w:rFonts w:ascii="Verdana" w:hAnsi="Verdana"/>
      <w:noProof/>
      <w:sz w:val="13"/>
      <w:lang w:eastAsia="nl-NL"/>
    </w:rPr>
  </w:style>
  <w:style w:type="paragraph" w:customStyle="1" w:styleId="Huisstijl-Gegeven">
    <w:name w:val="Huisstijl-Gegeven"/>
    <w:basedOn w:val="Standaard"/>
    <w:link w:val="Huisstijl-GegevenCharChar"/>
    <w:rsid w:val="00AC70F1"/>
    <w:pPr>
      <w:spacing w:after="92" w:line="180" w:lineRule="exact"/>
    </w:pPr>
    <w:rPr>
      <w:rFonts w:ascii="Verdana" w:hAnsi="Verdana"/>
      <w:noProof/>
      <w:sz w:val="13"/>
      <w:lang w:eastAsia="nl-NL"/>
    </w:rPr>
  </w:style>
  <w:style w:type="paragraph" w:customStyle="1" w:styleId="Huisstijl-Rubricering">
    <w:name w:val="Huisstijl-Rubricering"/>
    <w:basedOn w:val="Standaard"/>
    <w:rsid w:val="00AC70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C70F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C70F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B45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766</ap:Words>
  <ap:Characters>4217</ap:Characters>
  <ap:DocSecurity>0</ap:DocSecurity>
  <ap:Lines>35</ap:Lines>
  <ap:Paragraphs>9</ap:Paragraphs>
  <ap:ScaleCrop>false</ap:ScaleCrop>
  <ap:LinksUpToDate>false</ap:LinksUpToDate>
  <ap:CharactersWithSpaces>4974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2026-06-03T12:05:00.0000000Z</dcterms:created>
  <dcterms:modified xsi:type="dcterms:W3CDTF">2026-06-03T12:05:00.0000000Z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