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032D2B" w14:paraId="7829EBE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FE88E5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7A9CCFD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032D2B" w14:paraId="11B4FCE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7B4B4578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032D2B" w14:paraId="1D55641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7575B45" w14:textId="77777777"/>
        </w:tc>
      </w:tr>
      <w:tr w:rsidR="00997775" w:rsidTr="00032D2B" w14:paraId="12E3CB3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6FEDDA7C" w14:textId="77777777"/>
        </w:tc>
      </w:tr>
      <w:tr w:rsidR="00997775" w:rsidTr="00032D2B" w14:paraId="10D6BA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7F80D11" w14:textId="77777777"/>
        </w:tc>
        <w:tc>
          <w:tcPr>
            <w:tcW w:w="7654" w:type="dxa"/>
            <w:gridSpan w:val="2"/>
          </w:tcPr>
          <w:p w:rsidR="00997775" w:rsidRDefault="00997775" w14:paraId="121A2A55" w14:textId="77777777"/>
        </w:tc>
      </w:tr>
      <w:tr w:rsidR="00032D2B" w:rsidTr="00032D2B" w14:paraId="158145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18C15082" w14:textId="5F27A969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032D2B" w:rsidP="00032D2B" w:rsidRDefault="00032D2B" w14:paraId="4B3A454C" w14:textId="4BB777E3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032D2B" w:rsidTr="00032D2B" w14:paraId="51E5F4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1B5B1295" w14:textId="77777777"/>
        </w:tc>
        <w:tc>
          <w:tcPr>
            <w:tcW w:w="7654" w:type="dxa"/>
            <w:gridSpan w:val="2"/>
          </w:tcPr>
          <w:p w:rsidR="00032D2B" w:rsidP="00032D2B" w:rsidRDefault="00032D2B" w14:paraId="0FE4A6F6" w14:textId="77777777"/>
        </w:tc>
      </w:tr>
      <w:tr w:rsidR="00032D2B" w:rsidTr="00032D2B" w14:paraId="7A744F7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7DD33169" w14:textId="77777777"/>
        </w:tc>
        <w:tc>
          <w:tcPr>
            <w:tcW w:w="7654" w:type="dxa"/>
            <w:gridSpan w:val="2"/>
          </w:tcPr>
          <w:p w:rsidR="00032D2B" w:rsidP="00032D2B" w:rsidRDefault="00032D2B" w14:paraId="2A1B756B" w14:textId="77777777"/>
        </w:tc>
      </w:tr>
      <w:tr w:rsidR="00032D2B" w:rsidTr="00032D2B" w14:paraId="64DEC7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5B19F1B5" w14:textId="4C7CFB69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B200A3">
              <w:rPr>
                <w:b/>
              </w:rPr>
              <w:t>555</w:t>
            </w:r>
          </w:p>
        </w:tc>
        <w:tc>
          <w:tcPr>
            <w:tcW w:w="7654" w:type="dxa"/>
            <w:gridSpan w:val="2"/>
          </w:tcPr>
          <w:p w:rsidR="00032D2B" w:rsidP="00032D2B" w:rsidRDefault="00032D2B" w14:paraId="0D5A864C" w14:textId="089C0E8F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B200A3">
              <w:rPr>
                <w:b/>
              </w:rPr>
              <w:t>HET LID VAN BAARLE</w:t>
            </w:r>
          </w:p>
        </w:tc>
      </w:tr>
      <w:tr w:rsidR="00032D2B" w:rsidTr="00032D2B" w14:paraId="37DFFB5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5194CAA7" w14:textId="77777777"/>
        </w:tc>
        <w:tc>
          <w:tcPr>
            <w:tcW w:w="7654" w:type="dxa"/>
            <w:gridSpan w:val="2"/>
          </w:tcPr>
          <w:p w:rsidR="00032D2B" w:rsidP="00032D2B" w:rsidRDefault="00032D2B" w14:paraId="542F5BC2" w14:textId="1F83C1F0">
            <w:r>
              <w:t>Voorgesteld 10 juni 2026</w:t>
            </w:r>
          </w:p>
        </w:tc>
      </w:tr>
      <w:tr w:rsidR="00032D2B" w:rsidTr="00032D2B" w14:paraId="59A76C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26B92419" w14:textId="77777777"/>
        </w:tc>
        <w:tc>
          <w:tcPr>
            <w:tcW w:w="7654" w:type="dxa"/>
            <w:gridSpan w:val="2"/>
          </w:tcPr>
          <w:p w:rsidR="00032D2B" w:rsidP="00032D2B" w:rsidRDefault="00032D2B" w14:paraId="27AAAC79" w14:textId="77777777"/>
        </w:tc>
      </w:tr>
      <w:tr w:rsidR="00032D2B" w:rsidTr="00032D2B" w14:paraId="39F9632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06EE12D5" w14:textId="77777777"/>
        </w:tc>
        <w:tc>
          <w:tcPr>
            <w:tcW w:w="7654" w:type="dxa"/>
            <w:gridSpan w:val="2"/>
          </w:tcPr>
          <w:p w:rsidR="00032D2B" w:rsidP="00032D2B" w:rsidRDefault="00032D2B" w14:paraId="76551AFD" w14:textId="37E2D7B9">
            <w:r>
              <w:t>De Kamer,</w:t>
            </w:r>
          </w:p>
        </w:tc>
      </w:tr>
      <w:tr w:rsidR="00032D2B" w:rsidTr="00032D2B" w14:paraId="34358D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2F5DCA20" w14:textId="77777777"/>
        </w:tc>
        <w:tc>
          <w:tcPr>
            <w:tcW w:w="7654" w:type="dxa"/>
            <w:gridSpan w:val="2"/>
          </w:tcPr>
          <w:p w:rsidR="00032D2B" w:rsidP="00032D2B" w:rsidRDefault="00032D2B" w14:paraId="3C200A3D" w14:textId="77777777"/>
        </w:tc>
      </w:tr>
      <w:tr w:rsidR="00032D2B" w:rsidTr="00032D2B" w14:paraId="611A688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32D2B" w:rsidP="00032D2B" w:rsidRDefault="00032D2B" w14:paraId="05739244" w14:textId="77777777"/>
        </w:tc>
        <w:tc>
          <w:tcPr>
            <w:tcW w:w="7654" w:type="dxa"/>
            <w:gridSpan w:val="2"/>
          </w:tcPr>
          <w:p w:rsidR="00032D2B" w:rsidP="00032D2B" w:rsidRDefault="00032D2B" w14:paraId="3DBEF06D" w14:textId="41CFCFE5">
            <w:r>
              <w:t>gehoord de beraadslaging,</w:t>
            </w:r>
          </w:p>
        </w:tc>
      </w:tr>
      <w:tr w:rsidR="00997775" w:rsidTr="00032D2B" w14:paraId="4EA2815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D27EDB6" w14:textId="77777777"/>
        </w:tc>
        <w:tc>
          <w:tcPr>
            <w:tcW w:w="7654" w:type="dxa"/>
            <w:gridSpan w:val="2"/>
          </w:tcPr>
          <w:p w:rsidR="00997775" w:rsidRDefault="00997775" w14:paraId="0FD73896" w14:textId="77777777"/>
        </w:tc>
      </w:tr>
      <w:tr w:rsidR="00997775" w:rsidTr="00032D2B" w14:paraId="16F02C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B4814C9" w14:textId="77777777"/>
        </w:tc>
        <w:tc>
          <w:tcPr>
            <w:tcW w:w="7654" w:type="dxa"/>
            <w:gridSpan w:val="2"/>
          </w:tcPr>
          <w:p w:rsidR="000F1405" w:rsidP="000F1405" w:rsidRDefault="000F1405" w14:paraId="4E06E78A" w14:textId="77777777">
            <w:r>
              <w:t>constaterende dat de Staatscommissie tegen Discriminatie en Racisme adviseert om de Discriminatietoets Beleidsprocessen en de Discriminatietoets Publieke Dienstverlening in te voeren voor de gehele publieke sector;</w:t>
            </w:r>
          </w:p>
          <w:p w:rsidR="00B200A3" w:rsidP="000F1405" w:rsidRDefault="00B200A3" w14:paraId="72D8BBAC" w14:textId="77777777"/>
          <w:p w:rsidR="000F1405" w:rsidP="000F1405" w:rsidRDefault="000F1405" w14:paraId="79ED7A03" w14:textId="77777777">
            <w:r>
              <w:t>verzoekt de regering om het periodiek doorlopen van de Discriminatietoets Beleidsprocessen en de Discriminatietoets Publieke Dienstverlening verplicht te stellen voor de publieke sector,</w:t>
            </w:r>
          </w:p>
          <w:p w:rsidR="00B200A3" w:rsidP="000F1405" w:rsidRDefault="00B200A3" w14:paraId="6A097311" w14:textId="77777777"/>
          <w:p w:rsidR="000F1405" w:rsidP="000F1405" w:rsidRDefault="000F1405" w14:paraId="266EBFF9" w14:textId="77777777">
            <w:r>
              <w:t>en gaat over tot de orde van de dag.</w:t>
            </w:r>
          </w:p>
          <w:p w:rsidR="00B200A3" w:rsidP="000F1405" w:rsidRDefault="00B200A3" w14:paraId="46968504" w14:textId="77777777"/>
          <w:p w:rsidR="00997775" w:rsidP="000F1405" w:rsidRDefault="000F1405" w14:paraId="27522F60" w14:textId="5E8C1C0D">
            <w:r>
              <w:t>Van Baarle</w:t>
            </w:r>
          </w:p>
        </w:tc>
      </w:tr>
    </w:tbl>
    <w:p w:rsidR="00997775" w:rsidRDefault="00997775" w14:paraId="16F64D4B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0036" w14:textId="77777777" w:rsidR="00142BC8" w:rsidRDefault="00142BC8">
      <w:pPr>
        <w:spacing w:line="20" w:lineRule="exact"/>
      </w:pPr>
    </w:p>
  </w:endnote>
  <w:endnote w:type="continuationSeparator" w:id="0">
    <w:p w14:paraId="2E10A5E2" w14:textId="77777777" w:rsidR="00142BC8" w:rsidRDefault="00142BC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9B77CE9" w14:textId="77777777" w:rsidR="00142BC8" w:rsidRDefault="00142BC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01592" w14:textId="77777777" w:rsidR="00142BC8" w:rsidRDefault="00142BC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FF6F8DB" w14:textId="77777777" w:rsidR="00142BC8" w:rsidRDefault="00142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2B"/>
    <w:rsid w:val="00032D2B"/>
    <w:rsid w:val="000F1405"/>
    <w:rsid w:val="00133FCE"/>
    <w:rsid w:val="00142BC8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200A3"/>
    <w:rsid w:val="00B511EE"/>
    <w:rsid w:val="00B74E9D"/>
    <w:rsid w:val="00BF5690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F4562"/>
  <w15:docId w15:val="{2A6BB362-0F71-4A52-94E8-4D6DA46E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104</ap:Words>
  <ap:Characters>572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