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60B5" w:rsidRDefault="00D9322D" w14:paraId="6A1FE842" w14:textId="77777777">
      <w:r>
        <w:t>Geachte voorzitter,</w:t>
      </w:r>
    </w:p>
    <w:p w:rsidR="00BB60B5" w:rsidRDefault="00BB60B5" w14:paraId="6A1FE843" w14:textId="77777777"/>
    <w:p w:rsidR="00C54D6F" w:rsidP="00AA0426" w:rsidRDefault="00C54D6F" w14:paraId="3B3E4593" w14:textId="78C1E114">
      <w:r>
        <w:t xml:space="preserve">Met deze brief </w:t>
      </w:r>
      <w:r w:rsidR="00126853">
        <w:t>wordt uw</w:t>
      </w:r>
      <w:r w:rsidR="009B2A96">
        <w:t xml:space="preserve"> </w:t>
      </w:r>
      <w:r w:rsidR="00126853">
        <w:t>K</w:t>
      </w:r>
      <w:r w:rsidR="009B2A96">
        <w:t>amer</w:t>
      </w:r>
      <w:r>
        <w:t xml:space="preserve"> </w:t>
      </w:r>
      <w:r w:rsidR="000974D1">
        <w:t>geïnformeerd</w:t>
      </w:r>
      <w:r w:rsidR="00126853">
        <w:t xml:space="preserve"> </w:t>
      </w:r>
      <w:r>
        <w:t xml:space="preserve">over de </w:t>
      </w:r>
      <w:r w:rsidR="00CE7189">
        <w:t xml:space="preserve">appreciatie </w:t>
      </w:r>
      <w:r w:rsidR="00126853">
        <w:t xml:space="preserve">van het kabinet </w:t>
      </w:r>
      <w:r>
        <w:t xml:space="preserve">van </w:t>
      </w:r>
      <w:r w:rsidR="00126853">
        <w:t>de overeenkomst over elektronische handel</w:t>
      </w:r>
      <w:r>
        <w:t xml:space="preserve"> (</w:t>
      </w:r>
      <w:r w:rsidRPr="00290713">
        <w:rPr>
          <w:i/>
          <w:iCs/>
        </w:rPr>
        <w:t>E</w:t>
      </w:r>
      <w:r w:rsidRPr="00290713">
        <w:rPr>
          <w:rFonts w:ascii="Cambria Math" w:hAnsi="Cambria Math" w:cs="Cambria Math"/>
          <w:i/>
          <w:iCs/>
        </w:rPr>
        <w:t>‑</w:t>
      </w:r>
      <w:r w:rsidRPr="00290713">
        <w:rPr>
          <w:i/>
          <w:iCs/>
        </w:rPr>
        <w:t>commerce Agreement</w:t>
      </w:r>
      <w:r>
        <w:t xml:space="preserve">, ECA) en het voornemen van het kabinet om in te stemmen met het </w:t>
      </w:r>
      <w:r w:rsidR="007C54F6">
        <w:t xml:space="preserve">Raadsbesluit </w:t>
      </w:r>
      <w:r w:rsidR="000974D1">
        <w:t>tot sluiting van</w:t>
      </w:r>
      <w:r w:rsidR="0064460A">
        <w:t xml:space="preserve"> het ECA.</w:t>
      </w:r>
    </w:p>
    <w:p w:rsidR="00C54D6F" w:rsidP="00AA0426" w:rsidRDefault="00C54D6F" w14:paraId="1C89DFDC" w14:textId="77777777"/>
    <w:p w:rsidR="009B2A96" w:rsidP="00C54D6F" w:rsidRDefault="00AA0426" w14:paraId="25A6EFF1" w14:textId="2BBDF0A1">
      <w:r>
        <w:t>Zoals reeds aangekondigd in de voortgangsrapportage handelsakkoorden</w:t>
      </w:r>
      <w:r w:rsidR="00A24F7D">
        <w:rPr>
          <w:rStyle w:val="Voetnootmarkering"/>
        </w:rPr>
        <w:footnoteReference w:id="1"/>
      </w:r>
      <w:r>
        <w:t xml:space="preserve"> </w:t>
      </w:r>
      <w:r w:rsidR="00C54D6F">
        <w:t xml:space="preserve">wordt binnen de </w:t>
      </w:r>
      <w:r w:rsidR="00126853">
        <w:t xml:space="preserve">Wereldhandelsorganisatie (WTO) </w:t>
      </w:r>
      <w:r w:rsidR="00C54D6F">
        <w:t xml:space="preserve">sinds 2019 onderhandeld over een akkoord inzake </w:t>
      </w:r>
      <w:r w:rsidRPr="7DD5235E" w:rsidR="00C54D6F">
        <w:rPr>
          <w:i/>
          <w:iCs/>
        </w:rPr>
        <w:t>e</w:t>
      </w:r>
      <w:r w:rsidRPr="7DD5235E" w:rsidR="00C54D6F">
        <w:rPr>
          <w:rFonts w:ascii="Cambria Math" w:hAnsi="Cambria Math" w:cs="Cambria Math"/>
          <w:i/>
          <w:iCs/>
        </w:rPr>
        <w:t>‑</w:t>
      </w:r>
      <w:r w:rsidRPr="7DD5235E" w:rsidR="00C54D6F">
        <w:rPr>
          <w:i/>
          <w:iCs/>
        </w:rPr>
        <w:t>commerce</w:t>
      </w:r>
      <w:r w:rsidR="00C54D6F">
        <w:t xml:space="preserve"> in het kader van het </w:t>
      </w:r>
      <w:r w:rsidRPr="00290713" w:rsidR="00C54D6F">
        <w:rPr>
          <w:i/>
          <w:iCs/>
        </w:rPr>
        <w:t>Joint Statement Initiative on e</w:t>
      </w:r>
      <w:r w:rsidRPr="00290713" w:rsidR="00C54D6F">
        <w:rPr>
          <w:rFonts w:ascii="Cambria Math" w:hAnsi="Cambria Math" w:cs="Cambria Math"/>
          <w:i/>
          <w:iCs/>
        </w:rPr>
        <w:t>‑</w:t>
      </w:r>
      <w:r w:rsidRPr="00290713" w:rsidR="00C54D6F">
        <w:rPr>
          <w:i/>
          <w:iCs/>
        </w:rPr>
        <w:t>commerce</w:t>
      </w:r>
      <w:r w:rsidR="00C54D6F">
        <w:t xml:space="preserve"> (e</w:t>
      </w:r>
      <w:r w:rsidR="00C54D6F">
        <w:rPr>
          <w:rFonts w:ascii="Cambria Math" w:hAnsi="Cambria Math" w:cs="Cambria Math"/>
        </w:rPr>
        <w:t>‑</w:t>
      </w:r>
      <w:r w:rsidR="00C54D6F">
        <w:t>JSI). In 2024 zijn deze onderhandelingen op technisch niveau afgerond en hebben 71 WTO</w:t>
      </w:r>
      <w:r w:rsidR="00C54D6F">
        <w:rPr>
          <w:rFonts w:ascii="Cambria Math" w:hAnsi="Cambria Math" w:cs="Cambria Math"/>
        </w:rPr>
        <w:t>‑</w:t>
      </w:r>
      <w:r w:rsidR="00C54D6F">
        <w:t>leden, waaronder de EU, de overeengekomen tekst gepubliceerd. H</w:t>
      </w:r>
      <w:r w:rsidR="009B2A96">
        <w:t xml:space="preserve">elaas </w:t>
      </w:r>
      <w:r w:rsidR="00C54D6F">
        <w:t xml:space="preserve">bleek </w:t>
      </w:r>
      <w:r w:rsidR="009B2A96">
        <w:t>het</w:t>
      </w:r>
      <w:r w:rsidR="00C54D6F">
        <w:t xml:space="preserve"> niet mogelijk om de vereiste unanimiteit te verkrijgen voor opname van dit plurilaterale akkoord in het WTO</w:t>
      </w:r>
      <w:r w:rsidR="00C54D6F">
        <w:rPr>
          <w:rFonts w:ascii="Cambria Math" w:hAnsi="Cambria Math" w:cs="Cambria Math"/>
        </w:rPr>
        <w:t>‑</w:t>
      </w:r>
      <w:r w:rsidR="00C54D6F">
        <w:t xml:space="preserve">acquis. </w:t>
      </w:r>
    </w:p>
    <w:p w:rsidR="00C54D6F" w:rsidP="00C54D6F" w:rsidRDefault="007C54F6" w14:paraId="05EE6EB1" w14:textId="170F8907">
      <w:r>
        <w:br/>
      </w:r>
      <w:bookmarkStart w:name="_Hlk236836172" w:id="0"/>
      <w:r w:rsidR="00C54D6F">
        <w:t>Omdat een grote groep WTO</w:t>
      </w:r>
      <w:r w:rsidR="00C54D6F">
        <w:rPr>
          <w:rFonts w:ascii="Cambria Math" w:hAnsi="Cambria Math" w:cs="Cambria Math"/>
        </w:rPr>
        <w:t>‑</w:t>
      </w:r>
      <w:r w:rsidR="00C54D6F">
        <w:t>leden, waaronder de EU</w:t>
      </w:r>
      <w:r w:rsidRPr="00746795" w:rsidR="00746795">
        <w:t xml:space="preserve"> </w:t>
      </w:r>
      <w:r w:rsidR="00746795">
        <w:t>en de lidstaten</w:t>
      </w:r>
      <w:r w:rsidR="00C54D6F">
        <w:t xml:space="preserve">, </w:t>
      </w:r>
      <w:r w:rsidR="00CE7189">
        <w:t xml:space="preserve">wel </w:t>
      </w:r>
      <w:r w:rsidR="00C54D6F">
        <w:t>hecht aan tijdige implementatie</w:t>
      </w:r>
      <w:r>
        <w:t xml:space="preserve"> van de afspraken over </w:t>
      </w:r>
      <w:r w:rsidRPr="00290713">
        <w:rPr>
          <w:i/>
          <w:iCs/>
        </w:rPr>
        <w:t>e-commerce</w:t>
      </w:r>
      <w:r w:rsidR="00C54D6F">
        <w:t xml:space="preserve">, is gekozen voor een alternatieve route in de vorm van </w:t>
      </w:r>
      <w:r w:rsidR="00CE7189">
        <w:t>het</w:t>
      </w:r>
      <w:r w:rsidR="00C54D6F">
        <w:t xml:space="preserve"> </w:t>
      </w:r>
      <w:r>
        <w:t>ECA</w:t>
      </w:r>
      <w:r w:rsidR="00C54D6F">
        <w:t>. Het ECA bevat inhoudelijk dezelfde afspraken als het e</w:t>
      </w:r>
      <w:r w:rsidR="00C54D6F">
        <w:rPr>
          <w:rFonts w:ascii="Cambria Math" w:hAnsi="Cambria Math" w:cs="Cambria Math"/>
        </w:rPr>
        <w:t>‑</w:t>
      </w:r>
      <w:r w:rsidR="00C54D6F">
        <w:t>JSI,</w:t>
      </w:r>
      <w:r w:rsidR="00CE7189">
        <w:t xml:space="preserve"> maar</w:t>
      </w:r>
      <w:r w:rsidR="00C54D6F">
        <w:t xml:space="preserve"> biedt</w:t>
      </w:r>
      <w:r w:rsidR="00EB2585">
        <w:t xml:space="preserve"> </w:t>
      </w:r>
      <w:r w:rsidR="00CE7189">
        <w:t xml:space="preserve">deelnemende WTO-leden </w:t>
      </w:r>
      <w:r w:rsidR="00C54D6F">
        <w:t xml:space="preserve">de mogelijkheid om deze </w:t>
      </w:r>
      <w:r w:rsidR="00CE7189">
        <w:t xml:space="preserve">op interimbasis, buiten de WTO, </w:t>
      </w:r>
      <w:r w:rsidR="007C3F0C">
        <w:t xml:space="preserve">jegens elkaar </w:t>
      </w:r>
      <w:r w:rsidR="00CE7189">
        <w:t xml:space="preserve">te implementeren. Het ECA bevat </w:t>
      </w:r>
      <w:r w:rsidR="00C54D6F">
        <w:t>de uitdrukkelijke ambitie om de overeenkomst op termijn alsnog binnen de WTO te verankeren</w:t>
      </w:r>
      <w:bookmarkEnd w:id="0"/>
      <w:r w:rsidR="00156C74">
        <w:t xml:space="preserve">. </w:t>
      </w:r>
    </w:p>
    <w:p w:rsidR="00AA0426" w:rsidP="00AA0426" w:rsidRDefault="00AA0426" w14:paraId="6274C732" w14:textId="77777777"/>
    <w:p w:rsidR="00AA0426" w:rsidP="00AA0426" w:rsidRDefault="00C54D6F" w14:paraId="354A6C49" w14:textId="6B55B5DE">
      <w:r>
        <w:t xml:space="preserve">Het </w:t>
      </w:r>
      <w:r w:rsidR="00AA0426">
        <w:t>ECA legt een pakket basisregels vast voor digitale handel met als doel digitale handel beter te faciliteren. Belangrijke bepalingen zien op de erkenning en rechtsgeldigheid van elektronische handtekeningen, contracten en facturen, afspraken over elektronische betalingen</w:t>
      </w:r>
      <w:r w:rsidR="00170B33">
        <w:t xml:space="preserve">, </w:t>
      </w:r>
      <w:r w:rsidR="00AA0426">
        <w:t>regels inzake online consumentenbescherming en het beperken van ongewenste elektronische berichten (</w:t>
      </w:r>
      <w:r w:rsidRPr="0061102D" w:rsidR="00AA0426">
        <w:rPr>
          <w:i/>
          <w:iCs/>
        </w:rPr>
        <w:t>spam</w:t>
      </w:r>
      <w:r w:rsidR="00AA0426">
        <w:t xml:space="preserve">). Daarnaast bevat de overeenkomst bepalingen over </w:t>
      </w:r>
      <w:r w:rsidRPr="00CE7189" w:rsidR="00AA0426">
        <w:t>cybersecurity,</w:t>
      </w:r>
      <w:r w:rsidR="00AA0426">
        <w:t xml:space="preserve"> transparantie </w:t>
      </w:r>
      <w:r w:rsidR="00CE7189">
        <w:t xml:space="preserve">over regelgeving </w:t>
      </w:r>
      <w:r w:rsidR="00AA0426">
        <w:t>en het beschikbaar stellen van open overheid</w:t>
      </w:r>
      <w:r w:rsidR="006E58C7">
        <w:t>s</w:t>
      </w:r>
      <w:r w:rsidR="00AA0426">
        <w:t xml:space="preserve">data. </w:t>
      </w:r>
      <w:r w:rsidR="006E58C7">
        <w:t xml:space="preserve">Het </w:t>
      </w:r>
      <w:r w:rsidR="00AA0426">
        <w:t xml:space="preserve">ECA omvat </w:t>
      </w:r>
      <w:r w:rsidR="006E58C7">
        <w:t xml:space="preserve">ook </w:t>
      </w:r>
      <w:r w:rsidR="00AA0426">
        <w:t xml:space="preserve">een verbod op </w:t>
      </w:r>
      <w:r w:rsidR="00170B33">
        <w:t>het h</w:t>
      </w:r>
      <w:r w:rsidRPr="00170B33" w:rsidR="00170B33">
        <w:t>effen van tarieven op elektronische transmis</w:t>
      </w:r>
      <w:r w:rsidR="00170B33">
        <w:t>sies</w:t>
      </w:r>
      <w:r w:rsidR="00126853">
        <w:t xml:space="preserve">, dat inhoudelijk gelijk is aan het eerdere </w:t>
      </w:r>
      <w:r w:rsidR="0061102D">
        <w:t>e</w:t>
      </w:r>
      <w:r w:rsidR="00126853">
        <w:t>-commerce</w:t>
      </w:r>
      <w:r w:rsidR="006551B2">
        <w:t>-</w:t>
      </w:r>
      <w:r w:rsidR="00126853">
        <w:t xml:space="preserve">moratorium dat </w:t>
      </w:r>
      <w:r w:rsidR="003D67E7">
        <w:t xml:space="preserve">in maart 2026, </w:t>
      </w:r>
      <w:r w:rsidR="00126853">
        <w:t xml:space="preserve">bij de </w:t>
      </w:r>
      <w:r w:rsidR="001D1671">
        <w:t>Ministeriële</w:t>
      </w:r>
      <w:r w:rsidR="00126853">
        <w:t xml:space="preserve"> Conferentie van de WTO</w:t>
      </w:r>
      <w:r w:rsidR="003D67E7">
        <w:t>,</w:t>
      </w:r>
      <w:r w:rsidR="00126853">
        <w:t xml:space="preserve"> is verlopen</w:t>
      </w:r>
      <w:r w:rsidR="00AA0426">
        <w:t xml:space="preserve">. Verder bevat de overeenkomst een ontwikkelingshoofdstuk met </w:t>
      </w:r>
      <w:r w:rsidR="00AA0426">
        <w:lastRenderedPageBreak/>
        <w:t>afspraken over technische assistentie en capaciteitsopbouw om deelname van (minst)</w:t>
      </w:r>
      <w:r w:rsidR="00170B33">
        <w:t xml:space="preserve"> </w:t>
      </w:r>
      <w:r w:rsidR="00AA0426">
        <w:t>ontwikkelde landen aan digitale handel te ondersteunen.</w:t>
      </w:r>
    </w:p>
    <w:p w:rsidR="00AA0426" w:rsidP="00AA0426" w:rsidRDefault="00AA0426" w14:paraId="0329046A" w14:textId="77777777"/>
    <w:p w:rsidR="006E58C7" w:rsidP="006E58C7" w:rsidRDefault="006E58C7" w14:paraId="5CDB1F60" w14:textId="7E5F56A8">
      <w:r>
        <w:t xml:space="preserve">De afspraken in </w:t>
      </w:r>
      <w:r w:rsidR="007C54F6">
        <w:t>het</w:t>
      </w:r>
      <w:r>
        <w:t xml:space="preserve"> ECA sluiten aan bij de inzet van het kabinet op versterking van </w:t>
      </w:r>
      <w:r w:rsidR="009B2A96">
        <w:t xml:space="preserve">de </w:t>
      </w:r>
      <w:r>
        <w:t xml:space="preserve">op regels gebaseerde multilaterale handelsorde en de bevordering van een open en voorspelbare digitale economie. </w:t>
      </w:r>
      <w:r w:rsidR="00AA1EA4">
        <w:t xml:space="preserve">De overeenkomst bevat bepalingen die digitale handel faciliteren en meer zekerheid bieden aan bedrijven en consumenten die handelen in digitale diensten. </w:t>
      </w:r>
      <w:r w:rsidR="00545B54">
        <w:t xml:space="preserve">De inzet hierop </w:t>
      </w:r>
      <w:r w:rsidR="007C54F6">
        <w:t>is consistent met eerdere Nederlandse en Europese inzet in de WTO. De overeenkomst respecteert Europese data</w:t>
      </w:r>
      <w:r w:rsidR="004113B4">
        <w:t>- en gegevens</w:t>
      </w:r>
      <w:r w:rsidR="007C54F6">
        <w:t xml:space="preserve">beschermingswetgeving en behoudt de regelgevende ruimte van de EU om beleidsdoelstellingen op het gebied van </w:t>
      </w:r>
      <w:r w:rsidR="004113B4">
        <w:t xml:space="preserve">gegevensbescherming </w:t>
      </w:r>
      <w:r w:rsidR="007C54F6">
        <w:t xml:space="preserve">en data te bereiken. </w:t>
      </w:r>
      <w:r>
        <w:t>De gekozen interimoplossing buiten het WTO</w:t>
      </w:r>
      <w:r>
        <w:rPr>
          <w:rFonts w:ascii="Cambria Math" w:hAnsi="Cambria Math" w:cs="Cambria Math"/>
        </w:rPr>
        <w:t>‑</w:t>
      </w:r>
      <w:r>
        <w:t>acquis is in lijn met de</w:t>
      </w:r>
      <w:r w:rsidR="00126853">
        <w:t xml:space="preserve"> Nederlandse</w:t>
      </w:r>
      <w:r>
        <w:t xml:space="preserve"> inzet voor de 14e Ministeri</w:t>
      </w:r>
      <w:r>
        <w:rPr>
          <w:rFonts w:cs="Verdana"/>
        </w:rPr>
        <w:t>ë</w:t>
      </w:r>
      <w:r>
        <w:t>le Conferentie van de WTO (MC 14)</w:t>
      </w:r>
      <w:r w:rsidR="00655A17">
        <w:t xml:space="preserve">. Zoals </w:t>
      </w:r>
      <w:r w:rsidR="00126853">
        <w:t xml:space="preserve">opgenomen </w:t>
      </w:r>
      <w:r w:rsidR="00655A17">
        <w:t>in de kaderinstructie voor MC14</w:t>
      </w:r>
      <w:r w:rsidR="00BD79E9">
        <w:rPr>
          <w:rStyle w:val="Voetnootmarkering"/>
        </w:rPr>
        <w:footnoteReference w:id="2"/>
      </w:r>
      <w:r w:rsidR="00655A17">
        <w:t xml:space="preserve"> </w:t>
      </w:r>
      <w:r w:rsidR="00126853">
        <w:t>is</w:t>
      </w:r>
      <w:r w:rsidR="00655A17">
        <w:t xml:space="preserve"> ingezet op implementatie buiten de WTO, </w:t>
      </w:r>
      <w:r w:rsidR="00126853">
        <w:t xml:space="preserve">nu </w:t>
      </w:r>
      <w:r w:rsidR="007C54F6">
        <w:t xml:space="preserve">opname van het e-JSI in het WTO-acquis niet mogelijk </w:t>
      </w:r>
      <w:r w:rsidR="00126853">
        <w:t>is gebleken</w:t>
      </w:r>
      <w:r w:rsidR="00BD79E9">
        <w:t>.</w:t>
      </w:r>
      <w:r>
        <w:t xml:space="preserve"> </w:t>
      </w:r>
      <w:r w:rsidR="00545B54">
        <w:t>Gezien bovenstaand</w:t>
      </w:r>
      <w:r w:rsidR="00D9322D">
        <w:t>e</w:t>
      </w:r>
      <w:r w:rsidR="00545B54">
        <w:t xml:space="preserve"> beoordeelt het kabinet het ECA positief. </w:t>
      </w:r>
    </w:p>
    <w:p w:rsidR="006E58C7" w:rsidP="006E58C7" w:rsidRDefault="006E58C7" w14:paraId="5D4F936B" w14:textId="77777777"/>
    <w:p w:rsidR="00130EE7" w:rsidP="00130EE7" w:rsidRDefault="00130EE7" w14:paraId="1F948129" w14:textId="67E0393C">
      <w:r>
        <w:t xml:space="preserve">De Europese Commissie hoopt dat de Raad spoedig een besluit tot </w:t>
      </w:r>
      <w:r w:rsidR="000974D1">
        <w:t xml:space="preserve">sluiting </w:t>
      </w:r>
      <w:r>
        <w:t>neemt, zodat de EU diens implementatie nog in 2026 kan formaliseren</w:t>
      </w:r>
      <w:r w:rsidR="00126853">
        <w:t xml:space="preserve">. </w:t>
      </w:r>
      <w:r w:rsidRPr="00126853" w:rsidR="00126853">
        <w:t xml:space="preserve">De verwachting is dat de Raad </w:t>
      </w:r>
      <w:r w:rsidR="00126853">
        <w:t xml:space="preserve">medio september </w:t>
      </w:r>
      <w:r w:rsidRPr="00126853" w:rsidR="00126853">
        <w:t xml:space="preserve">formeel het akkoord goedkeurt door in te stemmen met het </w:t>
      </w:r>
      <w:r w:rsidR="006621DF">
        <w:t>R</w:t>
      </w:r>
      <w:r w:rsidRPr="00126853" w:rsidR="00126853">
        <w:t xml:space="preserve">aadsbesluit tot </w:t>
      </w:r>
      <w:r w:rsidR="000974D1">
        <w:t>sluiting</w:t>
      </w:r>
      <w:r w:rsidR="00126853">
        <w:t>.</w:t>
      </w:r>
      <w:r w:rsidRPr="00126853" w:rsidR="00126853">
        <w:t xml:space="preserve"> </w:t>
      </w:r>
      <w:r>
        <w:t>Aangezien het ECA in lijn is met de Nederlandse inzet, is het kabinet voornemens</w:t>
      </w:r>
      <w:r w:rsidR="006E58C7">
        <w:t xml:space="preserve"> in te stemmen met het voorstel van de Europese Commissie om </w:t>
      </w:r>
      <w:r w:rsidR="009F1E5C">
        <w:t xml:space="preserve">als </w:t>
      </w:r>
      <w:r w:rsidR="006E58C7">
        <w:t xml:space="preserve">de EU </w:t>
      </w:r>
      <w:r w:rsidR="0064460A">
        <w:t xml:space="preserve">in te stemmen met </w:t>
      </w:r>
      <w:r w:rsidR="006E58C7">
        <w:t xml:space="preserve">het ECA. </w:t>
      </w:r>
      <w:r w:rsidRPr="0013477F" w:rsidR="0013477F">
        <w:t>De overeenkomst betreft een EU-only akkoord waarbij de lidstaten geen partij zijn. Nationale ratificatie door de lidstaten is daarom niet nodig. Na goedkeuring van het Raadsbesluit door de Raad en het Europees Parlement zal de Commissie het instrument van acceptatie bij de WTO neerleggen om kenbaar te maken dat de Unie ermee instemt door de overeenkomst gebonden te zijn.</w:t>
      </w:r>
    </w:p>
    <w:p w:rsidR="00BB60B5" w:rsidRDefault="006E58C7" w14:paraId="6A1FE845" w14:textId="1FDDAD78">
      <w:r>
        <w:br/>
      </w:r>
    </w:p>
    <w:tbl>
      <w:tblPr>
        <w:tblStyle w:val="Tabelondertekening"/>
        <w:tblW w:w="7541" w:type="dxa"/>
        <w:tblInd w:w="0" w:type="dxa"/>
        <w:tblLayout w:type="fixed"/>
        <w:tblLook w:val="07E0" w:firstRow="1" w:lastRow="1" w:firstColumn="1" w:lastColumn="1" w:noHBand="1" w:noVBand="1"/>
      </w:tblPr>
      <w:tblGrid>
        <w:gridCol w:w="3620"/>
        <w:gridCol w:w="3921"/>
      </w:tblGrid>
      <w:tr w:rsidR="00BB60B5" w:rsidTr="7DD5235E" w14:paraId="6A1FE848" w14:textId="77777777">
        <w:tc>
          <w:tcPr>
            <w:tcW w:w="3620" w:type="dxa"/>
          </w:tcPr>
          <w:p w:rsidR="00BB60B5" w:rsidRDefault="00D9322D" w14:paraId="6A1FE846" w14:textId="77777777">
            <w:r>
              <w:t>De minister van Buitenlandse Handel en Ontwikkelingssamenwerking,</w:t>
            </w:r>
            <w:r>
              <w:br/>
            </w:r>
            <w:r>
              <w:br/>
            </w:r>
            <w:r>
              <w:br/>
            </w:r>
            <w:r>
              <w:br/>
            </w:r>
            <w:r>
              <w:br/>
            </w:r>
            <w:r>
              <w:br/>
              <w:t>S.W. Sjoerdsma</w:t>
            </w:r>
          </w:p>
        </w:tc>
        <w:tc>
          <w:tcPr>
            <w:tcW w:w="3921" w:type="dxa"/>
          </w:tcPr>
          <w:p w:rsidR="00BB60B5" w:rsidRDefault="00BB60B5" w14:paraId="6A1FE847" w14:textId="77777777"/>
        </w:tc>
      </w:tr>
    </w:tbl>
    <w:p w:rsidR="00BB60B5" w:rsidRDefault="00BB60B5" w14:paraId="6A1FE849" w14:textId="77777777"/>
    <w:sectPr w:rsidR="00BB60B5" w:rsidSect="00816D9C">
      <w:headerReference w:type="default" r:id="rId14"/>
      <w:footerReference w:type="default" r:id="rId15"/>
      <w:headerReference w:type="first" r:id="rId16"/>
      <w:footerReference w:type="first" r:id="rId17"/>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36724" w14:textId="77777777" w:rsidR="006D30E6" w:rsidRDefault="006D30E6">
      <w:pPr>
        <w:spacing w:line="240" w:lineRule="auto"/>
      </w:pPr>
      <w:r>
        <w:separator/>
      </w:r>
    </w:p>
  </w:endnote>
  <w:endnote w:type="continuationSeparator" w:id="0">
    <w:p w14:paraId="72363515" w14:textId="77777777" w:rsidR="006D30E6" w:rsidRDefault="006D30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264754"/>
      <w:docPartObj>
        <w:docPartGallery w:val="Page Numbers (Bottom of Page)"/>
        <w:docPartUnique/>
      </w:docPartObj>
    </w:sdtPr>
    <w:sdtContent>
      <w:p w14:paraId="174D4846" w14:textId="3562C35A" w:rsidR="0093538E" w:rsidRDefault="0093538E">
        <w:pPr>
          <w:pStyle w:val="Voettekst"/>
          <w:jc w:val="center"/>
        </w:pPr>
        <w:r>
          <w:fldChar w:fldCharType="begin"/>
        </w:r>
        <w:r>
          <w:instrText>PAGE   \* MERGEFORMAT</w:instrText>
        </w:r>
        <w:r>
          <w:fldChar w:fldCharType="separate"/>
        </w:r>
        <w:r>
          <w:t>2</w:t>
        </w:r>
        <w:r>
          <w:fldChar w:fldCharType="end"/>
        </w:r>
      </w:p>
    </w:sdtContent>
  </w:sdt>
  <w:p w14:paraId="5121C346" w14:textId="77777777" w:rsidR="0093538E" w:rsidRDefault="009353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729819"/>
      <w:docPartObj>
        <w:docPartGallery w:val="Page Numbers (Bottom of Page)"/>
        <w:docPartUnique/>
      </w:docPartObj>
    </w:sdtPr>
    <w:sdtContent>
      <w:p w14:paraId="1FD13B6F" w14:textId="00B64698" w:rsidR="0093538E" w:rsidRDefault="0093538E">
        <w:pPr>
          <w:pStyle w:val="Voettekst"/>
          <w:jc w:val="center"/>
        </w:pPr>
        <w:r>
          <w:fldChar w:fldCharType="begin"/>
        </w:r>
        <w:r>
          <w:instrText>PAGE   \* MERGEFORMAT</w:instrText>
        </w:r>
        <w:r>
          <w:fldChar w:fldCharType="separate"/>
        </w:r>
        <w:r>
          <w:t>2</w:t>
        </w:r>
        <w:r>
          <w:fldChar w:fldCharType="end"/>
        </w:r>
      </w:p>
    </w:sdtContent>
  </w:sdt>
  <w:p w14:paraId="22CFFAB2" w14:textId="77777777" w:rsidR="0093538E" w:rsidRDefault="009353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1E193" w14:textId="77777777" w:rsidR="006D30E6" w:rsidRDefault="006D30E6">
      <w:pPr>
        <w:spacing w:line="240" w:lineRule="auto"/>
      </w:pPr>
      <w:r>
        <w:separator/>
      </w:r>
    </w:p>
  </w:footnote>
  <w:footnote w:type="continuationSeparator" w:id="0">
    <w:p w14:paraId="29E826DE" w14:textId="77777777" w:rsidR="006D30E6" w:rsidRDefault="006D30E6">
      <w:pPr>
        <w:spacing w:line="240" w:lineRule="auto"/>
      </w:pPr>
      <w:r>
        <w:continuationSeparator/>
      </w:r>
    </w:p>
  </w:footnote>
  <w:footnote w:id="1">
    <w:p w14:paraId="680BA94C" w14:textId="4C068D65" w:rsidR="00A24F7D" w:rsidRPr="0033620E" w:rsidRDefault="00A24F7D">
      <w:pPr>
        <w:pStyle w:val="Voetnoottekst"/>
        <w:rPr>
          <w:sz w:val="14"/>
          <w:szCs w:val="14"/>
        </w:rPr>
      </w:pPr>
      <w:r w:rsidRPr="0033620E">
        <w:rPr>
          <w:rStyle w:val="Voetnootmarkering"/>
          <w:sz w:val="14"/>
          <w:szCs w:val="14"/>
        </w:rPr>
        <w:footnoteRef/>
      </w:r>
      <w:r w:rsidRPr="0033620E">
        <w:rPr>
          <w:sz w:val="14"/>
          <w:szCs w:val="14"/>
        </w:rPr>
        <w:t xml:space="preserve"> </w:t>
      </w:r>
      <w:r w:rsidR="0033620E" w:rsidRPr="0033620E">
        <w:rPr>
          <w:sz w:val="14"/>
          <w:szCs w:val="14"/>
        </w:rPr>
        <w:t xml:space="preserve">Kamerstukken II, vergaderjaar 2025–2026, </w:t>
      </w:r>
      <w:r w:rsidRPr="0033620E">
        <w:rPr>
          <w:sz w:val="14"/>
          <w:szCs w:val="14"/>
        </w:rPr>
        <w:t>21</w:t>
      </w:r>
      <w:r w:rsidR="0033620E" w:rsidRPr="0033620E">
        <w:rPr>
          <w:sz w:val="14"/>
          <w:szCs w:val="14"/>
        </w:rPr>
        <w:t xml:space="preserve"> </w:t>
      </w:r>
      <w:r w:rsidRPr="0033620E">
        <w:rPr>
          <w:sz w:val="14"/>
          <w:szCs w:val="14"/>
        </w:rPr>
        <w:t>501-02</w:t>
      </w:r>
      <w:r w:rsidR="0033620E" w:rsidRPr="0033620E">
        <w:rPr>
          <w:sz w:val="14"/>
          <w:szCs w:val="14"/>
        </w:rPr>
        <w:t>,</w:t>
      </w:r>
      <w:r w:rsidRPr="0033620E">
        <w:rPr>
          <w:sz w:val="14"/>
          <w:szCs w:val="14"/>
        </w:rPr>
        <w:t xml:space="preserve"> nr. 3393</w:t>
      </w:r>
      <w:r w:rsidR="0033620E" w:rsidRPr="0033620E">
        <w:rPr>
          <w:sz w:val="14"/>
          <w:szCs w:val="14"/>
        </w:rPr>
        <w:t>.</w:t>
      </w:r>
    </w:p>
  </w:footnote>
  <w:footnote w:id="2">
    <w:p w14:paraId="7D846E5A" w14:textId="132C5ECA" w:rsidR="00BD79E9" w:rsidRPr="0033620E" w:rsidRDefault="00BD79E9" w:rsidP="00BD79E9">
      <w:pPr>
        <w:pStyle w:val="Voetnoottekst"/>
        <w:rPr>
          <w:sz w:val="14"/>
          <w:szCs w:val="14"/>
        </w:rPr>
      </w:pPr>
      <w:r w:rsidRPr="0033620E">
        <w:rPr>
          <w:rStyle w:val="Voetnootmarkering"/>
          <w:sz w:val="14"/>
          <w:szCs w:val="14"/>
        </w:rPr>
        <w:footnoteRef/>
      </w:r>
      <w:r w:rsidR="0033620E" w:rsidRPr="0033620E">
        <w:rPr>
          <w:sz w:val="14"/>
          <w:szCs w:val="14"/>
        </w:rPr>
        <w:t xml:space="preserve"> Kamerstukken II, vergaderjaar 2025-2026, </w:t>
      </w:r>
      <w:r w:rsidRPr="0033620E">
        <w:rPr>
          <w:sz w:val="14"/>
          <w:szCs w:val="14"/>
        </w:rPr>
        <w:t>25</w:t>
      </w:r>
      <w:r w:rsidR="0033620E" w:rsidRPr="0033620E">
        <w:rPr>
          <w:sz w:val="14"/>
          <w:szCs w:val="14"/>
        </w:rPr>
        <w:t xml:space="preserve"> </w:t>
      </w:r>
      <w:r w:rsidRPr="0033620E">
        <w:rPr>
          <w:sz w:val="14"/>
          <w:szCs w:val="14"/>
        </w:rPr>
        <w:t>074</w:t>
      </w:r>
      <w:r w:rsidR="0033620E" w:rsidRPr="0033620E">
        <w:rPr>
          <w:sz w:val="14"/>
          <w:szCs w:val="14"/>
        </w:rPr>
        <w:t>, nr. 2</w:t>
      </w:r>
      <w:r w:rsidRPr="0033620E">
        <w:rPr>
          <w:sz w:val="14"/>
          <w:szCs w:val="14"/>
        </w:rPr>
        <w:t>02</w:t>
      </w:r>
      <w:r w:rsidR="0033620E" w:rsidRPr="0033620E">
        <w:rPr>
          <w:sz w:val="14"/>
          <w:szCs w:val="14"/>
        </w:rPr>
        <w:t xml:space="preserve"> &amp; </w:t>
      </w:r>
      <w:r w:rsidRPr="0033620E">
        <w:rPr>
          <w:sz w:val="14"/>
          <w:szCs w:val="14"/>
        </w:rPr>
        <w:t>21 501-02</w:t>
      </w:r>
      <w:r w:rsidR="0033620E" w:rsidRPr="0033620E">
        <w:rPr>
          <w:sz w:val="14"/>
          <w:szCs w:val="14"/>
        </w:rPr>
        <w:t>,</w:t>
      </w:r>
      <w:r w:rsidRPr="0033620E">
        <w:rPr>
          <w:sz w:val="14"/>
          <w:szCs w:val="14"/>
        </w:rPr>
        <w:t xml:space="preserve"> </w:t>
      </w:r>
      <w:r w:rsidR="0033620E" w:rsidRPr="0033620E">
        <w:rPr>
          <w:sz w:val="14"/>
          <w:szCs w:val="14"/>
        </w:rPr>
        <w:t>n</w:t>
      </w:r>
      <w:r w:rsidRPr="0033620E">
        <w:rPr>
          <w:sz w:val="14"/>
          <w:szCs w:val="14"/>
        </w:rPr>
        <w:t xml:space="preserve">r. </w:t>
      </w:r>
      <w:r w:rsidR="0033620E" w:rsidRPr="0033620E">
        <w:rPr>
          <w:sz w:val="14"/>
          <w:szCs w:val="14"/>
        </w:rPr>
        <w:t>3369.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E84A" w14:textId="320BE373" w:rsidR="00BB60B5" w:rsidRDefault="00D9322D">
    <w:r>
      <w:rPr>
        <w:noProof/>
      </w:rPr>
      <mc:AlternateContent>
        <mc:Choice Requires="wps">
          <w:drawing>
            <wp:anchor distT="0" distB="0" distL="0" distR="0" simplePos="0" relativeHeight="251658240" behindDoc="0" locked="1" layoutInCell="1" allowOverlap="1" wp14:anchorId="6A1FE84E" wp14:editId="43170191">
              <wp:simplePos x="0" y="0"/>
              <wp:positionH relativeFrom="page">
                <wp:posOffset>5920740</wp:posOffset>
              </wp:positionH>
              <wp:positionV relativeFrom="page">
                <wp:posOffset>1965960</wp:posOffset>
              </wp:positionV>
              <wp:extent cx="140208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02080" cy="8009890"/>
                      </a:xfrm>
                      <a:prstGeom prst="rect">
                        <a:avLst/>
                      </a:prstGeom>
                      <a:noFill/>
                    </wps:spPr>
                    <wps:txbx>
                      <w:txbxContent>
                        <w:p w14:paraId="6A1FE87C" w14:textId="77777777" w:rsidR="00BB60B5" w:rsidRDefault="00D9322D">
                          <w:pPr>
                            <w:pStyle w:val="Referentiegegevensbold"/>
                          </w:pPr>
                          <w:r>
                            <w:t>Ministerie van Buitenlandse Zaken</w:t>
                          </w:r>
                        </w:p>
                        <w:p w14:paraId="6A1FE87D" w14:textId="77777777" w:rsidR="00BB60B5" w:rsidRDefault="00BB60B5">
                          <w:pPr>
                            <w:pStyle w:val="WitregelW2"/>
                          </w:pPr>
                        </w:p>
                        <w:p w14:paraId="6A1FE87E" w14:textId="77777777" w:rsidR="00BB60B5" w:rsidRDefault="00D9322D">
                          <w:pPr>
                            <w:pStyle w:val="Referentiegegevensbold"/>
                          </w:pPr>
                          <w:r>
                            <w:t>Onze referentie</w:t>
                          </w:r>
                        </w:p>
                        <w:p w14:paraId="6A1FE87F" w14:textId="1D70CD0A" w:rsidR="00BB60B5" w:rsidRDefault="00D9322D">
                          <w:pPr>
                            <w:pStyle w:val="Referentiegegevens"/>
                          </w:pPr>
                          <w:r>
                            <w:t>BZ263</w:t>
                          </w:r>
                          <w:r w:rsidR="004D61DD">
                            <w:t>1305</w:t>
                          </w:r>
                        </w:p>
                      </w:txbxContent>
                    </wps:txbx>
                    <wps:bodyPr vert="horz" wrap="square" lIns="0" tIns="0" rIns="0" bIns="0" anchor="t" anchorCtr="0"/>
                  </wps:wsp>
                </a:graphicData>
              </a:graphic>
              <wp14:sizeRelH relativeFrom="margin">
                <wp14:pctWidth>0</wp14:pctWidth>
              </wp14:sizeRelH>
            </wp:anchor>
          </w:drawing>
        </mc:Choice>
        <mc:Fallback>
          <w:pict>
            <v:shapetype w14:anchorId="6A1FE84E" id="_x0000_t202" coordsize="21600,21600" o:spt="202" path="m,l,21600r21600,l21600,xe">
              <v:stroke joinstyle="miter"/>
              <v:path gradientshapeok="t" o:connecttype="rect"/>
            </v:shapetype>
            <v:shape id="41b1110a-80a4-11ea-b356-6230a4311406" o:spid="_x0000_s1026" type="#_x0000_t202" style="position:absolute;margin-left:466.2pt;margin-top:154.8pt;width:110.4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" filled="f" stroked="f">
              <v:textbox inset="0,0,0,0">
                <w:txbxContent>
                  <w:p w14:paraId="6A1FE87C" w14:textId="77777777" w:rsidR="00BB60B5" w:rsidRDefault="00D9322D">
                    <w:pPr>
                      <w:pStyle w:val="Referentiegegevensbold"/>
                    </w:pPr>
                    <w:r>
                      <w:t>Ministerie van Buitenlandse Zaken</w:t>
                    </w:r>
                  </w:p>
                  <w:p w14:paraId="6A1FE87D" w14:textId="77777777" w:rsidR="00BB60B5" w:rsidRDefault="00BB60B5">
                    <w:pPr>
                      <w:pStyle w:val="WitregelW2"/>
                    </w:pPr>
                  </w:p>
                  <w:p w14:paraId="6A1FE87E" w14:textId="77777777" w:rsidR="00BB60B5" w:rsidRDefault="00D9322D">
                    <w:pPr>
                      <w:pStyle w:val="Referentiegegevensbold"/>
                    </w:pPr>
                    <w:r>
                      <w:t>Onze referentie</w:t>
                    </w:r>
                  </w:p>
                  <w:p w14:paraId="6A1FE87F" w14:textId="1D70CD0A" w:rsidR="00BB60B5" w:rsidRDefault="00D9322D">
                    <w:pPr>
                      <w:pStyle w:val="Referentiegegevens"/>
                    </w:pPr>
                    <w:r>
                      <w:t>BZ263</w:t>
                    </w:r>
                    <w:r w:rsidR="004D61DD">
                      <w:t>1305</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6A1FE852" wp14:editId="0D218ECB">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A1FE88E" w14:textId="77777777" w:rsidR="00D9322D" w:rsidRDefault="00D9322D"/>
                      </w:txbxContent>
                    </wps:txbx>
                    <wps:bodyPr vert="horz" wrap="square" lIns="0" tIns="0" rIns="0" bIns="0" anchor="t" anchorCtr="0"/>
                  </wps:wsp>
                </a:graphicData>
              </a:graphic>
            </wp:anchor>
          </w:drawing>
        </mc:Choice>
        <mc:Fallback>
          <w:pict>
            <v:shape w14:anchorId="6A1FE852" id="41b1115b-80a4-11ea-b356-6230a4311406" o:spid="_x0000_s1027" type="#_x0000_t202" style="position:absolute;margin-left:466.25pt;margin-top:802.75pt;width:101.2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6A1FE88E" w14:textId="77777777" w:rsidR="00D9322D" w:rsidRDefault="00D9322D"/>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E84C" w14:textId="1C8D2816" w:rsidR="00BB60B5" w:rsidRDefault="00D9322D">
    <w:pPr>
      <w:spacing w:after="7131" w:line="14" w:lineRule="exact"/>
    </w:pPr>
    <w:r>
      <w:rPr>
        <w:noProof/>
      </w:rPr>
      <mc:AlternateContent>
        <mc:Choice Requires="wps">
          <w:drawing>
            <wp:anchor distT="0" distB="0" distL="0" distR="0" simplePos="0" relativeHeight="251658243" behindDoc="0" locked="1" layoutInCell="1" allowOverlap="1" wp14:anchorId="6A1FE854" wp14:editId="6A1FE855">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6A1FE881" w14:textId="77777777" w:rsidR="00D9322D" w:rsidRDefault="00D9322D"/>
                      </w:txbxContent>
                    </wps:txbx>
                    <wps:bodyPr vert="horz" wrap="square" lIns="0" tIns="0" rIns="0" bIns="0" anchor="t" anchorCtr="0"/>
                  </wps:wsp>
                </a:graphicData>
              </a:graphic>
            </wp:anchor>
          </w:drawing>
        </mc:Choice>
        <mc:Fallback>
          <w:pict>
            <v:shapetype w14:anchorId="6A1FE854"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6A1FE881" w14:textId="77777777" w:rsidR="00D9322D" w:rsidRDefault="00D9322D"/>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6A1FE856" wp14:editId="6A1FE857">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A1FE865" w14:textId="7B9A6BDB" w:rsidR="00BB60B5" w:rsidRDefault="00D9322D">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6A1FE856" id="41b10c0b-80a4-11ea-b356-6230a4311406" o:spid="_x0000_s1029"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6A1FE865" w14:textId="7B9A6BDB" w:rsidR="00BB60B5" w:rsidRDefault="00D9322D">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6A1FE858" wp14:editId="6A1FE859">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BB60B5" w14:paraId="6A1FE868" w14:textId="77777777">
                            <w:tc>
                              <w:tcPr>
                                <w:tcW w:w="678" w:type="dxa"/>
                              </w:tcPr>
                              <w:p w14:paraId="6A1FE866" w14:textId="77777777" w:rsidR="00BB60B5" w:rsidRDefault="00D9322D">
                                <w:r>
                                  <w:t>Datum</w:t>
                                </w:r>
                              </w:p>
                            </w:tc>
                            <w:tc>
                              <w:tcPr>
                                <w:tcW w:w="6851" w:type="dxa"/>
                              </w:tcPr>
                              <w:p w14:paraId="6A1FE867" w14:textId="2F491992" w:rsidR="00BB60B5" w:rsidRDefault="0093538E">
                                <w:r>
                                  <w:t>2</w:t>
                                </w:r>
                                <w:r w:rsidR="003D1CAD">
                                  <w:t>7</w:t>
                                </w:r>
                                <w:r>
                                  <w:t xml:space="preserve"> </w:t>
                                </w:r>
                                <w:r w:rsidR="0061102D">
                                  <w:t>augustus</w:t>
                                </w:r>
                                <w:r w:rsidR="00D9322D">
                                  <w:t xml:space="preserve"> 2026</w:t>
                                </w:r>
                              </w:p>
                            </w:tc>
                          </w:tr>
                          <w:tr w:rsidR="00BB60B5" w:rsidRPr="002F167D" w14:paraId="6A1FE86D" w14:textId="77777777">
                            <w:tc>
                              <w:tcPr>
                                <w:tcW w:w="678" w:type="dxa"/>
                              </w:tcPr>
                              <w:p w14:paraId="6A1FE869" w14:textId="77777777" w:rsidR="00BB60B5" w:rsidRDefault="00D9322D">
                                <w:r>
                                  <w:t>Betreft</w:t>
                                </w:r>
                              </w:p>
                              <w:p w14:paraId="6A1FE86A" w14:textId="77777777" w:rsidR="00BB60B5" w:rsidRDefault="00BB60B5"/>
                            </w:tc>
                            <w:tc>
                              <w:tcPr>
                                <w:tcW w:w="6851" w:type="dxa"/>
                              </w:tcPr>
                              <w:p w14:paraId="6A1FE86B" w14:textId="504D2BE5" w:rsidR="00BB60B5" w:rsidRPr="002F167D" w:rsidRDefault="00AA0426">
                                <w:pPr>
                                  <w:rPr>
                                    <w:lang w:val="en-US"/>
                                  </w:rPr>
                                </w:pPr>
                                <w:r>
                                  <w:rPr>
                                    <w:lang w:val="en-US"/>
                                  </w:rPr>
                                  <w:t xml:space="preserve">Kabinetsappreciatie </w:t>
                                </w:r>
                                <w:r w:rsidR="00D9322D" w:rsidRPr="002F167D">
                                  <w:rPr>
                                    <w:lang w:val="en-US"/>
                                  </w:rPr>
                                  <w:t>Electronic Commerce Agreement</w:t>
                                </w:r>
                              </w:p>
                              <w:p w14:paraId="6A1FE86C" w14:textId="77777777" w:rsidR="00BB60B5" w:rsidRPr="002F167D" w:rsidRDefault="00BB60B5">
                                <w:pPr>
                                  <w:rPr>
                                    <w:lang w:val="en-US"/>
                                  </w:rPr>
                                </w:pPr>
                              </w:p>
                            </w:tc>
                          </w:tr>
                        </w:tbl>
                        <w:p w14:paraId="6A1FE86E" w14:textId="77777777" w:rsidR="00BB60B5" w:rsidRPr="002F167D" w:rsidRDefault="00BB60B5">
                          <w:pPr>
                            <w:rPr>
                              <w:lang w:val="en-US"/>
                            </w:rPr>
                          </w:pPr>
                        </w:p>
                        <w:p w14:paraId="6A1FE86F" w14:textId="77777777" w:rsidR="00BB60B5" w:rsidRPr="002F167D" w:rsidRDefault="00BB60B5">
                          <w:pPr>
                            <w:rPr>
                              <w:lang w:val="en-US"/>
                            </w:rPr>
                          </w:pPr>
                        </w:p>
                      </w:txbxContent>
                    </wps:txbx>
                    <wps:bodyPr vert="horz" wrap="square" lIns="0" tIns="0" rIns="0" bIns="0" anchor="t" anchorCtr="0"/>
                  </wps:wsp>
                </a:graphicData>
              </a:graphic>
            </wp:anchor>
          </w:drawing>
        </mc:Choice>
        <mc:Fallback>
          <w:pict>
            <v:shape w14:anchorId="6A1FE858" id="41b10c7e-80a4-11ea-b356-6230a4311406" o:spid="_x0000_s1030" type="#_x0000_t202" style="position:absolute;margin-left:79.35pt;margin-top:296.5pt;width:376.45pt;height:47.9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BB60B5" w14:paraId="6A1FE868" w14:textId="77777777">
                      <w:tc>
                        <w:tcPr>
                          <w:tcW w:w="678" w:type="dxa"/>
                        </w:tcPr>
                        <w:p w14:paraId="6A1FE866" w14:textId="77777777" w:rsidR="00BB60B5" w:rsidRDefault="00D9322D">
                          <w:r>
                            <w:t>Datum</w:t>
                          </w:r>
                        </w:p>
                      </w:tc>
                      <w:tc>
                        <w:tcPr>
                          <w:tcW w:w="6851" w:type="dxa"/>
                        </w:tcPr>
                        <w:p w14:paraId="6A1FE867" w14:textId="2F491992" w:rsidR="00BB60B5" w:rsidRDefault="0093538E">
                          <w:r>
                            <w:t>2</w:t>
                          </w:r>
                          <w:r w:rsidR="003D1CAD">
                            <w:t>7</w:t>
                          </w:r>
                          <w:r>
                            <w:t xml:space="preserve"> </w:t>
                          </w:r>
                          <w:r w:rsidR="0061102D">
                            <w:t>augustus</w:t>
                          </w:r>
                          <w:r w:rsidR="00D9322D">
                            <w:t xml:space="preserve"> 2026</w:t>
                          </w:r>
                        </w:p>
                      </w:tc>
                    </w:tr>
                    <w:tr w:rsidR="00BB60B5" w:rsidRPr="002F167D" w14:paraId="6A1FE86D" w14:textId="77777777">
                      <w:tc>
                        <w:tcPr>
                          <w:tcW w:w="678" w:type="dxa"/>
                        </w:tcPr>
                        <w:p w14:paraId="6A1FE869" w14:textId="77777777" w:rsidR="00BB60B5" w:rsidRDefault="00D9322D">
                          <w:r>
                            <w:t>Betreft</w:t>
                          </w:r>
                        </w:p>
                        <w:p w14:paraId="6A1FE86A" w14:textId="77777777" w:rsidR="00BB60B5" w:rsidRDefault="00BB60B5"/>
                      </w:tc>
                      <w:tc>
                        <w:tcPr>
                          <w:tcW w:w="6851" w:type="dxa"/>
                        </w:tcPr>
                        <w:p w14:paraId="6A1FE86B" w14:textId="504D2BE5" w:rsidR="00BB60B5" w:rsidRPr="002F167D" w:rsidRDefault="00AA0426">
                          <w:pPr>
                            <w:rPr>
                              <w:lang w:val="en-US"/>
                            </w:rPr>
                          </w:pPr>
                          <w:r>
                            <w:rPr>
                              <w:lang w:val="en-US"/>
                            </w:rPr>
                            <w:t xml:space="preserve">Kabinetsappreciatie </w:t>
                          </w:r>
                          <w:r w:rsidR="00D9322D" w:rsidRPr="002F167D">
                            <w:rPr>
                              <w:lang w:val="en-US"/>
                            </w:rPr>
                            <w:t>Electronic Commerce Agreement</w:t>
                          </w:r>
                        </w:p>
                        <w:p w14:paraId="6A1FE86C" w14:textId="77777777" w:rsidR="00BB60B5" w:rsidRPr="002F167D" w:rsidRDefault="00BB60B5">
                          <w:pPr>
                            <w:rPr>
                              <w:lang w:val="en-US"/>
                            </w:rPr>
                          </w:pPr>
                        </w:p>
                      </w:tc>
                    </w:tr>
                  </w:tbl>
                  <w:p w14:paraId="6A1FE86E" w14:textId="77777777" w:rsidR="00BB60B5" w:rsidRPr="002F167D" w:rsidRDefault="00BB60B5">
                    <w:pPr>
                      <w:rPr>
                        <w:lang w:val="en-US"/>
                      </w:rPr>
                    </w:pPr>
                  </w:p>
                  <w:p w14:paraId="6A1FE86F" w14:textId="77777777" w:rsidR="00BB60B5" w:rsidRPr="002F167D" w:rsidRDefault="00BB60B5">
                    <w:pPr>
                      <w:rPr>
                        <w:lang w:val="en-US"/>
                      </w:rPr>
                    </w:pP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6A1FE85A" wp14:editId="166DB1CE">
              <wp:simplePos x="0" y="0"/>
              <wp:positionH relativeFrom="page">
                <wp:posOffset>5920740</wp:posOffset>
              </wp:positionH>
              <wp:positionV relativeFrom="page">
                <wp:posOffset>1965960</wp:posOffset>
              </wp:positionV>
              <wp:extent cx="139446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94460" cy="8009890"/>
                      </a:xfrm>
                      <a:prstGeom prst="rect">
                        <a:avLst/>
                      </a:prstGeom>
                      <a:noFill/>
                    </wps:spPr>
                    <wps:txbx>
                      <w:txbxContent>
                        <w:p w14:paraId="6A1FE871" w14:textId="366AB34A" w:rsidR="00BB60B5" w:rsidRDefault="00D9322D" w:rsidP="0093538E">
                          <w:pPr>
                            <w:pStyle w:val="Referentiegegevensbold"/>
                          </w:pPr>
                          <w:r>
                            <w:t>Ministerie van Buitenlandse Zaken</w:t>
                          </w:r>
                        </w:p>
                        <w:p w14:paraId="6A1FE873" w14:textId="16F7CA1F" w:rsidR="00BB60B5" w:rsidRDefault="004D61DD" w:rsidP="00816D9C">
                          <w:pPr>
                            <w:pStyle w:val="Referentiegegevens"/>
                            <w:spacing w:line="360" w:lineRule="auto"/>
                          </w:pPr>
                          <w:r>
                            <w:t>Rijnstraat 8</w:t>
                          </w:r>
                          <w:r>
                            <w:br/>
                            <w:t>2515 XP Den Haag</w:t>
                          </w:r>
                          <w:r>
                            <w:br/>
                            <w:t>Postbus 20061</w:t>
                          </w:r>
                          <w:r>
                            <w:br/>
                            <w:t>Nederland</w:t>
                          </w:r>
                          <w:r>
                            <w:br/>
                          </w:r>
                          <w:r w:rsidR="00D9322D">
                            <w:t>www.minbuza.nl</w:t>
                          </w:r>
                        </w:p>
                        <w:p w14:paraId="6A1FE874" w14:textId="77777777" w:rsidR="00BB60B5" w:rsidRDefault="00BB60B5">
                          <w:pPr>
                            <w:pStyle w:val="WitregelW2"/>
                          </w:pPr>
                        </w:p>
                        <w:p w14:paraId="6A1FE875" w14:textId="77777777" w:rsidR="00BB60B5" w:rsidRDefault="00D9322D">
                          <w:pPr>
                            <w:pStyle w:val="Referentiegegevensbold"/>
                          </w:pPr>
                          <w:r>
                            <w:t>Onze referentie</w:t>
                          </w:r>
                        </w:p>
                        <w:p w14:paraId="6A1FE876" w14:textId="69C2F7B0" w:rsidR="00BB60B5" w:rsidRDefault="00D9322D">
                          <w:pPr>
                            <w:pStyle w:val="Referentiegegevens"/>
                          </w:pPr>
                          <w:r>
                            <w:t>BZ263</w:t>
                          </w:r>
                          <w:r w:rsidR="004D61DD">
                            <w:t>1305</w:t>
                          </w:r>
                        </w:p>
                        <w:p w14:paraId="6A1FE877" w14:textId="77777777" w:rsidR="00BB60B5" w:rsidRDefault="00BB60B5">
                          <w:pPr>
                            <w:pStyle w:val="WitregelW1"/>
                          </w:pPr>
                        </w:p>
                        <w:p w14:paraId="6A1FE878" w14:textId="77777777" w:rsidR="00BB60B5" w:rsidRDefault="00D9322D">
                          <w:pPr>
                            <w:pStyle w:val="Referentiegegevensbold"/>
                          </w:pPr>
                          <w:r>
                            <w:t>Bijlage(n)</w:t>
                          </w:r>
                        </w:p>
                        <w:p w14:paraId="6A1FE879" w14:textId="77777777" w:rsidR="00BB60B5" w:rsidRDefault="00D9322D">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6A1FE85A" id="41b10cd4-80a4-11ea-b356-6230a4311406" o:spid="_x0000_s1031" type="#_x0000_t202" style="position:absolute;margin-left:466.2pt;margin-top:154.8pt;width:109.8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" filled="f" stroked="f">
              <v:textbox inset="0,0,0,0">
                <w:txbxContent>
                  <w:p w14:paraId="6A1FE871" w14:textId="366AB34A" w:rsidR="00BB60B5" w:rsidRDefault="00D9322D" w:rsidP="0093538E">
                    <w:pPr>
                      <w:pStyle w:val="Referentiegegevensbold"/>
                    </w:pPr>
                    <w:r>
                      <w:t>Ministerie van Buitenlandse Zaken</w:t>
                    </w:r>
                  </w:p>
                  <w:p w14:paraId="6A1FE873" w14:textId="16F7CA1F" w:rsidR="00BB60B5" w:rsidRDefault="004D61DD" w:rsidP="00816D9C">
                    <w:pPr>
                      <w:pStyle w:val="Referentiegegevens"/>
                      <w:spacing w:line="360" w:lineRule="auto"/>
                    </w:pPr>
                    <w:r>
                      <w:t>Rijnstraat 8</w:t>
                    </w:r>
                    <w:r>
                      <w:br/>
                      <w:t>2515 XP Den Haag</w:t>
                    </w:r>
                    <w:r>
                      <w:br/>
                      <w:t>Postbus 20061</w:t>
                    </w:r>
                    <w:r>
                      <w:br/>
                      <w:t>Nederland</w:t>
                    </w:r>
                    <w:r>
                      <w:br/>
                    </w:r>
                    <w:r w:rsidR="00D9322D">
                      <w:t>www.minbuza.nl</w:t>
                    </w:r>
                  </w:p>
                  <w:p w14:paraId="6A1FE874" w14:textId="77777777" w:rsidR="00BB60B5" w:rsidRDefault="00BB60B5">
                    <w:pPr>
                      <w:pStyle w:val="WitregelW2"/>
                    </w:pPr>
                  </w:p>
                  <w:p w14:paraId="6A1FE875" w14:textId="77777777" w:rsidR="00BB60B5" w:rsidRDefault="00D9322D">
                    <w:pPr>
                      <w:pStyle w:val="Referentiegegevensbold"/>
                    </w:pPr>
                    <w:r>
                      <w:t>Onze referentie</w:t>
                    </w:r>
                  </w:p>
                  <w:p w14:paraId="6A1FE876" w14:textId="69C2F7B0" w:rsidR="00BB60B5" w:rsidRDefault="00D9322D">
                    <w:pPr>
                      <w:pStyle w:val="Referentiegegevens"/>
                    </w:pPr>
                    <w:r>
                      <w:t>BZ263</w:t>
                    </w:r>
                    <w:r w:rsidR="004D61DD">
                      <w:t>1305</w:t>
                    </w:r>
                  </w:p>
                  <w:p w14:paraId="6A1FE877" w14:textId="77777777" w:rsidR="00BB60B5" w:rsidRDefault="00BB60B5">
                    <w:pPr>
                      <w:pStyle w:val="WitregelW1"/>
                    </w:pPr>
                  </w:p>
                  <w:p w14:paraId="6A1FE878" w14:textId="77777777" w:rsidR="00BB60B5" w:rsidRDefault="00D9322D">
                    <w:pPr>
                      <w:pStyle w:val="Referentiegegevensbold"/>
                    </w:pPr>
                    <w:r>
                      <w:t>Bijlage(n)</w:t>
                    </w:r>
                  </w:p>
                  <w:p w14:paraId="6A1FE879" w14:textId="77777777" w:rsidR="00BB60B5" w:rsidRDefault="00D9322D">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6A1FE85E" wp14:editId="62C16CAD">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A1FE887" w14:textId="77777777" w:rsidR="00D9322D" w:rsidRDefault="00D9322D"/>
                      </w:txbxContent>
                    </wps:txbx>
                    <wps:bodyPr vert="horz" wrap="square" lIns="0" tIns="0" rIns="0" bIns="0" anchor="t" anchorCtr="0"/>
                  </wps:wsp>
                </a:graphicData>
              </a:graphic>
            </wp:anchor>
          </w:drawing>
        </mc:Choice>
        <mc:Fallback>
          <w:pict>
            <v:shape w14:anchorId="6A1FE85E" id="41b10d73-80a4-11ea-b356-6230a4311406" o:spid="_x0000_s1032"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6A1FE887" w14:textId="77777777" w:rsidR="00D9322D" w:rsidRDefault="00D9322D"/>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6A1FE860" wp14:editId="6A1FE861">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A1FE889" w14:textId="77777777" w:rsidR="00D9322D" w:rsidRDefault="00D9322D"/>
                      </w:txbxContent>
                    </wps:txbx>
                    <wps:bodyPr vert="horz" wrap="square" lIns="0" tIns="0" rIns="0" bIns="0" anchor="t" anchorCtr="0"/>
                  </wps:wsp>
                </a:graphicData>
              </a:graphic>
            </wp:anchor>
          </w:drawing>
        </mc:Choice>
        <mc:Fallback>
          <w:pict>
            <v:shape w14:anchorId="6A1FE860" id="41b10dc3-80a4-11ea-b356-6230a4311406" o:spid="_x0000_s1033"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6A1FE889" w14:textId="77777777" w:rsidR="00D9322D" w:rsidRDefault="00D9322D"/>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6A1FE862" wp14:editId="6A1FE863">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A1FE87B" w14:textId="77777777" w:rsidR="00BB60B5" w:rsidRDefault="00D9322D">
                          <w:pPr>
                            <w:spacing w:line="240" w:lineRule="auto"/>
                          </w:pPr>
                          <w:r>
                            <w:rPr>
                              <w:noProof/>
                            </w:rPr>
                            <w:drawing>
                              <wp:inline distT="0" distB="0" distL="0" distR="0" wp14:anchorId="191C863A" wp14:editId="6A1FE882">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A1FE862" id="41b10edc-80a4-11ea-b356-6230a4311406" o:spid="_x0000_s1034"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6A1FE87B" w14:textId="77777777" w:rsidR="00BB60B5" w:rsidRDefault="00D9322D">
                    <w:pPr>
                      <w:spacing w:line="240" w:lineRule="auto"/>
                    </w:pPr>
                    <w:r>
                      <w:rPr>
                        <w:noProof/>
                      </w:rPr>
                      <w:drawing>
                        <wp:inline distT="0" distB="0" distL="0" distR="0" wp14:anchorId="191C863A" wp14:editId="6A1FE882">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0D1B0B"/>
    <w:multiLevelType w:val="multilevel"/>
    <w:tmpl w:val="19B614EC"/>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14135696"/>
    <w:multiLevelType w:val="multilevel"/>
    <w:tmpl w:val="74CA6341"/>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2036313C"/>
    <w:multiLevelType w:val="multilevel"/>
    <w:tmpl w:val="1B952509"/>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 w15:restartNumberingAfterBreak="0">
    <w:nsid w:val="3BEA9EE8"/>
    <w:multiLevelType w:val="multilevel"/>
    <w:tmpl w:val="03C44383"/>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8F217F"/>
    <w:multiLevelType w:val="multilevel"/>
    <w:tmpl w:val="6B63E6B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582836725">
    <w:abstractNumId w:val="2"/>
  </w:num>
  <w:num w:numId="2" w16cid:durableId="1649507647">
    <w:abstractNumId w:val="0"/>
  </w:num>
  <w:num w:numId="3" w16cid:durableId="411781601">
    <w:abstractNumId w:val="4"/>
  </w:num>
  <w:num w:numId="4" w16cid:durableId="798959386">
    <w:abstractNumId w:val="1"/>
  </w:num>
  <w:num w:numId="5" w16cid:durableId="1947689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0B5"/>
    <w:rsid w:val="00000EA3"/>
    <w:rsid w:val="000322AF"/>
    <w:rsid w:val="000974D1"/>
    <w:rsid w:val="000A5404"/>
    <w:rsid w:val="000D325D"/>
    <w:rsid w:val="000E12F5"/>
    <w:rsid w:val="00126853"/>
    <w:rsid w:val="00130EE7"/>
    <w:rsid w:val="0013477F"/>
    <w:rsid w:val="00156C74"/>
    <w:rsid w:val="0016328A"/>
    <w:rsid w:val="00170B33"/>
    <w:rsid w:val="001B61AC"/>
    <w:rsid w:val="001D1671"/>
    <w:rsid w:val="001F479E"/>
    <w:rsid w:val="001F6C7B"/>
    <w:rsid w:val="00212FF5"/>
    <w:rsid w:val="00285D1B"/>
    <w:rsid w:val="00290713"/>
    <w:rsid w:val="002973C9"/>
    <w:rsid w:val="002E09CC"/>
    <w:rsid w:val="002F167D"/>
    <w:rsid w:val="00316D8B"/>
    <w:rsid w:val="0033620E"/>
    <w:rsid w:val="00353C87"/>
    <w:rsid w:val="00355771"/>
    <w:rsid w:val="00366199"/>
    <w:rsid w:val="003713F3"/>
    <w:rsid w:val="00393E6D"/>
    <w:rsid w:val="003A7709"/>
    <w:rsid w:val="003D1CAD"/>
    <w:rsid w:val="003D67E7"/>
    <w:rsid w:val="004113B4"/>
    <w:rsid w:val="00411F15"/>
    <w:rsid w:val="00441DF2"/>
    <w:rsid w:val="004D200D"/>
    <w:rsid w:val="004D61DD"/>
    <w:rsid w:val="00537447"/>
    <w:rsid w:val="00545B54"/>
    <w:rsid w:val="00556F59"/>
    <w:rsid w:val="00562EA7"/>
    <w:rsid w:val="00607CAB"/>
    <w:rsid w:val="0061102D"/>
    <w:rsid w:val="00621D8B"/>
    <w:rsid w:val="00640F92"/>
    <w:rsid w:val="0064460A"/>
    <w:rsid w:val="00644BF8"/>
    <w:rsid w:val="00645980"/>
    <w:rsid w:val="006551B2"/>
    <w:rsid w:val="00655A17"/>
    <w:rsid w:val="006621DF"/>
    <w:rsid w:val="00672DCF"/>
    <w:rsid w:val="006D30E6"/>
    <w:rsid w:val="006E58C7"/>
    <w:rsid w:val="00722AC7"/>
    <w:rsid w:val="007308C2"/>
    <w:rsid w:val="00736618"/>
    <w:rsid w:val="00746795"/>
    <w:rsid w:val="00775746"/>
    <w:rsid w:val="007C2595"/>
    <w:rsid w:val="007C3F0C"/>
    <w:rsid w:val="007C54F6"/>
    <w:rsid w:val="007C6261"/>
    <w:rsid w:val="007D4325"/>
    <w:rsid w:val="00816D9C"/>
    <w:rsid w:val="008373BD"/>
    <w:rsid w:val="0086134D"/>
    <w:rsid w:val="0087385C"/>
    <w:rsid w:val="008836ED"/>
    <w:rsid w:val="0093538E"/>
    <w:rsid w:val="009946EC"/>
    <w:rsid w:val="009B2A96"/>
    <w:rsid w:val="009C1A48"/>
    <w:rsid w:val="009F1E5C"/>
    <w:rsid w:val="00A224A6"/>
    <w:rsid w:val="00A24F7D"/>
    <w:rsid w:val="00A76302"/>
    <w:rsid w:val="00AA0426"/>
    <w:rsid w:val="00AA1EA4"/>
    <w:rsid w:val="00AC73F4"/>
    <w:rsid w:val="00AD59B5"/>
    <w:rsid w:val="00B23228"/>
    <w:rsid w:val="00B25CF5"/>
    <w:rsid w:val="00B44999"/>
    <w:rsid w:val="00BB60B5"/>
    <w:rsid w:val="00BC390A"/>
    <w:rsid w:val="00BD79E9"/>
    <w:rsid w:val="00BE77D3"/>
    <w:rsid w:val="00C10F8E"/>
    <w:rsid w:val="00C54D6F"/>
    <w:rsid w:val="00C73BC8"/>
    <w:rsid w:val="00CE7189"/>
    <w:rsid w:val="00D64AF7"/>
    <w:rsid w:val="00D9322D"/>
    <w:rsid w:val="00E61331"/>
    <w:rsid w:val="00E61461"/>
    <w:rsid w:val="00EB2585"/>
    <w:rsid w:val="00F400C3"/>
    <w:rsid w:val="00F471A6"/>
    <w:rsid w:val="00F64B16"/>
    <w:rsid w:val="00FA46E9"/>
    <w:rsid w:val="00FC2A5B"/>
    <w:rsid w:val="00FD7D0E"/>
    <w:rsid w:val="00FE1725"/>
    <w:rsid w:val="00FE2C05"/>
    <w:rsid w:val="7DD52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FE842"/>
  <w15:docId w15:val="{0E6C0C92-5E98-4C27-91CB-226057A3C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2F167D"/>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F167D"/>
    <w:rPr>
      <w:rFonts w:ascii="Verdana" w:hAnsi="Verdana"/>
      <w:color w:val="000000"/>
    </w:rPr>
  </w:style>
  <w:style w:type="character" w:styleId="Voetnootmarkering">
    <w:name w:val="footnote reference"/>
    <w:basedOn w:val="Standaardalinea-lettertype"/>
    <w:uiPriority w:val="99"/>
    <w:semiHidden/>
    <w:unhideWhenUsed/>
    <w:rsid w:val="002F167D"/>
    <w:rPr>
      <w:vertAlign w:val="superscript"/>
    </w:rPr>
  </w:style>
  <w:style w:type="paragraph" w:styleId="Koptekst">
    <w:name w:val="header"/>
    <w:basedOn w:val="Standaard"/>
    <w:link w:val="KoptekstChar"/>
    <w:uiPriority w:val="99"/>
    <w:unhideWhenUsed/>
    <w:rsid w:val="00AA042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A0426"/>
    <w:rPr>
      <w:rFonts w:ascii="Verdana" w:hAnsi="Verdana"/>
      <w:color w:val="000000"/>
      <w:sz w:val="18"/>
      <w:szCs w:val="18"/>
    </w:rPr>
  </w:style>
  <w:style w:type="paragraph" w:styleId="Voettekst">
    <w:name w:val="footer"/>
    <w:basedOn w:val="Standaard"/>
    <w:link w:val="VoettekstChar"/>
    <w:uiPriority w:val="99"/>
    <w:unhideWhenUsed/>
    <w:rsid w:val="00AA042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A0426"/>
    <w:rPr>
      <w:rFonts w:ascii="Verdana" w:hAnsi="Verdana"/>
      <w:color w:val="000000"/>
      <w:sz w:val="18"/>
      <w:szCs w:val="18"/>
    </w:rPr>
  </w:style>
  <w:style w:type="paragraph" w:styleId="Revisie">
    <w:name w:val="Revision"/>
    <w:hidden/>
    <w:uiPriority w:val="99"/>
    <w:semiHidden/>
    <w:rsid w:val="009B2A96"/>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9946EC"/>
    <w:rPr>
      <w:sz w:val="16"/>
      <w:szCs w:val="16"/>
    </w:rPr>
  </w:style>
  <w:style w:type="paragraph" w:styleId="Tekstopmerking">
    <w:name w:val="annotation text"/>
    <w:basedOn w:val="Standaard"/>
    <w:link w:val="TekstopmerkingChar"/>
    <w:uiPriority w:val="99"/>
    <w:unhideWhenUsed/>
    <w:rsid w:val="009946EC"/>
    <w:pPr>
      <w:spacing w:line="240" w:lineRule="auto"/>
    </w:pPr>
    <w:rPr>
      <w:sz w:val="20"/>
      <w:szCs w:val="20"/>
    </w:rPr>
  </w:style>
  <w:style w:type="character" w:customStyle="1" w:styleId="TekstopmerkingChar">
    <w:name w:val="Tekst opmerking Char"/>
    <w:basedOn w:val="Standaardalinea-lettertype"/>
    <w:link w:val="Tekstopmerking"/>
    <w:uiPriority w:val="99"/>
    <w:rsid w:val="009946E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946EC"/>
    <w:rPr>
      <w:b/>
      <w:bCs/>
    </w:rPr>
  </w:style>
  <w:style w:type="character" w:customStyle="1" w:styleId="OnderwerpvanopmerkingChar">
    <w:name w:val="Onderwerp van opmerking Char"/>
    <w:basedOn w:val="TekstopmerkingChar"/>
    <w:link w:val="Onderwerpvanopmerking"/>
    <w:uiPriority w:val="99"/>
    <w:semiHidden/>
    <w:rsid w:val="009946EC"/>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ntTable" Target="fontTable.xml" Id="rId18"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webSettings" Target="webSettings.xml" Id="rId11" /><Relationship Type="http://schemas.openxmlformats.org/officeDocument/2006/relationships/footer" Target="footer1.xml" Id="rId15" /><Relationship Type="http://schemas.openxmlformats.org/officeDocument/2006/relationships/settings" Target="settings.xml" Id="rId10" /><Relationship Type="http://schemas.openxmlformats.org/officeDocument/2006/relationships/theme" Target="theme/theme1.xml" Id="rId19"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webSetting" Target="webSettings0.xml" Id="rId27"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640</ap:Words>
  <ap:Characters>3523</ap:Characters>
  <ap:DocSecurity>0</ap:DocSecurity>
  <ap:Lines>29</ap:Lines>
  <ap:Paragraphs>8</ap:Paragraphs>
  <ap:ScaleCrop>false</ap:ScaleCrop>
  <ap:HeadingPairs>
    <vt:vector baseType="variant" size="2">
      <vt:variant>
        <vt:lpstr>Title</vt:lpstr>
      </vt:variant>
      <vt:variant>
        <vt:i4>1</vt:i4>
      </vt:variant>
    </vt:vector>
  </ap:HeadingPairs>
  <ap:TitlesOfParts>
    <vt:vector baseType="lpstr" size="1">
      <vt:lpstr>EU instemming met Electronic Commerce Agreement</vt:lpstr>
    </vt:vector>
  </ap:TitlesOfParts>
  <ap:LinksUpToDate>false</ap:LinksUpToDate>
  <ap:CharactersWithSpaces>4155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2026-08-24T14:36:00.0000000Z</lastPrinted>
  <dcterms:created xsi:type="dcterms:W3CDTF">2026-08-27T08:08:00.0000000Z</dcterms:created>
  <dcterms:modified xsi:type="dcterms:W3CDTF">2026-08-27T08:12:00.0000000Z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0x0101009C7CE436063D44E9BE7DC0259EF7C32F006EB9F9836A634AE58B6169785FD3936F00AA5B09C34F670E4989DDFEF3957234AE</vt:lpwstr>
  </property>
  <property fmtid="{D5CDD505-2E9C-101B-9397-08002B2CF9AE}" pid="3" name="BZDossierTemplate">
    <vt:lpwstr>ReguliereKamerbrief</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7;#Housing and real estate general|0bd32358-1e9d-4204-a5b5-3e5123d4968e</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5;#NO MARKING|0a4eb9ae-69eb-4d9e-b573-43ab99ef8592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4;#UNCLASSIFIED (U)|284e6a62-15ab-4017-be27-a1e965f4e940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https://247.plaza.buzaservices.nl/subject/PV-RK2026062026/BZ2631305/Reguliere%20kamerbrief%20-%20EU%20instemming%20met%20Electronic%20Commerce%20Agreement.docx, </vt:lpwstr>
  </property>
  <property fmtid="{D5CDD505-2E9C-101B-9397-08002B2CF9AE}" pid="24" name="_dlc_DocIdItemGuid">
    <vt:lpwstr>5a88c508-6e42-464f-9642-8ece89d94bcf</vt:lpwstr>
  </property>
  <property fmtid="{D5CDD505-2E9C-101B-9397-08002B2CF9AE}" pid="25" name="_docset_NoMedatataSyncRequired">
    <vt:lpwstr>False</vt:lpwstr>
  </property>
</Properties>
</file>