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0F73" w:rsidR="005A0F73" w:rsidP="005A0F73" w:rsidRDefault="00F45DDE" w14:paraId="74D047D1" w14:textId="330B6F32">
      <w:pPr>
        <w:spacing w:line="240" w:lineRule="auto"/>
        <w:rPr>
          <w:rFonts w:ascii="Calibri" w:hAnsi="Calibri" w:cs="Calibri"/>
        </w:rPr>
      </w:pPr>
      <w:r w:rsidRPr="005A0F73">
        <w:rPr>
          <w:rFonts w:ascii="Calibri" w:hAnsi="Calibri" w:cs="Calibri"/>
        </w:rPr>
        <w:t>32</w:t>
      </w:r>
      <w:r w:rsidRPr="005A0F73" w:rsidR="005A0F73">
        <w:rPr>
          <w:rFonts w:ascii="Calibri" w:hAnsi="Calibri" w:cs="Calibri"/>
        </w:rPr>
        <w:t xml:space="preserve"> </w:t>
      </w:r>
      <w:r w:rsidRPr="005A0F73">
        <w:rPr>
          <w:rFonts w:ascii="Calibri" w:hAnsi="Calibri" w:cs="Calibri"/>
        </w:rPr>
        <w:t>761</w:t>
      </w:r>
      <w:r w:rsidRPr="005A0F73" w:rsidR="005A0F73">
        <w:rPr>
          <w:rFonts w:ascii="Calibri" w:hAnsi="Calibri" w:cs="Calibri"/>
        </w:rPr>
        <w:tab/>
      </w:r>
      <w:r w:rsidRPr="005A0F73" w:rsidR="005A0F73">
        <w:rPr>
          <w:rFonts w:ascii="Calibri" w:hAnsi="Calibri" w:cs="Calibri"/>
        </w:rPr>
        <w:tab/>
        <w:t xml:space="preserve">Verwerking en bescherming persoonsgegevens </w:t>
      </w:r>
    </w:p>
    <w:p w:rsidRPr="005A0F73" w:rsidR="005A0F73" w:rsidP="005A0F73" w:rsidRDefault="005A0F73" w14:paraId="1BD7335E" w14:textId="58B58FF4">
      <w:pPr>
        <w:spacing w:line="240" w:lineRule="auto"/>
        <w:rPr>
          <w:rFonts w:ascii="Calibri" w:hAnsi="Calibri" w:cs="Calibri"/>
        </w:rPr>
      </w:pPr>
      <w:r w:rsidRPr="005A0F73">
        <w:rPr>
          <w:rFonts w:ascii="Calibri" w:hAnsi="Calibri" w:cs="Calibri"/>
        </w:rPr>
        <w:t>26</w:t>
      </w:r>
      <w:r w:rsidRPr="005A0F73">
        <w:rPr>
          <w:rFonts w:ascii="Calibri" w:hAnsi="Calibri" w:cs="Calibri"/>
        </w:rPr>
        <w:t xml:space="preserve"> </w:t>
      </w:r>
      <w:r w:rsidRPr="005A0F73">
        <w:rPr>
          <w:rFonts w:ascii="Calibri" w:hAnsi="Calibri" w:cs="Calibri"/>
        </w:rPr>
        <w:t>643</w:t>
      </w:r>
      <w:r w:rsidRPr="005A0F73">
        <w:rPr>
          <w:rFonts w:ascii="Calibri" w:hAnsi="Calibri" w:cs="Calibri"/>
        </w:rPr>
        <w:tab/>
      </w:r>
      <w:r w:rsidRPr="005A0F73">
        <w:rPr>
          <w:rFonts w:ascii="Calibri" w:hAnsi="Calibri" w:cs="Calibri"/>
        </w:rPr>
        <w:tab/>
        <w:t>Informatie- en communicatietechnologie (ICT)</w:t>
      </w:r>
    </w:p>
    <w:p w:rsidRPr="005A0F73" w:rsidR="005A0F73" w:rsidP="005A0F73" w:rsidRDefault="005A0F73" w14:paraId="3284D948" w14:textId="77777777">
      <w:pPr>
        <w:spacing w:line="240" w:lineRule="auto"/>
        <w:rPr>
          <w:rFonts w:ascii="Calibri" w:hAnsi="Calibri" w:cs="Calibri"/>
        </w:rPr>
      </w:pPr>
      <w:r w:rsidRPr="005A0F73">
        <w:rPr>
          <w:rFonts w:ascii="Calibri" w:hAnsi="Calibri" w:cs="Calibri"/>
        </w:rPr>
        <w:t xml:space="preserve">Nr. </w:t>
      </w:r>
      <w:r w:rsidRPr="005A0F73" w:rsidR="00F45DDE">
        <w:rPr>
          <w:rFonts w:ascii="Calibri" w:hAnsi="Calibri" w:cs="Calibri"/>
        </w:rPr>
        <w:t>344</w:t>
      </w:r>
      <w:r w:rsidRPr="005A0F73">
        <w:rPr>
          <w:rFonts w:ascii="Calibri" w:hAnsi="Calibri" w:cs="Calibri"/>
        </w:rPr>
        <w:tab/>
      </w:r>
      <w:r w:rsidRPr="005A0F73">
        <w:rPr>
          <w:rFonts w:ascii="Calibri" w:hAnsi="Calibri" w:cs="Calibri"/>
        </w:rPr>
        <w:tab/>
        <w:t>Brief van de staatssecretaris van Binnenlandse Zaken en Koninkrijksrelaties</w:t>
      </w:r>
    </w:p>
    <w:p w:rsidRPr="005A0F73" w:rsidR="005A0F73" w:rsidP="005A0F73" w:rsidRDefault="005A0F73" w14:paraId="5A008E9B" w14:textId="77777777">
      <w:pPr>
        <w:spacing w:line="240" w:lineRule="auto"/>
        <w:rPr>
          <w:rFonts w:ascii="Calibri" w:hAnsi="Calibri" w:cs="Calibri"/>
        </w:rPr>
      </w:pPr>
      <w:r w:rsidRPr="005A0F73">
        <w:rPr>
          <w:rFonts w:ascii="Calibri" w:hAnsi="Calibri" w:cs="Calibri"/>
        </w:rPr>
        <w:t>Aan de Voorzitter van de Tweede Kamer der Staten-Generaal</w:t>
      </w:r>
    </w:p>
    <w:p w:rsidRPr="005A0F73" w:rsidR="005A0F73" w:rsidP="005A0F73" w:rsidRDefault="005A0F73" w14:paraId="3165B677" w14:textId="77777777">
      <w:pPr>
        <w:spacing w:line="240" w:lineRule="auto"/>
        <w:rPr>
          <w:rFonts w:ascii="Calibri" w:hAnsi="Calibri" w:cs="Calibri"/>
        </w:rPr>
      </w:pPr>
      <w:r w:rsidRPr="005A0F73">
        <w:rPr>
          <w:rFonts w:ascii="Calibri" w:hAnsi="Calibri" w:cs="Calibri"/>
        </w:rPr>
        <w:t>Den Haag, 28 augustus 2026</w:t>
      </w:r>
    </w:p>
    <w:p w:rsidRPr="005A0F73" w:rsidR="00F45DDE" w:rsidP="005A0F73" w:rsidRDefault="00F45DDE" w14:paraId="0331F440" w14:textId="77777777">
      <w:pPr>
        <w:spacing w:line="240" w:lineRule="auto"/>
        <w:rPr>
          <w:rFonts w:ascii="Calibri" w:hAnsi="Calibri" w:cs="Calibri"/>
        </w:rPr>
      </w:pPr>
    </w:p>
    <w:p w:rsidRPr="005A0F73" w:rsidR="00F45DDE" w:rsidP="005A0F73" w:rsidRDefault="00F45DDE" w14:paraId="53037EA8" w14:textId="77777777">
      <w:pPr>
        <w:spacing w:line="240" w:lineRule="auto"/>
        <w:rPr>
          <w:rFonts w:ascii="Calibri" w:hAnsi="Calibri" w:cs="Calibri"/>
        </w:rPr>
      </w:pPr>
      <w:r w:rsidRPr="005A0F73">
        <w:rPr>
          <w:rFonts w:ascii="Calibri" w:hAnsi="Calibri" w:cs="Calibri"/>
        </w:rPr>
        <w:t>In het Commissiedebat Bescherming persoonsgegevens en grote datalekken met uw Kamer van 25 juni 2026 heb ik toegezegd terug te komen op de vraag van het lid Van den Berg (JA21) inzake de handreiking AVG.</w:t>
      </w:r>
      <w:r w:rsidRPr="005A0F73">
        <w:rPr>
          <w:rStyle w:val="Voetnootmarkering"/>
          <w:rFonts w:ascii="Calibri" w:hAnsi="Calibri" w:cs="Calibri"/>
        </w:rPr>
        <w:footnoteReference w:id="1"/>
      </w:r>
      <w:r w:rsidRPr="005A0F73">
        <w:rPr>
          <w:rFonts w:ascii="Calibri" w:hAnsi="Calibri" w:cs="Calibri"/>
        </w:rPr>
        <w:t xml:space="preserve"> De vraag luidde of er een handelingskader voor de AVG is opgesteld en onder de aandacht gebracht kan worden binnen de Rijksoverheid, om daarmee de handelingsverlegenheid bij departementen te verminderen. Met deze brief doe ik deze toezegging gestand.</w:t>
      </w:r>
    </w:p>
    <w:p w:rsidRPr="005A0F73" w:rsidR="00F45DDE" w:rsidP="005A0F73" w:rsidRDefault="00F45DDE" w14:paraId="481EE140" w14:textId="77777777">
      <w:pPr>
        <w:spacing w:line="240" w:lineRule="auto"/>
        <w:rPr>
          <w:rFonts w:ascii="Calibri" w:hAnsi="Calibri" w:cs="Calibri"/>
        </w:rPr>
      </w:pPr>
      <w:bookmarkStart w:name="_Hlk235450419" w:id="0"/>
    </w:p>
    <w:p w:rsidRPr="005A0F73" w:rsidR="00F45DDE" w:rsidP="005A0F73" w:rsidRDefault="00F45DDE" w14:paraId="63B43581" w14:textId="77777777">
      <w:pPr>
        <w:spacing w:line="240" w:lineRule="auto"/>
        <w:rPr>
          <w:rFonts w:ascii="Calibri" w:hAnsi="Calibri" w:cs="Calibri"/>
        </w:rPr>
      </w:pPr>
      <w:r w:rsidRPr="005A0F73">
        <w:rPr>
          <w:rFonts w:ascii="Calibri" w:hAnsi="Calibri" w:cs="Calibri"/>
        </w:rPr>
        <w:t xml:space="preserve">Het is van belang dat overheidsorganisaties adequaat reageren op datalekken, omdat de privacy en bescherming van persoonsgegevens van burgers in het geding is. In 2018 is een handleiding AVG en UAVG opgesteld, onder auspiciën van het ministerie van Justitie en Veiligheid. In de handleiding wordt beschreven wanneer sprake is van een datalek en wordt ook de meldplicht aan zowel de toezichthouder als de betrokkenen toegelicht. </w:t>
      </w:r>
    </w:p>
    <w:p w:rsidRPr="005A0F73" w:rsidR="00F45DDE" w:rsidP="005A0F73" w:rsidRDefault="00F45DDE" w14:paraId="13758D3A" w14:textId="77777777">
      <w:pPr>
        <w:spacing w:line="240" w:lineRule="auto"/>
        <w:rPr>
          <w:rFonts w:ascii="Calibri" w:hAnsi="Calibri" w:cs="Calibri"/>
        </w:rPr>
      </w:pPr>
      <w:r w:rsidRPr="005A0F73">
        <w:rPr>
          <w:rFonts w:ascii="Calibri" w:hAnsi="Calibri" w:cs="Calibri"/>
        </w:rPr>
        <w:t>De handleiding is voor het laatst herzien in 2022.</w:t>
      </w:r>
      <w:r w:rsidRPr="005A0F73">
        <w:rPr>
          <w:rStyle w:val="Voetnootmarkering"/>
          <w:rFonts w:ascii="Calibri" w:hAnsi="Calibri" w:cs="Calibri"/>
        </w:rPr>
        <w:footnoteReference w:id="2"/>
      </w:r>
      <w:r w:rsidRPr="005A0F73">
        <w:rPr>
          <w:rFonts w:ascii="Calibri" w:hAnsi="Calibri" w:cs="Calibri"/>
        </w:rPr>
        <w:t xml:space="preserve"> Zodra de Verzamelwet gegevensbescherming in werking treedt, zal de handleiding hierop aangepast worden. In de tussentijd zal dit handelingskader nogmaals onder de aandacht worden gebracht binnen de Rijksoverheid via de Chief Privacy Officer (CPO)-raad. In onze gesprekken met de gemeenten en de koepels zullen wij voornoemde handreiking ook onder de aandacht brengen.</w:t>
      </w:r>
    </w:p>
    <w:p w:rsidRPr="005A0F73" w:rsidR="00F45DDE" w:rsidP="005A0F73" w:rsidRDefault="00F45DDE" w14:paraId="1FB7AB1C" w14:textId="77777777">
      <w:pPr>
        <w:spacing w:line="240" w:lineRule="auto"/>
        <w:rPr>
          <w:rFonts w:ascii="Calibri" w:hAnsi="Calibri" w:cs="Calibri"/>
        </w:rPr>
      </w:pPr>
    </w:p>
    <w:p w:rsidRPr="005A0F73" w:rsidR="00F45DDE" w:rsidP="005A0F73" w:rsidRDefault="00F45DDE" w14:paraId="642C1E1F" w14:textId="77777777">
      <w:pPr>
        <w:spacing w:line="240" w:lineRule="auto"/>
        <w:rPr>
          <w:rFonts w:ascii="Calibri" w:hAnsi="Calibri" w:cs="Calibri"/>
        </w:rPr>
      </w:pPr>
      <w:r w:rsidRPr="005A0F73">
        <w:rPr>
          <w:rFonts w:ascii="Calibri" w:hAnsi="Calibri" w:cs="Calibri"/>
        </w:rPr>
        <w:t>Op interdepartementaal niveau worden datalekken periodiek geëvalueerd. Naar aanleiding van de laatste evaluatie is besloten om het huidige proces voor de interne melding van een datalek, indien meerdere departementen hierbij betrokken zijn, te herzien. Dit proces is naar verwachting voor het einde van dit jaar gereed en zal meer duidelijkheid en handvatten bieden met betrekking tot onder meer de communicatie tussen de departementen.</w:t>
      </w:r>
    </w:p>
    <w:bookmarkEnd w:id="0"/>
    <w:p w:rsidRPr="005A0F73" w:rsidR="00F45DDE" w:rsidP="005A0F73" w:rsidRDefault="00F45DDE" w14:paraId="27316409" w14:textId="77777777">
      <w:pPr>
        <w:pStyle w:val="Geenafstand"/>
        <w:rPr>
          <w:rFonts w:ascii="Calibri" w:hAnsi="Calibri" w:cs="Calibri"/>
        </w:rPr>
      </w:pPr>
    </w:p>
    <w:p w:rsidRPr="005A0F73" w:rsidR="00F45DDE" w:rsidP="005A0F73" w:rsidRDefault="00F45DDE" w14:paraId="642B06DF" w14:textId="7F129BE1">
      <w:pPr>
        <w:pStyle w:val="Geenafstand"/>
        <w:rPr>
          <w:rFonts w:ascii="Calibri" w:hAnsi="Calibri" w:cs="Calibri"/>
        </w:rPr>
      </w:pPr>
      <w:r w:rsidRPr="005A0F73">
        <w:rPr>
          <w:rFonts w:ascii="Calibri" w:hAnsi="Calibri" w:cs="Calibri"/>
        </w:rPr>
        <w:t xml:space="preserve">De staatssecretaris van Binnenlandse Zaken en Koninkrijksrelaties, </w:t>
      </w:r>
      <w:r w:rsidRPr="005A0F73">
        <w:rPr>
          <w:rFonts w:ascii="Calibri" w:hAnsi="Calibri" w:cs="Calibri"/>
        </w:rPr>
        <w:br/>
        <w:t>E</w:t>
      </w:r>
      <w:r w:rsidRPr="005A0F73" w:rsidR="005A0F73">
        <w:rPr>
          <w:rFonts w:ascii="Calibri" w:hAnsi="Calibri" w:cs="Calibri"/>
        </w:rPr>
        <w:t>.</w:t>
      </w:r>
      <w:r w:rsidRPr="005A0F73">
        <w:rPr>
          <w:rFonts w:ascii="Calibri" w:hAnsi="Calibri" w:cs="Calibri"/>
        </w:rPr>
        <w:t xml:space="preserve"> van der Burg</w:t>
      </w:r>
    </w:p>
    <w:p w:rsidRPr="005A0F73" w:rsidR="006F53E6" w:rsidP="005A0F73" w:rsidRDefault="006F53E6" w14:paraId="61B390F8" w14:textId="77777777">
      <w:pPr>
        <w:pStyle w:val="Geenafstand"/>
        <w:rPr>
          <w:rFonts w:ascii="Calibri" w:hAnsi="Calibri" w:cs="Calibri"/>
        </w:rPr>
      </w:pPr>
    </w:p>
    <w:sectPr w:rsidRPr="005A0F73"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11AB" w14:textId="77777777" w:rsidR="00E16792" w:rsidRDefault="00E16792" w:rsidP="00F45DDE">
      <w:pPr>
        <w:spacing w:after="0" w:line="240" w:lineRule="auto"/>
      </w:pPr>
      <w:r>
        <w:separator/>
      </w:r>
    </w:p>
  </w:endnote>
  <w:endnote w:type="continuationSeparator" w:id="0">
    <w:p w14:paraId="2958F70A" w14:textId="77777777" w:rsidR="00E16792" w:rsidRDefault="00E16792" w:rsidP="00F4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CAFC" w14:textId="77777777" w:rsidR="00F45DDE" w:rsidRPr="00F45DDE" w:rsidRDefault="00F45DDE" w:rsidP="00F45D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C62B" w14:textId="77777777" w:rsidR="00F45DDE" w:rsidRPr="00F45DDE" w:rsidRDefault="00F45DDE" w:rsidP="00F45D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C3A5" w14:textId="77777777" w:rsidR="00F45DDE" w:rsidRPr="00F45DDE" w:rsidRDefault="00F45DDE" w:rsidP="00F45D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2C4B4" w14:textId="77777777" w:rsidR="00E16792" w:rsidRDefault="00E16792" w:rsidP="00F45DDE">
      <w:pPr>
        <w:spacing w:after="0" w:line="240" w:lineRule="auto"/>
      </w:pPr>
      <w:r>
        <w:separator/>
      </w:r>
    </w:p>
  </w:footnote>
  <w:footnote w:type="continuationSeparator" w:id="0">
    <w:p w14:paraId="7A2CA0D9" w14:textId="77777777" w:rsidR="00E16792" w:rsidRDefault="00E16792" w:rsidP="00F45DDE">
      <w:pPr>
        <w:spacing w:after="0" w:line="240" w:lineRule="auto"/>
      </w:pPr>
      <w:r>
        <w:continuationSeparator/>
      </w:r>
    </w:p>
  </w:footnote>
  <w:footnote w:id="1">
    <w:p w14:paraId="26D3179D" w14:textId="77777777" w:rsidR="00F45DDE" w:rsidRPr="005A0F73" w:rsidRDefault="00F45DDE" w:rsidP="005A0F73">
      <w:pPr>
        <w:pStyle w:val="Voetnoottekst"/>
        <w:spacing w:line="240" w:lineRule="auto"/>
        <w:rPr>
          <w:rFonts w:ascii="Calibri" w:hAnsi="Calibri" w:cs="Calibri"/>
          <w:sz w:val="20"/>
          <w:szCs w:val="20"/>
        </w:rPr>
      </w:pPr>
      <w:r w:rsidRPr="005A0F73">
        <w:rPr>
          <w:rStyle w:val="Voetnootmarkering"/>
          <w:rFonts w:ascii="Calibri" w:hAnsi="Calibri" w:cs="Calibri"/>
          <w:sz w:val="20"/>
          <w:szCs w:val="20"/>
        </w:rPr>
        <w:footnoteRef/>
      </w:r>
      <w:r w:rsidRPr="005A0F73">
        <w:rPr>
          <w:rFonts w:ascii="Calibri" w:hAnsi="Calibri" w:cs="Calibri"/>
          <w:sz w:val="20"/>
          <w:szCs w:val="20"/>
        </w:rPr>
        <w:t xml:space="preserve"> </w:t>
      </w:r>
      <w:hyperlink r:id="rId1" w:history="1">
        <w:r w:rsidRPr="005A0F73">
          <w:rPr>
            <w:rStyle w:val="Hyperlink"/>
            <w:rFonts w:ascii="Calibri" w:hAnsi="Calibri" w:cs="Calibri"/>
            <w:sz w:val="20"/>
            <w:szCs w:val="20"/>
          </w:rPr>
          <w:t>Toezegging bij Bescherming persoonsgegevens en grote datalekken | Tweede Kamer der Staten-Generaal</w:t>
        </w:r>
      </w:hyperlink>
    </w:p>
  </w:footnote>
  <w:footnote w:id="2">
    <w:p w14:paraId="0B3DB6B5" w14:textId="77777777" w:rsidR="00F45DDE" w:rsidRPr="005A0F73" w:rsidRDefault="00F45DDE" w:rsidP="005A0F73">
      <w:pPr>
        <w:pStyle w:val="Voetnoottekst"/>
        <w:spacing w:line="240" w:lineRule="auto"/>
        <w:rPr>
          <w:rFonts w:ascii="Calibri" w:hAnsi="Calibri" w:cs="Calibri"/>
          <w:sz w:val="20"/>
          <w:szCs w:val="20"/>
        </w:rPr>
      </w:pPr>
      <w:r w:rsidRPr="005A0F73">
        <w:rPr>
          <w:rStyle w:val="Voetnootmarkering"/>
          <w:rFonts w:ascii="Calibri" w:hAnsi="Calibri" w:cs="Calibri"/>
          <w:sz w:val="20"/>
          <w:szCs w:val="20"/>
        </w:rPr>
        <w:footnoteRef/>
      </w:r>
      <w:r w:rsidRPr="005A0F73">
        <w:rPr>
          <w:rFonts w:ascii="Calibri" w:hAnsi="Calibri" w:cs="Calibri"/>
          <w:sz w:val="20"/>
          <w:szCs w:val="20"/>
        </w:rPr>
        <w:t xml:space="preserve"> </w:t>
      </w:r>
      <w:hyperlink r:id="rId2" w:history="1">
        <w:r w:rsidRPr="005A0F73">
          <w:rPr>
            <w:rStyle w:val="Hyperlink"/>
            <w:rFonts w:ascii="Calibri" w:hAnsi="Calibri" w:cs="Calibri"/>
            <w:sz w:val="20"/>
            <w:szCs w:val="20"/>
          </w:rPr>
          <w:t>Handleiding Algemene verordening gegevensbescherming</w:t>
        </w:r>
      </w:hyperlink>
      <w:r w:rsidRPr="005A0F73">
        <w:rPr>
          <w:rFonts w:ascii="Calibri" w:hAnsi="Calibri" w:cs="Calibr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04DA" w14:textId="77777777" w:rsidR="00F45DDE" w:rsidRPr="00F45DDE" w:rsidRDefault="00F45DDE" w:rsidP="00F45D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B09C" w14:textId="77777777" w:rsidR="00F45DDE" w:rsidRPr="00F45DDE" w:rsidRDefault="00F45DDE" w:rsidP="00F45D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E5C3" w14:textId="77777777" w:rsidR="00F45DDE" w:rsidRPr="00F45DDE" w:rsidRDefault="00F45DDE" w:rsidP="00F45D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DE"/>
    <w:rsid w:val="003467E9"/>
    <w:rsid w:val="005A0F73"/>
    <w:rsid w:val="006B49B4"/>
    <w:rsid w:val="006F53E6"/>
    <w:rsid w:val="00837593"/>
    <w:rsid w:val="00E16792"/>
    <w:rsid w:val="00ED03AA"/>
    <w:rsid w:val="00F45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5AD6"/>
  <w15:chartTrackingRefBased/>
  <w15:docId w15:val="{527BCDC4-EB3D-4A75-8EA4-D5E0298F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5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5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5D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5D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5D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5D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5D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5D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5D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D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5D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5D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5D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5D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5D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5D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5D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5DDE"/>
    <w:rPr>
      <w:rFonts w:eastAsiaTheme="majorEastAsia" w:cstheme="majorBidi"/>
      <w:color w:val="272727" w:themeColor="text1" w:themeTint="D8"/>
    </w:rPr>
  </w:style>
  <w:style w:type="paragraph" w:styleId="Titel">
    <w:name w:val="Title"/>
    <w:basedOn w:val="Standaard"/>
    <w:next w:val="Standaard"/>
    <w:link w:val="TitelChar"/>
    <w:uiPriority w:val="10"/>
    <w:qFormat/>
    <w:rsid w:val="00F45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5D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5D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5D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5D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5DDE"/>
    <w:rPr>
      <w:i/>
      <w:iCs/>
      <w:color w:val="404040" w:themeColor="text1" w:themeTint="BF"/>
    </w:rPr>
  </w:style>
  <w:style w:type="paragraph" w:styleId="Lijstalinea">
    <w:name w:val="List Paragraph"/>
    <w:basedOn w:val="Standaard"/>
    <w:uiPriority w:val="34"/>
    <w:qFormat/>
    <w:rsid w:val="00F45DDE"/>
    <w:pPr>
      <w:ind w:left="720"/>
      <w:contextualSpacing/>
    </w:pPr>
  </w:style>
  <w:style w:type="character" w:styleId="Intensievebenadrukking">
    <w:name w:val="Intense Emphasis"/>
    <w:basedOn w:val="Standaardalinea-lettertype"/>
    <w:uiPriority w:val="21"/>
    <w:qFormat/>
    <w:rsid w:val="00F45DDE"/>
    <w:rPr>
      <w:i/>
      <w:iCs/>
      <w:color w:val="0F4761" w:themeColor="accent1" w:themeShade="BF"/>
    </w:rPr>
  </w:style>
  <w:style w:type="paragraph" w:styleId="Duidelijkcitaat">
    <w:name w:val="Intense Quote"/>
    <w:basedOn w:val="Standaard"/>
    <w:next w:val="Standaard"/>
    <w:link w:val="DuidelijkcitaatChar"/>
    <w:uiPriority w:val="30"/>
    <w:qFormat/>
    <w:rsid w:val="00F45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5DDE"/>
    <w:rPr>
      <w:i/>
      <w:iCs/>
      <w:color w:val="0F4761" w:themeColor="accent1" w:themeShade="BF"/>
    </w:rPr>
  </w:style>
  <w:style w:type="character" w:styleId="Intensieveverwijzing">
    <w:name w:val="Intense Reference"/>
    <w:basedOn w:val="Standaardalinea-lettertype"/>
    <w:uiPriority w:val="32"/>
    <w:qFormat/>
    <w:rsid w:val="00F45DDE"/>
    <w:rPr>
      <w:b/>
      <w:bCs/>
      <w:smallCaps/>
      <w:color w:val="0F4761" w:themeColor="accent1" w:themeShade="BF"/>
      <w:spacing w:val="5"/>
    </w:rPr>
  </w:style>
  <w:style w:type="character" w:styleId="Hyperlink">
    <w:name w:val="Hyperlink"/>
    <w:basedOn w:val="Standaardalinea-lettertype"/>
    <w:uiPriority w:val="99"/>
    <w:unhideWhenUsed/>
    <w:rsid w:val="00F45DDE"/>
    <w:rPr>
      <w:color w:val="467886" w:themeColor="hyperlink"/>
      <w:u w:val="single"/>
    </w:rPr>
  </w:style>
  <w:style w:type="paragraph" w:styleId="Voetnoottekst">
    <w:name w:val="footnote text"/>
    <w:link w:val="VoetnoottekstChar"/>
    <w:uiPriority w:val="99"/>
    <w:rsid w:val="00F45DD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F45DDE"/>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F45DDE"/>
    <w:rPr>
      <w:vertAlign w:val="superscript"/>
    </w:rPr>
  </w:style>
  <w:style w:type="paragraph" w:styleId="Koptekst">
    <w:name w:val="header"/>
    <w:basedOn w:val="Standaard"/>
    <w:link w:val="KoptekstChar"/>
    <w:uiPriority w:val="99"/>
    <w:unhideWhenUsed/>
    <w:rsid w:val="00F45D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5DDE"/>
  </w:style>
  <w:style w:type="paragraph" w:styleId="Voettekst">
    <w:name w:val="footer"/>
    <w:basedOn w:val="Standaard"/>
    <w:link w:val="VoettekstChar"/>
    <w:uiPriority w:val="99"/>
    <w:unhideWhenUsed/>
    <w:rsid w:val="00F45D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5DDE"/>
  </w:style>
  <w:style w:type="character" w:styleId="GevolgdeHyperlink">
    <w:name w:val="FollowedHyperlink"/>
    <w:basedOn w:val="Standaardalinea-lettertype"/>
    <w:uiPriority w:val="99"/>
    <w:semiHidden/>
    <w:unhideWhenUsed/>
    <w:rsid w:val="00F45DDE"/>
    <w:rPr>
      <w:color w:val="96607D" w:themeColor="followedHyperlink"/>
      <w:u w:val="single"/>
    </w:rPr>
  </w:style>
  <w:style w:type="paragraph" w:styleId="Geenafstand">
    <w:name w:val="No Spacing"/>
    <w:uiPriority w:val="1"/>
    <w:qFormat/>
    <w:rsid w:val="005A0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ronl-dd12795b-eaa8-4e23-b552-96ef285cb9ad/pdf" TargetMode="External"/><Relationship Id="rId1" Type="http://schemas.openxmlformats.org/officeDocument/2006/relationships/hyperlink" Target="https://www.tweedekamer.nl/kamerstukken/toezeggingen/detail?id=TZ202607-117&amp;did=TZ202607-11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324</ap:Words>
  <ap:Characters>1782</ap:Characters>
  <ap:DocSecurity>0</ap:DocSecurity>
  <ap:Lines>14</ap:Lines>
  <ap:Paragraphs>4</ap:Paragraphs>
  <ap:ScaleCrop>false</ap:ScaleCrop>
  <ap:LinksUpToDate>false</ap:LinksUpToDate>
  <ap:CharactersWithSpaces>2102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2026-09-02T11:04:00.0000000Z</dcterms:created>
  <dcterms:modified xsi:type="dcterms:W3CDTF">2026-09-02T11:04:00.0000000Z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