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F4EA341" w14:textId="77777777">
        <w:tc>
          <w:tcPr>
            <w:tcW w:w="6379" w:type="dxa"/>
            <w:gridSpan w:val="2"/>
            <w:tcBorders>
              <w:top w:val="nil"/>
              <w:left w:val="nil"/>
              <w:bottom w:val="nil"/>
              <w:right w:val="nil"/>
            </w:tcBorders>
            <w:vAlign w:val="center"/>
          </w:tcPr>
          <w:p w:rsidR="004330ED" w:rsidP="00EA1CE4" w:rsidRDefault="004330ED" w14:paraId="3584D571"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43FD1655"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4CF76821" w14:textId="77777777">
        <w:trPr>
          <w:cantSplit/>
        </w:trPr>
        <w:tc>
          <w:tcPr>
            <w:tcW w:w="10348" w:type="dxa"/>
            <w:gridSpan w:val="3"/>
            <w:tcBorders>
              <w:top w:val="single" w:color="auto" w:sz="4" w:space="0"/>
              <w:left w:val="nil"/>
              <w:bottom w:val="nil"/>
              <w:right w:val="nil"/>
            </w:tcBorders>
          </w:tcPr>
          <w:p w:rsidR="004330ED" w:rsidP="004A1E29" w:rsidRDefault="004330ED" w14:paraId="66D9CF6D"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634F680" w14:textId="77777777">
        <w:trPr>
          <w:cantSplit/>
        </w:trPr>
        <w:tc>
          <w:tcPr>
            <w:tcW w:w="10348" w:type="dxa"/>
            <w:gridSpan w:val="3"/>
            <w:tcBorders>
              <w:top w:val="nil"/>
              <w:left w:val="nil"/>
              <w:bottom w:val="nil"/>
              <w:right w:val="nil"/>
            </w:tcBorders>
          </w:tcPr>
          <w:p w:rsidR="004330ED" w:rsidP="00BF623B" w:rsidRDefault="004330ED" w14:paraId="4A62AA88" w14:textId="77777777">
            <w:pPr>
              <w:pStyle w:val="Amendement"/>
              <w:tabs>
                <w:tab w:val="clear" w:pos="3310"/>
                <w:tab w:val="clear" w:pos="3600"/>
              </w:tabs>
              <w:rPr>
                <w:rFonts w:ascii="Times New Roman" w:hAnsi="Times New Roman"/>
                <w:b w:val="0"/>
              </w:rPr>
            </w:pPr>
          </w:p>
        </w:tc>
      </w:tr>
      <w:tr w:rsidR="004330ED" w:rsidTr="00EA1CE4" w14:paraId="7CA6AC2D" w14:textId="77777777">
        <w:trPr>
          <w:cantSplit/>
        </w:trPr>
        <w:tc>
          <w:tcPr>
            <w:tcW w:w="10348" w:type="dxa"/>
            <w:gridSpan w:val="3"/>
            <w:tcBorders>
              <w:top w:val="nil"/>
              <w:left w:val="nil"/>
              <w:bottom w:val="single" w:color="auto" w:sz="4" w:space="0"/>
              <w:right w:val="nil"/>
            </w:tcBorders>
          </w:tcPr>
          <w:p w:rsidR="004330ED" w:rsidP="00BF623B" w:rsidRDefault="004330ED" w14:paraId="78E17732" w14:textId="77777777">
            <w:pPr>
              <w:pStyle w:val="Amendement"/>
              <w:tabs>
                <w:tab w:val="clear" w:pos="3310"/>
                <w:tab w:val="clear" w:pos="3600"/>
              </w:tabs>
              <w:rPr>
                <w:rFonts w:ascii="Times New Roman" w:hAnsi="Times New Roman"/>
              </w:rPr>
            </w:pPr>
          </w:p>
        </w:tc>
      </w:tr>
      <w:tr w:rsidR="004330ED" w:rsidTr="00EA1CE4" w14:paraId="608C70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212833A9"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1E5290DF" w14:textId="77777777">
            <w:pPr>
              <w:suppressAutoHyphens/>
              <w:ind w:left="-70"/>
              <w:rPr>
                <w:b/>
              </w:rPr>
            </w:pPr>
          </w:p>
        </w:tc>
      </w:tr>
      <w:tr w:rsidR="003C21AC" w:rsidTr="00EA1CE4" w14:paraId="355081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E517EB" w14:paraId="06C51F98" w14:textId="02B7E76F">
            <w:pPr>
              <w:pStyle w:val="Amendement"/>
              <w:tabs>
                <w:tab w:val="clear" w:pos="3310"/>
                <w:tab w:val="clear" w:pos="3600"/>
              </w:tabs>
              <w:rPr>
                <w:rFonts w:ascii="Times New Roman" w:hAnsi="Times New Roman"/>
              </w:rPr>
            </w:pPr>
            <w:r>
              <w:rPr>
                <w:rFonts w:ascii="Times New Roman" w:hAnsi="Times New Roman"/>
              </w:rPr>
              <w:t>36 892</w:t>
            </w:r>
          </w:p>
        </w:tc>
        <w:tc>
          <w:tcPr>
            <w:tcW w:w="7371" w:type="dxa"/>
            <w:gridSpan w:val="2"/>
          </w:tcPr>
          <w:p w:rsidRPr="00E517EB" w:rsidR="003C21AC" w:rsidP="00E517EB" w:rsidRDefault="00E517EB" w14:paraId="5359C111" w14:textId="00C224AA">
            <w:pPr>
              <w:rPr>
                <w:b/>
                <w:szCs w:val="24"/>
              </w:rPr>
            </w:pPr>
            <w:r w:rsidRPr="00E517EB">
              <w:rPr>
                <w:b/>
                <w:szCs w:val="24"/>
              </w:rPr>
              <w:t>Wijziging van de Gemeentewet, de Provinciewet, de Waterschapswet en de Wet openbare lichamen Bonaire, Sint Eustatius en Saba in verband met de risicoanalyse bestuurlijke integriteit voor kandidaat-bestuurders (Wet bevorderen integriteit en functioneren decentraal bestuur tweede tranche)</w:t>
            </w:r>
          </w:p>
        </w:tc>
      </w:tr>
      <w:tr w:rsidR="003C21AC" w:rsidTr="00EA1CE4" w14:paraId="3170A6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6C8584B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59411933" w14:textId="77777777">
            <w:pPr>
              <w:pStyle w:val="Amendement"/>
              <w:tabs>
                <w:tab w:val="clear" w:pos="3310"/>
                <w:tab w:val="clear" w:pos="3600"/>
              </w:tabs>
              <w:ind w:left="-70"/>
              <w:rPr>
                <w:rFonts w:ascii="Times New Roman" w:hAnsi="Times New Roman"/>
              </w:rPr>
            </w:pPr>
          </w:p>
        </w:tc>
      </w:tr>
      <w:tr w:rsidR="003C21AC" w:rsidTr="00EA1CE4" w14:paraId="71E460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9B7ED74"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01D5F79" w14:textId="77777777">
            <w:pPr>
              <w:pStyle w:val="Amendement"/>
              <w:tabs>
                <w:tab w:val="clear" w:pos="3310"/>
                <w:tab w:val="clear" w:pos="3600"/>
              </w:tabs>
              <w:ind w:left="-70"/>
              <w:rPr>
                <w:rFonts w:ascii="Times New Roman" w:hAnsi="Times New Roman"/>
              </w:rPr>
            </w:pPr>
          </w:p>
        </w:tc>
      </w:tr>
      <w:tr w:rsidR="003C21AC" w:rsidTr="00EA1CE4" w14:paraId="7A5054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1607DA4" w14:textId="3AEFF36B">
            <w:pPr>
              <w:pStyle w:val="Amendement"/>
              <w:tabs>
                <w:tab w:val="clear" w:pos="3310"/>
                <w:tab w:val="clear" w:pos="3600"/>
              </w:tabs>
              <w:rPr>
                <w:rFonts w:ascii="Times New Roman" w:hAnsi="Times New Roman"/>
              </w:rPr>
            </w:pPr>
            <w:r w:rsidRPr="00C035D4">
              <w:rPr>
                <w:rFonts w:ascii="Times New Roman" w:hAnsi="Times New Roman"/>
              </w:rPr>
              <w:t xml:space="preserve">Nr. </w:t>
            </w:r>
            <w:r w:rsidR="00F707DF">
              <w:rPr>
                <w:rFonts w:ascii="Times New Roman" w:hAnsi="Times New Roman"/>
                <w:caps/>
              </w:rPr>
              <w:t>9</w:t>
            </w:r>
          </w:p>
        </w:tc>
        <w:tc>
          <w:tcPr>
            <w:tcW w:w="7371" w:type="dxa"/>
            <w:gridSpan w:val="2"/>
          </w:tcPr>
          <w:p w:rsidRPr="00C035D4" w:rsidR="003C21AC" w:rsidP="006E0971" w:rsidRDefault="003C21AC" w14:paraId="4DC0D8F7" w14:textId="3B349729">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E517EB">
              <w:rPr>
                <w:rFonts w:ascii="Times New Roman" w:hAnsi="Times New Roman"/>
                <w:caps/>
              </w:rPr>
              <w:t>huizenga</w:t>
            </w:r>
          </w:p>
        </w:tc>
      </w:tr>
      <w:tr w:rsidR="003C21AC" w:rsidTr="00EA1CE4" w14:paraId="1D47E3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76B8F62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0C8AAA9" w14:textId="0CBE68C6">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F707DF">
              <w:rPr>
                <w:rFonts w:ascii="Times New Roman" w:hAnsi="Times New Roman"/>
                <w:b w:val="0"/>
              </w:rPr>
              <w:t>31 augustus 2026</w:t>
            </w:r>
          </w:p>
        </w:tc>
      </w:tr>
      <w:tr w:rsidR="00B01BA6" w:rsidTr="00EA1CE4" w14:paraId="176EE8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69F136A4"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65CA280A" w14:textId="77777777">
            <w:pPr>
              <w:pStyle w:val="Amendement"/>
              <w:tabs>
                <w:tab w:val="clear" w:pos="3310"/>
                <w:tab w:val="clear" w:pos="3600"/>
              </w:tabs>
              <w:ind w:left="-70"/>
              <w:rPr>
                <w:rFonts w:ascii="Times New Roman" w:hAnsi="Times New Roman"/>
                <w:b w:val="0"/>
              </w:rPr>
            </w:pPr>
          </w:p>
        </w:tc>
      </w:tr>
      <w:tr w:rsidRPr="00EA69AC" w:rsidR="00B01BA6" w:rsidTr="00EA1CE4" w14:paraId="051BBA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4CC851F" w14:textId="77777777">
            <w:pPr>
              <w:ind w:firstLine="284"/>
            </w:pPr>
            <w:r w:rsidRPr="00EA69AC">
              <w:t>De ondergetekende stelt het volgende amendement voor:</w:t>
            </w:r>
          </w:p>
        </w:tc>
      </w:tr>
    </w:tbl>
    <w:p w:rsidRPr="00EA69AC" w:rsidR="004330ED" w:rsidP="00D774B3" w:rsidRDefault="004330ED" w14:paraId="13C10D03" w14:textId="77777777"/>
    <w:p w:rsidR="005B1DCC" w:rsidP="00E517EB" w:rsidRDefault="00E517EB" w14:paraId="66ED2AE2" w14:textId="27A1BDC9">
      <w:r>
        <w:tab/>
        <w:t>Na artikel V wordt een artikel ingevoegd, luidende:</w:t>
      </w:r>
    </w:p>
    <w:p w:rsidR="00E517EB" w:rsidP="00E517EB" w:rsidRDefault="00E517EB" w14:paraId="64204698" w14:textId="77777777"/>
    <w:p w:rsidR="00E517EB" w:rsidP="00E517EB" w:rsidRDefault="00E517EB" w14:paraId="6BDA5BE6" w14:textId="69E17283"/>
    <w:p w:rsidRPr="00E517EB" w:rsidR="00E517EB" w:rsidP="00E517EB" w:rsidRDefault="00E517EB" w14:paraId="6F34FB1F" w14:textId="7D1A21D5">
      <w:pPr>
        <w:rPr>
          <w:b/>
          <w:bCs/>
        </w:rPr>
      </w:pPr>
      <w:r w:rsidRPr="00E517EB">
        <w:rPr>
          <w:b/>
          <w:bCs/>
        </w:rPr>
        <w:t>ARTIKEL Va</w:t>
      </w:r>
    </w:p>
    <w:p w:rsidR="00E517EB" w:rsidP="00E517EB" w:rsidRDefault="00E517EB" w14:paraId="220D58F7" w14:textId="77777777"/>
    <w:p w:rsidRPr="00E517EB" w:rsidR="00E517EB" w:rsidP="00E517EB" w:rsidRDefault="00E517EB" w14:paraId="1EA034D2" w14:textId="61E93537">
      <w:pPr>
        <w:rPr>
          <w:b/>
          <w:bCs/>
        </w:rPr>
      </w:pPr>
      <w:r>
        <w:tab/>
      </w:r>
      <w:r w:rsidRPr="00E517EB">
        <w:t>Onze Minister van</w:t>
      </w:r>
      <w:r>
        <w:t xml:space="preserve"> Binnenlandse Zaken en Koninkrijksrelaties </w:t>
      </w:r>
      <w:r w:rsidRPr="00E517EB">
        <w:t>zendt binnen vijf jaar na de inwerkingtreding van deze wet aan de Staten-Generaal een verslag over de doeltreffendheid en de effecten van deze wet in de praktijk</w:t>
      </w:r>
      <w:r>
        <w:t>.</w:t>
      </w:r>
    </w:p>
    <w:p w:rsidR="00EA1CE4" w:rsidP="00EA1CE4" w:rsidRDefault="00EA1CE4" w14:paraId="3393015C" w14:textId="77777777"/>
    <w:p w:rsidRPr="00EA69AC" w:rsidR="003C21AC" w:rsidP="00EA1CE4" w:rsidRDefault="003C21AC" w14:paraId="29A7F76C" w14:textId="77777777">
      <w:pPr>
        <w:rPr>
          <w:b/>
        </w:rPr>
      </w:pPr>
      <w:r w:rsidRPr="00EA69AC">
        <w:rPr>
          <w:b/>
        </w:rPr>
        <w:t>Toelichting</w:t>
      </w:r>
    </w:p>
    <w:p w:rsidR="00E6619B" w:rsidP="00EA1CE4" w:rsidRDefault="00E6619B" w14:paraId="3F766962" w14:textId="593B2F52"/>
    <w:p w:rsidRPr="00E517EB" w:rsidR="00E517EB" w:rsidP="00E517EB" w:rsidRDefault="61C44A1B" w14:paraId="5EEA4848" w14:textId="4E25D9F8">
      <w:r>
        <w:t>Het wetsvoorstel legt regels vast over een risicoanalyse integriteit en de omgang met financiële belangen. In consultatie is een aantal aandachtspunten naar voren gebracht</w:t>
      </w:r>
      <w:r w:rsidR="1818738E">
        <w:t xml:space="preserve">. Zo is aandacht gevraagd voor de rol van de burgemeester in de uitvoering van de risicoanalyse. </w:t>
      </w:r>
      <w:r w:rsidR="4208D940">
        <w:t xml:space="preserve">Hoewel </w:t>
      </w:r>
      <w:r w:rsidR="51A39A55">
        <w:t xml:space="preserve">de regering stelt </w:t>
      </w:r>
      <w:r w:rsidR="579C26B2">
        <w:t xml:space="preserve">dat het niet aan te bevelen is dat </w:t>
      </w:r>
      <w:r w:rsidR="51A39A55">
        <w:t>een burgemeester de uitvoering</w:t>
      </w:r>
      <w:r w:rsidR="7298BF7C">
        <w:t xml:space="preserve"> op zich neemt, wordt deze route formeel </w:t>
      </w:r>
      <w:r w:rsidR="05391BCC">
        <w:t>niet afgeslo</w:t>
      </w:r>
      <w:r w:rsidR="0B782255">
        <w:t>ten</w:t>
      </w:r>
      <w:r w:rsidR="7298BF7C">
        <w:t xml:space="preserve">. Indiener vindt het van belang om </w:t>
      </w:r>
      <w:r w:rsidR="5FD04EBA">
        <w:t>in kaart te brengen of</w:t>
      </w:r>
      <w:r w:rsidR="58BE7114">
        <w:t>,</w:t>
      </w:r>
      <w:r w:rsidR="5FD04EBA">
        <w:t xml:space="preserve"> en zo ja, hoe vaak</w:t>
      </w:r>
      <w:r w:rsidR="647A4F9A">
        <w:t xml:space="preserve"> en waarom</w:t>
      </w:r>
      <w:r w:rsidR="5FD04EBA">
        <w:t xml:space="preserve">, </w:t>
      </w:r>
      <w:r w:rsidR="1A12C35F">
        <w:t xml:space="preserve">toch voor deze route </w:t>
      </w:r>
      <w:r w:rsidR="5FD04EBA">
        <w:t xml:space="preserve">wordt gekozen. </w:t>
      </w:r>
    </w:p>
    <w:p w:rsidRPr="00E517EB" w:rsidR="00E517EB" w:rsidP="20E26E4A" w:rsidRDefault="61C44A1B" w14:paraId="79491F31" w14:textId="3680CF35">
      <w:pPr>
        <w:ind w:firstLine="284"/>
      </w:pPr>
      <w:r>
        <w:t xml:space="preserve">Daarnaast </w:t>
      </w:r>
      <w:r w:rsidR="06EB2D08">
        <w:t xml:space="preserve">regelt dit wetsvoorstel dat de integriteitsnormen voor de openbare lichamen Bonaire, Sint Eustatius en Saba conform het principe van ‘comply or explain’ geharmoniseerd worden met het gemeentelijk stelsel. Hierdoor </w:t>
      </w:r>
      <w:r>
        <w:t>komen voor de openbare lichamen Bonaire, Sint Eustatius en Saba enkele integriteitsnormen te vervallen</w:t>
      </w:r>
      <w:r w:rsidR="06EB2D08">
        <w:t xml:space="preserve"> en worden andere integriteitsbepalingen geïntroduceerd</w:t>
      </w:r>
      <w:r>
        <w:t>. </w:t>
      </w:r>
      <w:r w:rsidR="0C007DF9">
        <w:t>De i</w:t>
      </w:r>
      <w:r>
        <w:t xml:space="preserve">ndiener </w:t>
      </w:r>
      <w:r w:rsidR="3B261FC5">
        <w:t xml:space="preserve">is van mening dat het </w:t>
      </w:r>
      <w:r>
        <w:t>relatief hoge aantal integriteitskwesties op de BES-eilanden, zoals onder meer </w:t>
      </w:r>
      <w:r w:rsidR="17777E05">
        <w:t xml:space="preserve">is gebleken </w:t>
      </w:r>
      <w:r>
        <w:t>uit onderzoek van het WODC</w:t>
      </w:r>
      <w:r w:rsidR="4A649A61">
        <w:t>,</w:t>
      </w:r>
      <w:r>
        <w:t xml:space="preserve"> vraagt om een nauwlettende blik op de effecten van de </w:t>
      </w:r>
      <w:r w:rsidR="0EC74E16">
        <w:t>harmonisatie.</w:t>
      </w:r>
      <w:r w:rsidRPr="20E26E4A" w:rsidR="00E517EB">
        <w:rPr>
          <w:rStyle w:val="Voetnootmarkering"/>
        </w:rPr>
        <w:footnoteReference w:id="1"/>
      </w:r>
      <w:r w:rsidR="0EC74E16">
        <w:t xml:space="preserve"> </w:t>
      </w:r>
    </w:p>
    <w:p w:rsidRPr="008467D7" w:rsidR="00E517EB" w:rsidP="20E26E4A" w:rsidRDefault="6463315F" w14:paraId="03D10B91" w14:textId="2AE76FE7">
      <w:pPr>
        <w:ind w:firstLine="284"/>
      </w:pPr>
      <w:r>
        <w:t>De i</w:t>
      </w:r>
      <w:r w:rsidR="61C44A1B">
        <w:t xml:space="preserve">ndiener stelt voor de wet binnen vijf jaar na inwerkingtreding te evalueren en daar in ieder geval voorgenoemde aspecten bij te betrekken. Met het tijdspad wordt ruimte geboden om ervaringen te betrekken die zijn opgedaan bij benoemingen na </w:t>
      </w:r>
      <w:r w:rsidR="162C9801">
        <w:t>in ieder geval één ronde van</w:t>
      </w:r>
      <w:r w:rsidR="655DE31D">
        <w:t xml:space="preserve"> </w:t>
      </w:r>
      <w:r w:rsidR="61C44A1B">
        <w:t>gemeenteraads</w:t>
      </w:r>
      <w:r w:rsidR="7021B582">
        <w:t xml:space="preserve">-, waterschaps-, </w:t>
      </w:r>
      <w:r w:rsidR="3C8D58C2">
        <w:t>P</w:t>
      </w:r>
      <w:r w:rsidR="7021B582">
        <w:t xml:space="preserve">rovinciale </w:t>
      </w:r>
      <w:r w:rsidR="102CF7DC">
        <w:t>S</w:t>
      </w:r>
      <w:r w:rsidR="7021B582">
        <w:t>taten</w:t>
      </w:r>
      <w:r w:rsidR="6125B563">
        <w:t>-</w:t>
      </w:r>
      <w:r w:rsidR="7021B582">
        <w:t xml:space="preserve"> en</w:t>
      </w:r>
      <w:r w:rsidR="61C44A1B">
        <w:t xml:space="preserve"> </w:t>
      </w:r>
      <w:r w:rsidR="00BF2873">
        <w:t>eilandsraadsverkiezingen</w:t>
      </w:r>
      <w:r w:rsidR="7AC2A2D4">
        <w:t>.</w:t>
      </w:r>
    </w:p>
    <w:p w:rsidRPr="00EA69AC" w:rsidR="005B1DCC" w:rsidP="00BF623B" w:rsidRDefault="005B1DCC" w14:paraId="3CB59CFC" w14:textId="77777777"/>
    <w:p w:rsidRPr="00EA69AC" w:rsidR="00B4708A" w:rsidP="00EA1CE4" w:rsidRDefault="00E517EB" w14:paraId="1E5434DC" w14:textId="5C76EBA6">
      <w:r>
        <w:t>Huizenga</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5CF54" w14:textId="77777777" w:rsidR="004D700E" w:rsidRDefault="004D700E">
      <w:pPr>
        <w:spacing w:line="20" w:lineRule="exact"/>
      </w:pPr>
    </w:p>
  </w:endnote>
  <w:endnote w:type="continuationSeparator" w:id="0">
    <w:p w14:paraId="4C7222D3" w14:textId="77777777" w:rsidR="004D700E" w:rsidRDefault="004D700E">
      <w:pPr>
        <w:pStyle w:val="Amendement"/>
      </w:pPr>
      <w:r>
        <w:rPr>
          <w:b w:val="0"/>
        </w:rPr>
        <w:t xml:space="preserve"> </w:t>
      </w:r>
    </w:p>
  </w:endnote>
  <w:endnote w:type="continuationNotice" w:id="1">
    <w:p w14:paraId="395E0E00" w14:textId="77777777" w:rsidR="004D700E" w:rsidRDefault="004D700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5801A" w14:textId="77777777" w:rsidR="004D700E" w:rsidRDefault="004D700E">
      <w:pPr>
        <w:pStyle w:val="Amendement"/>
      </w:pPr>
      <w:r>
        <w:rPr>
          <w:b w:val="0"/>
        </w:rPr>
        <w:separator/>
      </w:r>
    </w:p>
  </w:footnote>
  <w:footnote w:type="continuationSeparator" w:id="0">
    <w:p w14:paraId="26D098AA" w14:textId="77777777" w:rsidR="004D700E" w:rsidRDefault="004D700E">
      <w:r>
        <w:continuationSeparator/>
      </w:r>
    </w:p>
  </w:footnote>
  <w:footnote w:id="1">
    <w:p w14:paraId="46B20866" w14:textId="01BD66E1" w:rsidR="20E26E4A" w:rsidRPr="00B73532" w:rsidRDefault="20E26E4A" w:rsidP="20E26E4A">
      <w:pPr>
        <w:pStyle w:val="Voetnoottekst"/>
        <w:rPr>
          <w:sz w:val="20"/>
        </w:rPr>
      </w:pPr>
      <w:r w:rsidRPr="00B73532">
        <w:rPr>
          <w:rStyle w:val="Voetnootmarkering"/>
          <w:sz w:val="20"/>
        </w:rPr>
        <w:footnoteRef/>
      </w:r>
      <w:r w:rsidRPr="00B73532">
        <w:rPr>
          <w:sz w:val="20"/>
        </w:rPr>
        <w:t xml:space="preserve"> </w:t>
      </w:r>
      <w:hyperlink r:id="rId1">
        <w:r w:rsidRPr="00B73532">
          <w:rPr>
            <w:rStyle w:val="Hyperlink"/>
            <w:sz w:val="20"/>
          </w:rPr>
          <w:t>Ambtelijk-bestuurlijke integriteit in Caribisch Nederland</w:t>
        </w:r>
      </w:hyperlink>
      <w:r w:rsidR="00B73532" w:rsidRPr="00B73532">
        <w:rPr>
          <w:sz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EB"/>
    <w:rsid w:val="00052244"/>
    <w:rsid w:val="0007471A"/>
    <w:rsid w:val="000D17BF"/>
    <w:rsid w:val="00157CAF"/>
    <w:rsid w:val="001656EE"/>
    <w:rsid w:val="0016653D"/>
    <w:rsid w:val="001D56AF"/>
    <w:rsid w:val="001E0E21"/>
    <w:rsid w:val="00212E0A"/>
    <w:rsid w:val="002153B0"/>
    <w:rsid w:val="0021777F"/>
    <w:rsid w:val="00224044"/>
    <w:rsid w:val="00241DD0"/>
    <w:rsid w:val="002A0713"/>
    <w:rsid w:val="002D003F"/>
    <w:rsid w:val="003151D8"/>
    <w:rsid w:val="00352D79"/>
    <w:rsid w:val="00367363"/>
    <w:rsid w:val="003825A0"/>
    <w:rsid w:val="003B662C"/>
    <w:rsid w:val="003C21AC"/>
    <w:rsid w:val="003C5218"/>
    <w:rsid w:val="003C7876"/>
    <w:rsid w:val="003E2308"/>
    <w:rsid w:val="003E2F98"/>
    <w:rsid w:val="00413B00"/>
    <w:rsid w:val="00420F18"/>
    <w:rsid w:val="0042574B"/>
    <w:rsid w:val="004330ED"/>
    <w:rsid w:val="00481C91"/>
    <w:rsid w:val="004911E3"/>
    <w:rsid w:val="00497D57"/>
    <w:rsid w:val="004A1E29"/>
    <w:rsid w:val="004A7DD4"/>
    <w:rsid w:val="004B50D8"/>
    <w:rsid w:val="004B5B90"/>
    <w:rsid w:val="004D700E"/>
    <w:rsid w:val="00501109"/>
    <w:rsid w:val="00544548"/>
    <w:rsid w:val="005703C9"/>
    <w:rsid w:val="0059341F"/>
    <w:rsid w:val="00597703"/>
    <w:rsid w:val="005A6097"/>
    <w:rsid w:val="005B1DCC"/>
    <w:rsid w:val="005B7323"/>
    <w:rsid w:val="005C25B9"/>
    <w:rsid w:val="006020B6"/>
    <w:rsid w:val="00602825"/>
    <w:rsid w:val="006267E6"/>
    <w:rsid w:val="006558D2"/>
    <w:rsid w:val="00663EC2"/>
    <w:rsid w:val="00672D25"/>
    <w:rsid w:val="006738BC"/>
    <w:rsid w:val="006D3E69"/>
    <w:rsid w:val="006E0971"/>
    <w:rsid w:val="0070287F"/>
    <w:rsid w:val="007709F6"/>
    <w:rsid w:val="00783215"/>
    <w:rsid w:val="007965FC"/>
    <w:rsid w:val="007D2608"/>
    <w:rsid w:val="0081218E"/>
    <w:rsid w:val="008164E5"/>
    <w:rsid w:val="00830081"/>
    <w:rsid w:val="008467D7"/>
    <w:rsid w:val="00852541"/>
    <w:rsid w:val="00865D47"/>
    <w:rsid w:val="0088452C"/>
    <w:rsid w:val="008D7DCB"/>
    <w:rsid w:val="009055DB"/>
    <w:rsid w:val="00905ECB"/>
    <w:rsid w:val="00950E5B"/>
    <w:rsid w:val="0096165D"/>
    <w:rsid w:val="00993E91"/>
    <w:rsid w:val="009A409F"/>
    <w:rsid w:val="009B5845"/>
    <w:rsid w:val="009C0C1F"/>
    <w:rsid w:val="00A10505"/>
    <w:rsid w:val="00A1288B"/>
    <w:rsid w:val="00A53203"/>
    <w:rsid w:val="00A772EB"/>
    <w:rsid w:val="00B01BA6"/>
    <w:rsid w:val="00B4708A"/>
    <w:rsid w:val="00B73532"/>
    <w:rsid w:val="00B86580"/>
    <w:rsid w:val="00BF2873"/>
    <w:rsid w:val="00BF623B"/>
    <w:rsid w:val="00C035D4"/>
    <w:rsid w:val="00C61718"/>
    <w:rsid w:val="00C679BF"/>
    <w:rsid w:val="00C81BBD"/>
    <w:rsid w:val="00CD3132"/>
    <w:rsid w:val="00CE27CD"/>
    <w:rsid w:val="00D134F3"/>
    <w:rsid w:val="00D47D01"/>
    <w:rsid w:val="00D774B3"/>
    <w:rsid w:val="00DD35A5"/>
    <w:rsid w:val="00DE2948"/>
    <w:rsid w:val="00DF68BE"/>
    <w:rsid w:val="00DF712A"/>
    <w:rsid w:val="00E25DF4"/>
    <w:rsid w:val="00E3485D"/>
    <w:rsid w:val="00E517EB"/>
    <w:rsid w:val="00E6619B"/>
    <w:rsid w:val="00E908D7"/>
    <w:rsid w:val="00EA1CE4"/>
    <w:rsid w:val="00EA69AC"/>
    <w:rsid w:val="00EB40A1"/>
    <w:rsid w:val="00EC3112"/>
    <w:rsid w:val="00ED5E57"/>
    <w:rsid w:val="00EE1BD8"/>
    <w:rsid w:val="00F707DF"/>
    <w:rsid w:val="00FA5BBE"/>
    <w:rsid w:val="01C7F286"/>
    <w:rsid w:val="05391BCC"/>
    <w:rsid w:val="06EB2D08"/>
    <w:rsid w:val="0B782255"/>
    <w:rsid w:val="0C007DF9"/>
    <w:rsid w:val="0EC52972"/>
    <w:rsid w:val="0EC74E16"/>
    <w:rsid w:val="102CF7DC"/>
    <w:rsid w:val="115B2DF7"/>
    <w:rsid w:val="14EB1785"/>
    <w:rsid w:val="162C9801"/>
    <w:rsid w:val="17777E05"/>
    <w:rsid w:val="1818738E"/>
    <w:rsid w:val="1A12C35F"/>
    <w:rsid w:val="1DDE1E8A"/>
    <w:rsid w:val="20E26E4A"/>
    <w:rsid w:val="2788E80B"/>
    <w:rsid w:val="2BE12FBB"/>
    <w:rsid w:val="2D62ABE7"/>
    <w:rsid w:val="2DEE436D"/>
    <w:rsid w:val="2F3F043E"/>
    <w:rsid w:val="3B261FC5"/>
    <w:rsid w:val="3C8D58C2"/>
    <w:rsid w:val="3E0E165C"/>
    <w:rsid w:val="4208D940"/>
    <w:rsid w:val="4455C9E6"/>
    <w:rsid w:val="4529FBDE"/>
    <w:rsid w:val="454AF384"/>
    <w:rsid w:val="46D5FC17"/>
    <w:rsid w:val="4A649A61"/>
    <w:rsid w:val="4E2F2D0D"/>
    <w:rsid w:val="4F35A897"/>
    <w:rsid w:val="51A39A55"/>
    <w:rsid w:val="54D46A8B"/>
    <w:rsid w:val="579C26B2"/>
    <w:rsid w:val="58BE7114"/>
    <w:rsid w:val="5FC95525"/>
    <w:rsid w:val="5FD04EBA"/>
    <w:rsid w:val="6125B563"/>
    <w:rsid w:val="61C44A1B"/>
    <w:rsid w:val="6463315F"/>
    <w:rsid w:val="647A4F9A"/>
    <w:rsid w:val="655DE31D"/>
    <w:rsid w:val="6A4193A3"/>
    <w:rsid w:val="7021B582"/>
    <w:rsid w:val="7298BF7C"/>
    <w:rsid w:val="73311EE7"/>
    <w:rsid w:val="778D07CB"/>
    <w:rsid w:val="7AC2A2D4"/>
    <w:rsid w:val="7BB698AC"/>
    <w:rsid w:val="7E5544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647E58"/>
  <w15:docId w15:val="{0B5D49E7-8A49-47D8-BCFD-4078ADFD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E517EB"/>
    <w:rPr>
      <w:sz w:val="16"/>
      <w:szCs w:val="16"/>
    </w:rPr>
  </w:style>
  <w:style w:type="paragraph" w:styleId="Tekstopmerking">
    <w:name w:val="annotation text"/>
    <w:basedOn w:val="Standaard"/>
    <w:link w:val="TekstopmerkingChar"/>
    <w:unhideWhenUsed/>
    <w:rsid w:val="00E517EB"/>
    <w:rPr>
      <w:sz w:val="20"/>
    </w:rPr>
  </w:style>
  <w:style w:type="character" w:customStyle="1" w:styleId="TekstopmerkingChar">
    <w:name w:val="Tekst opmerking Char"/>
    <w:basedOn w:val="Standaardalinea-lettertype"/>
    <w:link w:val="Tekstopmerking"/>
    <w:rsid w:val="00E517EB"/>
  </w:style>
  <w:style w:type="paragraph" w:styleId="Onderwerpvanopmerking">
    <w:name w:val="annotation subject"/>
    <w:basedOn w:val="Tekstopmerking"/>
    <w:next w:val="Tekstopmerking"/>
    <w:link w:val="OnderwerpvanopmerkingChar"/>
    <w:semiHidden/>
    <w:unhideWhenUsed/>
    <w:rsid w:val="00E517EB"/>
    <w:rPr>
      <w:b/>
      <w:bCs/>
    </w:rPr>
  </w:style>
  <w:style w:type="character" w:customStyle="1" w:styleId="OnderwerpvanopmerkingChar">
    <w:name w:val="Onderwerp van opmerking Char"/>
    <w:basedOn w:val="TekstopmerkingChar"/>
    <w:link w:val="Onderwerpvanopmerking"/>
    <w:semiHidden/>
    <w:rsid w:val="00E517EB"/>
    <w:rPr>
      <w:b/>
      <w:bCs/>
    </w:rPr>
  </w:style>
  <w:style w:type="paragraph" w:styleId="Revisie">
    <w:name w:val="Revision"/>
    <w:hidden/>
    <w:uiPriority w:val="99"/>
    <w:semiHidden/>
    <w:rsid w:val="003B662C"/>
    <w:rPr>
      <w:sz w:val="24"/>
    </w:rPr>
  </w:style>
  <w:style w:type="character" w:styleId="Voetnootmarkering">
    <w:name w:val="footnote reference"/>
    <w:basedOn w:val="Standaardalinea-lettertype"/>
    <w:uiPriority w:val="99"/>
    <w:semiHidden/>
    <w:unhideWhenUsed/>
    <w:rsid w:val="20E26E4A"/>
    <w:rPr>
      <w:vertAlign w:val="superscript"/>
    </w:rPr>
  </w:style>
  <w:style w:type="character" w:styleId="Hyperlink">
    <w:name w:val="Hyperlink"/>
    <w:basedOn w:val="Standaardalinea-lettertype"/>
    <w:uiPriority w:val="99"/>
    <w:unhideWhenUsed/>
    <w:rsid w:val="20E26E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repository.wodc.nl/entities/publication/1d8a3578-1499-49ed-8ff8-177507e128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355</ap:Words>
  <ap:Characters>1955</ap:Characters>
  <ap:DocSecurity>0</ap:DocSecurity>
  <ap:Lines>16</ap:Lines>
  <ap:Paragraphs>4</ap:Paragraphs>
  <ap:ScaleCrop>false</ap:ScaleCrop>
  <ap:LinksUpToDate>false</ap:LinksUpToDate>
  <ap:CharactersWithSpaces>2306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2026-08-31T10:00:00.0000000Z</dcterms:created>
  <dcterms:modified xsi:type="dcterms:W3CDTF">2026-08-31T10:00:00.0000000Z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