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75834DB0" w14:textId="77777777">
        <w:tc>
          <w:tcPr>
            <w:tcW w:w="6733" w:type="dxa"/>
            <w:gridSpan w:val="2"/>
            <w:tcBorders>
              <w:top w:val="nil"/>
              <w:left w:val="nil"/>
              <w:bottom w:val="nil"/>
              <w:right w:val="nil"/>
            </w:tcBorders>
            <w:vAlign w:val="center"/>
          </w:tcPr>
          <w:p w:rsidR="00D51DFF" w:rsidRDefault="00D51DFF" w14:paraId="5569863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C4E5E45" w14:textId="77777777">
            <w:pPr>
              <w:pStyle w:val="Amendement"/>
              <w:jc w:val="right"/>
              <w:rPr>
                <w:rFonts w:ascii="Times New Roman" w:hAnsi="Times New Roman"/>
                <w:spacing w:val="40"/>
                <w:sz w:val="22"/>
              </w:rPr>
            </w:pPr>
            <w:r>
              <w:rPr>
                <w:rFonts w:ascii="Times New Roman" w:hAnsi="Times New Roman"/>
                <w:sz w:val="88"/>
              </w:rPr>
              <w:t>2</w:t>
            </w:r>
          </w:p>
        </w:tc>
      </w:tr>
      <w:tr w:rsidR="00D51DFF" w14:paraId="7460308D" w14:textId="77777777">
        <w:trPr>
          <w:cantSplit/>
        </w:trPr>
        <w:tc>
          <w:tcPr>
            <w:tcW w:w="11060" w:type="dxa"/>
            <w:gridSpan w:val="3"/>
            <w:tcBorders>
              <w:top w:val="single" w:color="auto" w:sz="4" w:space="0"/>
              <w:left w:val="nil"/>
              <w:bottom w:val="nil"/>
              <w:right w:val="nil"/>
            </w:tcBorders>
          </w:tcPr>
          <w:p w:rsidR="00D51DFF" w:rsidP="004742EF" w:rsidRDefault="00500F90" w14:paraId="494843D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388489C2" w14:textId="77777777">
        <w:trPr>
          <w:cantSplit/>
        </w:trPr>
        <w:tc>
          <w:tcPr>
            <w:tcW w:w="11060" w:type="dxa"/>
            <w:gridSpan w:val="3"/>
            <w:tcBorders>
              <w:top w:val="nil"/>
              <w:left w:val="nil"/>
              <w:bottom w:val="nil"/>
              <w:right w:val="nil"/>
            </w:tcBorders>
          </w:tcPr>
          <w:p w:rsidR="00D51DFF" w:rsidRDefault="00D51DFF" w14:paraId="29338510" w14:textId="77777777">
            <w:pPr>
              <w:pStyle w:val="Amendement"/>
              <w:tabs>
                <w:tab w:val="clear" w:pos="3310"/>
                <w:tab w:val="clear" w:pos="3600"/>
              </w:tabs>
              <w:jc w:val="right"/>
              <w:rPr>
                <w:rFonts w:ascii="Times New Roman" w:hAnsi="Times New Roman"/>
                <w:b w:val="0"/>
              </w:rPr>
            </w:pPr>
          </w:p>
        </w:tc>
      </w:tr>
      <w:tr w:rsidR="00D51DFF" w14:paraId="23005D0E" w14:textId="77777777">
        <w:trPr>
          <w:cantSplit/>
        </w:trPr>
        <w:tc>
          <w:tcPr>
            <w:tcW w:w="11060" w:type="dxa"/>
            <w:gridSpan w:val="3"/>
            <w:tcBorders>
              <w:top w:val="nil"/>
              <w:left w:val="nil"/>
              <w:bottom w:val="single" w:color="auto" w:sz="4" w:space="0"/>
              <w:right w:val="nil"/>
            </w:tcBorders>
          </w:tcPr>
          <w:p w:rsidR="00D51DFF" w:rsidRDefault="00D51DFF" w14:paraId="4FA5B43D" w14:textId="77777777">
            <w:pPr>
              <w:pStyle w:val="Amendement"/>
              <w:tabs>
                <w:tab w:val="clear" w:pos="3310"/>
                <w:tab w:val="clear" w:pos="3600"/>
              </w:tabs>
              <w:jc w:val="right"/>
              <w:rPr>
                <w:rFonts w:ascii="Times New Roman" w:hAnsi="Times New Roman"/>
              </w:rPr>
            </w:pPr>
          </w:p>
        </w:tc>
      </w:tr>
      <w:tr w:rsidR="00D51DFF" w14:paraId="3E1278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5FFEB435"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49543217" w14:textId="77777777">
            <w:pPr>
              <w:suppressAutoHyphens/>
              <w:rPr>
                <w:b/>
              </w:rPr>
            </w:pPr>
          </w:p>
        </w:tc>
      </w:tr>
      <w:tr w:rsidR="00BD6FD6" w14:paraId="152310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EC7950" w14:paraId="659ACA58" w14:textId="7FFA167E">
            <w:pPr>
              <w:rPr>
                <w:b/>
              </w:rPr>
            </w:pPr>
            <w:r>
              <w:rPr>
                <w:b/>
              </w:rPr>
              <w:t>37 000</w:t>
            </w:r>
          </w:p>
        </w:tc>
        <w:tc>
          <w:tcPr>
            <w:tcW w:w="7729" w:type="dxa"/>
            <w:gridSpan w:val="2"/>
          </w:tcPr>
          <w:p w:rsidRPr="00EC7950" w:rsidR="00BD6FD6" w:rsidP="00222CF9" w:rsidRDefault="00EC7950" w14:paraId="7E516F2D" w14:textId="497EE38F">
            <w:pPr>
              <w:rPr>
                <w:b/>
              </w:rPr>
            </w:pPr>
            <w:r w:rsidRPr="00EC7950">
              <w:rPr>
                <w:b/>
              </w:rPr>
              <w:t>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w:t>
            </w:r>
          </w:p>
        </w:tc>
      </w:tr>
      <w:tr w:rsidR="00BD6FD6" w14:paraId="6519E1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D2BA28D"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E0807A4" w14:textId="77777777">
            <w:pPr>
              <w:pStyle w:val="Amendement"/>
              <w:rPr>
                <w:rFonts w:ascii="Times New Roman" w:hAnsi="Times New Roman"/>
              </w:rPr>
            </w:pPr>
          </w:p>
        </w:tc>
      </w:tr>
      <w:tr w:rsidR="00BD6FD6" w:rsidTr="007852AD" w14:paraId="66232F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2CE69A60" w14:textId="77777777">
            <w:pPr>
              <w:pStyle w:val="Amendement"/>
              <w:rPr>
                <w:rFonts w:ascii="Times New Roman" w:hAnsi="Times New Roman"/>
              </w:rPr>
            </w:pPr>
          </w:p>
        </w:tc>
        <w:tc>
          <w:tcPr>
            <w:tcW w:w="7729" w:type="dxa"/>
            <w:gridSpan w:val="2"/>
          </w:tcPr>
          <w:p w:rsidRPr="007852AD" w:rsidR="00BD6FD6" w:rsidRDefault="00BD6FD6" w14:paraId="25BD3190" w14:textId="77777777">
            <w:pPr>
              <w:pStyle w:val="Amendement"/>
              <w:rPr>
                <w:rFonts w:ascii="Times New Roman" w:hAnsi="Times New Roman"/>
              </w:rPr>
            </w:pPr>
          </w:p>
        </w:tc>
      </w:tr>
      <w:tr w:rsidR="00BD6FD6" w14:paraId="63D30B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ED80D66" w14:textId="4EB33025">
            <w:pPr>
              <w:pStyle w:val="Amendement"/>
              <w:rPr>
                <w:rFonts w:ascii="Times New Roman" w:hAnsi="Times New Roman"/>
              </w:rPr>
            </w:pPr>
            <w:r w:rsidRPr="007852AD">
              <w:rPr>
                <w:rFonts w:ascii="Times New Roman" w:hAnsi="Times New Roman"/>
              </w:rPr>
              <w:t xml:space="preserve">Nr. </w:t>
            </w:r>
            <w:r w:rsidR="00EC7950">
              <w:rPr>
                <w:rFonts w:ascii="Times New Roman" w:hAnsi="Times New Roman"/>
              </w:rPr>
              <w:t>4</w:t>
            </w:r>
          </w:p>
        </w:tc>
        <w:tc>
          <w:tcPr>
            <w:tcW w:w="7729" w:type="dxa"/>
            <w:gridSpan w:val="2"/>
          </w:tcPr>
          <w:p w:rsidRPr="007852AD" w:rsidR="00BD6FD6" w:rsidRDefault="00BD6FD6" w14:paraId="718704E0"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179230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26446AF" w14:textId="77777777">
            <w:pPr>
              <w:pStyle w:val="Amendement"/>
              <w:rPr>
                <w:rFonts w:ascii="Times New Roman" w:hAnsi="Times New Roman"/>
              </w:rPr>
            </w:pPr>
          </w:p>
        </w:tc>
        <w:tc>
          <w:tcPr>
            <w:tcW w:w="7729" w:type="dxa"/>
            <w:gridSpan w:val="2"/>
          </w:tcPr>
          <w:p w:rsidR="00BD6FD6" w:rsidRDefault="00BD6FD6" w14:paraId="4BF881A3" w14:textId="77777777">
            <w:pPr>
              <w:pStyle w:val="Amendement"/>
              <w:tabs>
                <w:tab w:val="clear" w:pos="3310"/>
                <w:tab w:val="clear" w:pos="3600"/>
              </w:tabs>
              <w:rPr>
                <w:rFonts w:ascii="Times New Roman" w:hAnsi="Times New Roman"/>
              </w:rPr>
            </w:pPr>
          </w:p>
        </w:tc>
      </w:tr>
      <w:tr w:rsidR="00BD6FD6" w14:paraId="086A22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E66A8C5" w14:textId="77777777">
            <w:pPr>
              <w:pStyle w:val="Amendement"/>
              <w:rPr>
                <w:rFonts w:ascii="Times New Roman" w:hAnsi="Times New Roman"/>
              </w:rPr>
            </w:pPr>
          </w:p>
        </w:tc>
        <w:tc>
          <w:tcPr>
            <w:tcW w:w="7729" w:type="dxa"/>
            <w:gridSpan w:val="2"/>
          </w:tcPr>
          <w:p w:rsidRPr="007852AD" w:rsidR="00BD6FD6" w:rsidP="00BD6FD6" w:rsidRDefault="00BD6FD6" w14:paraId="23658348" w14:textId="71E97702">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EC7950">
              <w:rPr>
                <w:rFonts w:ascii="Times New Roman" w:hAnsi="Times New Roman"/>
                <w:b w:val="0"/>
              </w:rPr>
              <w:t>3 juni 2026</w:t>
            </w:r>
            <w:r w:rsidRPr="007852AD">
              <w:rPr>
                <w:rFonts w:ascii="Times New Roman" w:hAnsi="Times New Roman"/>
                <w:b w:val="0"/>
              </w:rPr>
              <w:t xml:space="preserve"> en het nader rapport d.d. </w:t>
            </w:r>
            <w:r w:rsidR="00EC7950">
              <w:rPr>
                <w:rFonts w:ascii="Times New Roman" w:hAnsi="Times New Roman"/>
                <w:b w:val="0"/>
              </w:rPr>
              <w:t>21 juli 2026</w:t>
            </w:r>
            <w:r w:rsidRPr="007852AD">
              <w:rPr>
                <w:rFonts w:ascii="Times New Roman" w:hAnsi="Times New Roman"/>
                <w:b w:val="0"/>
              </w:rPr>
              <w:t xml:space="preserve">, aangeboden aan de Koning door de minister van </w:t>
            </w:r>
            <w:r w:rsidR="00EC7950">
              <w:rPr>
                <w:rFonts w:ascii="Times New Roman" w:hAnsi="Times New Roman"/>
                <w:b w:val="0"/>
              </w:rPr>
              <w:t>Volkshuisvesting en Ruimtelijke Ordening</w:t>
            </w:r>
            <w:r w:rsidRPr="007852AD">
              <w:rPr>
                <w:rFonts w:ascii="Times New Roman" w:hAnsi="Times New Roman"/>
                <w:b w:val="0"/>
              </w:rPr>
              <w:t>. Het advies van de Afdeling advisering van de Raad van State is cursief afgedrukt.</w:t>
            </w:r>
          </w:p>
        </w:tc>
      </w:tr>
      <w:tr w:rsidR="00BD6FD6" w14:paraId="557187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AB464DB" w14:textId="77777777">
            <w:pPr>
              <w:pStyle w:val="Amendement"/>
              <w:rPr>
                <w:rFonts w:ascii="Times New Roman" w:hAnsi="Times New Roman"/>
              </w:rPr>
            </w:pPr>
          </w:p>
        </w:tc>
        <w:tc>
          <w:tcPr>
            <w:tcW w:w="7729" w:type="dxa"/>
            <w:gridSpan w:val="2"/>
          </w:tcPr>
          <w:p w:rsidR="00BD6FD6" w:rsidRDefault="00BD6FD6" w14:paraId="258E0C10" w14:textId="77777777">
            <w:pPr>
              <w:pStyle w:val="Amendement"/>
              <w:tabs>
                <w:tab w:val="clear" w:pos="3310"/>
                <w:tab w:val="clear" w:pos="3600"/>
              </w:tabs>
              <w:rPr>
                <w:rFonts w:ascii="Times New Roman" w:hAnsi="Times New Roman"/>
                <w:b w:val="0"/>
              </w:rPr>
            </w:pPr>
          </w:p>
        </w:tc>
      </w:tr>
      <w:tr w:rsidR="00BD6FD6" w14:paraId="7AF208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F76497A" w14:textId="77777777">
            <w:pPr>
              <w:pStyle w:val="Amendement"/>
              <w:rPr>
                <w:rFonts w:ascii="Times New Roman" w:hAnsi="Times New Roman"/>
              </w:rPr>
            </w:pPr>
          </w:p>
        </w:tc>
        <w:tc>
          <w:tcPr>
            <w:tcW w:w="7729" w:type="dxa"/>
            <w:gridSpan w:val="2"/>
          </w:tcPr>
          <w:p w:rsidR="00BD6FD6" w:rsidRDefault="00BD6FD6" w14:paraId="77EDDADB" w14:textId="77777777">
            <w:pPr>
              <w:pStyle w:val="Amendement"/>
              <w:tabs>
                <w:tab w:val="clear" w:pos="3310"/>
                <w:tab w:val="clear" w:pos="3600"/>
              </w:tabs>
              <w:rPr>
                <w:rFonts w:ascii="Times New Roman" w:hAnsi="Times New Roman"/>
                <w:b w:val="0"/>
              </w:rPr>
            </w:pPr>
          </w:p>
        </w:tc>
      </w:tr>
      <w:tr w:rsidR="00BD6FD6" w14:paraId="48555C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2395992" w14:textId="77777777">
            <w:pPr>
              <w:pStyle w:val="Amendement"/>
              <w:rPr>
                <w:rFonts w:ascii="Times New Roman" w:hAnsi="Times New Roman"/>
              </w:rPr>
            </w:pPr>
          </w:p>
        </w:tc>
        <w:tc>
          <w:tcPr>
            <w:tcW w:w="7729" w:type="dxa"/>
            <w:gridSpan w:val="2"/>
          </w:tcPr>
          <w:p w:rsidR="00BD6FD6" w:rsidRDefault="00BD6FD6" w14:paraId="5D2DFD25" w14:textId="77777777">
            <w:pPr>
              <w:pStyle w:val="Amendement"/>
              <w:tabs>
                <w:tab w:val="clear" w:pos="3310"/>
                <w:tab w:val="clear" w:pos="3600"/>
              </w:tabs>
              <w:rPr>
                <w:rFonts w:ascii="Times New Roman" w:hAnsi="Times New Roman"/>
                <w:b w:val="0"/>
              </w:rPr>
            </w:pPr>
          </w:p>
        </w:tc>
      </w:tr>
    </w:tbl>
    <w:p w:rsidR="00D51DFF" w:rsidRDefault="00D51DFF" w14:paraId="0DD3B8DF" w14:textId="77777777">
      <w:pPr>
        <w:pStyle w:val="Amendement"/>
        <w:rPr>
          <w:rFonts w:ascii="Times New Roman" w:hAnsi="Times New Roman"/>
          <w:b w:val="0"/>
        </w:rPr>
      </w:pPr>
    </w:p>
    <w:p w:rsidR="00AC2920" w:rsidP="00AC2920" w:rsidRDefault="00AC2920" w14:paraId="21EED533" w14:textId="77777777">
      <w:r w:rsidRPr="00302D50">
        <w:t xml:space="preserve">Blijkens de mededeling van de directeur van Uw kabinet van </w:t>
      </w:r>
      <w:r w:rsidRPr="00734B94">
        <w:t>13 april 2026</w:t>
      </w:r>
      <w:r w:rsidRPr="00302D50">
        <w:t xml:space="preserve">, nr. </w:t>
      </w:r>
      <w:r w:rsidRPr="00734B94">
        <w:t>2026000779</w:t>
      </w:r>
      <w:r w:rsidRPr="00302D50">
        <w:t xml:space="preserve">, machtigde Uwe Majesteit de Afdeling advisering van de Raad van State haar advies inzake het bovenvermelde voorstel van wet rechtstreeks aan mij te doen toekomen. Dit advies, gedateerd </w:t>
      </w:r>
      <w:r w:rsidRPr="00BC6266">
        <w:t>3 juni 2026</w:t>
      </w:r>
      <w:r w:rsidRPr="00302D50">
        <w:t xml:space="preserve">, nr. </w:t>
      </w:r>
      <w:r w:rsidRPr="00BC6266">
        <w:t>W04.26.00093/I</w:t>
      </w:r>
      <w:r w:rsidRPr="00302D50">
        <w:t xml:space="preserve">, bied ik U hierbij aan. </w:t>
      </w:r>
      <w:r>
        <w:br/>
      </w:r>
      <w:r>
        <w:br/>
      </w:r>
      <w:r w:rsidRPr="005C1BBB">
        <w:t>De Afdeling advisering van de Raad van State heeft een opmerking bij het voorstel en adviseert daarmee rekening te houden voordat het voorstel bij de Tweede Kamer der Staten</w:t>
      </w:r>
      <w:r>
        <w:t>-</w:t>
      </w:r>
      <w:r w:rsidRPr="005C1BBB">
        <w:t>Generaal wordt ingediend.</w:t>
      </w:r>
    </w:p>
    <w:p w:rsidR="00AC2920" w:rsidP="00AC2920" w:rsidRDefault="00AC2920" w14:paraId="5D2120AD" w14:textId="77777777"/>
    <w:p w:rsidRPr="00AC2920" w:rsidR="00AC2920" w:rsidP="00AC2920" w:rsidRDefault="00AC2920" w14:paraId="5AEF6C28" w14:textId="77777777">
      <w:pPr>
        <w:rPr>
          <w:i/>
          <w:iCs/>
        </w:rPr>
      </w:pPr>
      <w:r w:rsidRPr="00AC2920">
        <w:rPr>
          <w:i/>
          <w:iCs/>
          <w:color w:val="000000"/>
        </w:rPr>
        <w:t>Bij Kabinetsmissive van 13 april 2026, no.2026000779, heeft Uwe Majesteit, op voordracht van de Minister van Volkshuisvesting en Ruimtelijke Ordening, bij de Afdeling advisering van de Raad van State ter overweging aanhangig gemaakt het voorstel van wet tot 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 met memorie van toelichting.</w:t>
      </w:r>
    </w:p>
    <w:p w:rsidRPr="00AC2920" w:rsidR="00AC2920" w:rsidP="00AC2920" w:rsidRDefault="00AC2920" w14:paraId="2E15162C" w14:textId="77777777">
      <w:pPr>
        <w:rPr>
          <w:i/>
          <w:iCs/>
        </w:rPr>
      </w:pPr>
    </w:p>
    <w:p w:rsidRPr="00AC2920" w:rsidR="00AC2920" w:rsidP="00AC2920" w:rsidRDefault="00AC2920" w14:paraId="7A004F14" w14:textId="77777777">
      <w:pPr>
        <w:rPr>
          <w:i/>
          <w:iCs/>
        </w:rPr>
      </w:pPr>
      <w:r w:rsidRPr="00AC2920">
        <w:rPr>
          <w:i/>
          <w:iCs/>
        </w:rPr>
        <w:t xml:space="preserve">Het wetsvoorstel bevat verschillende wijzigingen van de Kadasterwet. Het herstelt omissies en zorgt voor verbeteringen, verduidelijkingen en actualiseringen. Ook bevat het een grondslag voor een ministeriële regeling van voorwaarden die worden gesteld aan de verdere verwerking van persoonsgegevens met het oogmerk deze te verstrekken aan derden. </w:t>
      </w:r>
    </w:p>
    <w:p w:rsidRPr="00AC2920" w:rsidR="00AC2920" w:rsidP="00AC2920" w:rsidRDefault="00AC2920" w14:paraId="78E69BD6" w14:textId="77777777">
      <w:pPr>
        <w:rPr>
          <w:i/>
          <w:iCs/>
        </w:rPr>
      </w:pPr>
    </w:p>
    <w:p w:rsidRPr="00AC2920" w:rsidR="00AC2920" w:rsidP="00AC2920" w:rsidRDefault="00AC2920" w14:paraId="41F55E66" w14:textId="77777777">
      <w:pPr>
        <w:rPr>
          <w:i/>
          <w:iCs/>
        </w:rPr>
      </w:pPr>
      <w:r w:rsidRPr="00AC2920">
        <w:rPr>
          <w:i/>
          <w:iCs/>
        </w:rPr>
        <w:t>De Afdeling advisering van de Raad van State maakt een opmerking over de keuze deze nadere voorwaarden bij ministeriële regeling te laten bepalen. In verband daarmee is aanpassing van het wetsvoorstel wenselijk.</w:t>
      </w:r>
    </w:p>
    <w:p w:rsidR="00AC2920" w:rsidP="00AC2920" w:rsidRDefault="00AC2920" w14:paraId="2B90187A" w14:textId="77777777">
      <w:pPr>
        <w:rPr>
          <w:i/>
          <w:iCs/>
        </w:rPr>
      </w:pPr>
      <w:r w:rsidRPr="00AC2920">
        <w:rPr>
          <w:i/>
          <w:iCs/>
        </w:rPr>
        <w:br/>
      </w:r>
    </w:p>
    <w:p w:rsidR="00AC2920" w:rsidRDefault="00AC2920" w14:paraId="0E1EB88D" w14:textId="77777777">
      <w:pPr>
        <w:widowControl/>
        <w:rPr>
          <w:i/>
          <w:iCs/>
        </w:rPr>
      </w:pPr>
      <w:r>
        <w:rPr>
          <w:i/>
          <w:iCs/>
        </w:rPr>
        <w:br w:type="page"/>
      </w:r>
    </w:p>
    <w:p w:rsidR="00AC2920" w:rsidP="00AC2920" w:rsidRDefault="00AC2920" w14:paraId="126BE73D" w14:textId="2B6483D8">
      <w:pPr>
        <w:rPr>
          <w:i/>
          <w:iCs/>
        </w:rPr>
      </w:pPr>
      <w:r w:rsidRPr="006E690F">
        <w:rPr>
          <w:i/>
          <w:iCs/>
        </w:rPr>
        <w:lastRenderedPageBreak/>
        <w:t>De Dienst voor het Kadaster heeft onder meer tot taak het verstrekken van inlichtingen uit de openbare registers en de basisregistratie kadaster.</w:t>
      </w:r>
      <w:r w:rsidR="00544F34">
        <w:rPr>
          <w:rStyle w:val="Voetnootmarkering"/>
          <w:i/>
          <w:iCs/>
        </w:rPr>
        <w:footnoteReference w:id="1"/>
      </w:r>
      <w:r w:rsidRPr="006E690F">
        <w:rPr>
          <w:i/>
          <w:iCs/>
        </w:rPr>
        <w:t xml:space="preserve"> Die inlichtingen omvatten persoonsgegevens. Met het oog daarop bevat de Kadasterwet bepalingen in verband met de bescherming van de persoonlijke levenssfeer.</w:t>
      </w:r>
      <w:r w:rsidR="00544F34">
        <w:rPr>
          <w:rStyle w:val="Voetnootmarkering"/>
          <w:i/>
          <w:iCs/>
        </w:rPr>
        <w:footnoteReference w:id="2"/>
      </w:r>
      <w:r w:rsidRPr="006E690F">
        <w:rPr>
          <w:i/>
          <w:iCs/>
        </w:rPr>
        <w:br/>
      </w:r>
      <w:r w:rsidRPr="006E690F">
        <w:rPr>
          <w:i/>
          <w:iCs/>
        </w:rPr>
        <w:br/>
        <w:t>Het voorstel voegt aan de Kadasterwet een grondslag toe voor het stellen van voorwaarden aan de verstrekking van inlichtingen aan ondernemingen die deze inlichtingen, waaronder persoonsgegevens, verwerken in producten met het oogmerk ze aan derden te verstrekken.</w:t>
      </w:r>
      <w:r w:rsidR="00544F34">
        <w:rPr>
          <w:rStyle w:val="Voetnootmarkering"/>
          <w:i/>
          <w:iCs/>
        </w:rPr>
        <w:footnoteReference w:id="3"/>
      </w:r>
      <w:r w:rsidRPr="006E690F">
        <w:rPr>
          <w:i/>
          <w:iCs/>
        </w:rPr>
        <w:t xml:space="preserve"> De ondernemingen worden ook wel aangeduid als </w:t>
      </w:r>
      <w:proofErr w:type="spellStart"/>
      <w:r w:rsidRPr="006E690F">
        <w:rPr>
          <w:i/>
          <w:iCs/>
        </w:rPr>
        <w:t>resellers</w:t>
      </w:r>
      <w:proofErr w:type="spellEnd"/>
      <w:r w:rsidRPr="006E690F">
        <w:rPr>
          <w:i/>
          <w:iCs/>
        </w:rPr>
        <w:t xml:space="preserve">. Met de introductie van een erkenningsregeling voor </w:t>
      </w:r>
      <w:proofErr w:type="spellStart"/>
      <w:r w:rsidRPr="006E690F">
        <w:rPr>
          <w:i/>
          <w:iCs/>
        </w:rPr>
        <w:t>resellers</w:t>
      </w:r>
      <w:proofErr w:type="spellEnd"/>
      <w:r w:rsidRPr="006E690F">
        <w:rPr>
          <w:i/>
          <w:iCs/>
        </w:rPr>
        <w:t xml:space="preserve"> komt het wetsvoorstel tegemoet aan de kritiek van de Autoriteit Persoonsgegevens op een eerdere versie van het wetsvoorstel.</w:t>
      </w:r>
      <w:r w:rsidR="00544F34">
        <w:rPr>
          <w:rStyle w:val="Voetnootmarkering"/>
          <w:i/>
          <w:iCs/>
        </w:rPr>
        <w:footnoteReference w:id="4"/>
      </w:r>
      <w:r w:rsidRPr="006E690F">
        <w:rPr>
          <w:i/>
          <w:iCs/>
        </w:rPr>
        <w:br/>
      </w:r>
      <w:r w:rsidRPr="006E690F">
        <w:rPr>
          <w:i/>
          <w:iCs/>
        </w:rPr>
        <w:br/>
        <w:t>De verstrekking van persoonsgegevens raakt aan de persoonlijke levenssfeer, zoals die wordt beschermd door artikel 10 van de Grondwet. De hoofdlijnen van de met het oog daarop te bepalen waarborgen moeten daarom zijn opgenomen in de wet in formele zin. De uitwerking ervan kan worden gedelegeerd aan de regering. Een ministeriële regeling is geschikt voor het stellen van voorschriften van administratieve aard, uitwerking van de details van een regeling, voorschriften die vaak wijziging behoeven en voorschriften waarvan te voorzien is dat zij mogelijk heel snel moeten worden vastgesteld.</w:t>
      </w:r>
      <w:r w:rsidR="00544F34">
        <w:rPr>
          <w:rStyle w:val="Voetnootmarkering"/>
          <w:i/>
          <w:iCs/>
        </w:rPr>
        <w:footnoteReference w:id="5"/>
      </w:r>
      <w:r w:rsidRPr="006E690F">
        <w:rPr>
          <w:i/>
          <w:iCs/>
        </w:rPr>
        <w:br/>
      </w:r>
      <w:r w:rsidRPr="006E690F">
        <w:rPr>
          <w:i/>
          <w:iCs/>
        </w:rPr>
        <w:br/>
        <w:t xml:space="preserve">Het wetsvoorstel bepaalt over de te stellen voorwaarden niet meer dan dat zij zullen zijn 'gericht op het waarborgen van een rechtmatige en betrouwbare verwerking van persoonsgegevens'. In de toelichting op het wetsvoorstel kondigt de regering aan welke voorwaarden de ministeriële regeling zal gaan bevatten. Zij noemt voorschriften over de betrouwbaarheid, veiligheid en strafrechtelijke antecedenten van de </w:t>
      </w:r>
      <w:proofErr w:type="spellStart"/>
      <w:r w:rsidRPr="006E690F">
        <w:rPr>
          <w:i/>
          <w:iCs/>
        </w:rPr>
        <w:t>resellers</w:t>
      </w:r>
      <w:proofErr w:type="spellEnd"/>
      <w:r w:rsidRPr="006E690F">
        <w:rPr>
          <w:i/>
          <w:iCs/>
        </w:rPr>
        <w:t xml:space="preserve"> en over de te hanteren informatiebeveiliging.</w:t>
      </w:r>
      <w:r w:rsidR="00544F34">
        <w:rPr>
          <w:rStyle w:val="Voetnootmarkering"/>
          <w:i/>
          <w:iCs/>
        </w:rPr>
        <w:footnoteReference w:id="6"/>
      </w:r>
      <w:r w:rsidRPr="006E690F">
        <w:rPr>
          <w:i/>
          <w:iCs/>
        </w:rPr>
        <w:t xml:space="preserve"> Dat zijn belangrijke waarborgen ter bescherming van de persoonlijke levenssfeer. Een ministeriële regeling is daarvoor niet de aangewezen vorm. Met de Autoriteit Persoonsgegevens meent de Afdeling advisering dat ten minste de essentie van de nadere voorwaarden in een algemene maatregel van bestuur is vastgelegd.</w:t>
      </w:r>
      <w:r w:rsidRPr="006E690F" w:rsidR="00544F34">
        <w:rPr>
          <w:i/>
          <w:iCs/>
        </w:rPr>
        <w:t xml:space="preserve"> </w:t>
      </w:r>
      <w:r w:rsidRPr="006E690F">
        <w:rPr>
          <w:i/>
          <w:iCs/>
        </w:rPr>
        <w:br/>
      </w:r>
      <w:r w:rsidRPr="006E690F">
        <w:rPr>
          <w:i/>
          <w:iCs/>
        </w:rPr>
        <w:br/>
        <w:t>De Afdeling adviseert het wetsvoorstel in het licht van het voorgaande aan te passen.</w:t>
      </w:r>
    </w:p>
    <w:p w:rsidR="00AC2920" w:rsidP="00AC2920" w:rsidRDefault="00AC2920" w14:paraId="2B837EE5" w14:textId="77777777">
      <w:pPr>
        <w:rPr>
          <w:i/>
          <w:iCs/>
        </w:rPr>
      </w:pPr>
    </w:p>
    <w:p w:rsidR="00AC2920" w:rsidP="00AC2920" w:rsidRDefault="00AC2920" w14:paraId="6EA7D9E0" w14:textId="3BE4F11C">
      <w:pPr>
        <w:rPr>
          <w:i/>
          <w:iCs/>
        </w:rPr>
      </w:pPr>
      <w:r w:rsidRPr="00AC2920">
        <w:rPr>
          <w:i/>
          <w:iCs/>
        </w:rPr>
        <w:t xml:space="preserve">De Afdeling advisering van de Raad van State heeft een opmerking bij het voorstel en adviseert daarmee rekening te houden voordat het voorstel bij de Tweede Kamer der Staten-Generaal wordt ingediend. </w:t>
      </w:r>
      <w:r w:rsidRPr="00AC2920">
        <w:rPr>
          <w:i/>
          <w:iCs/>
        </w:rPr>
        <w:br/>
      </w:r>
      <w:r w:rsidRPr="00AC2920">
        <w:rPr>
          <w:i/>
          <w:iCs/>
        </w:rPr>
        <w:br/>
        <w:t>De vice-president van de Raad van State,</w:t>
      </w:r>
    </w:p>
    <w:p w:rsidRPr="00AC2920" w:rsidR="00AC2920" w:rsidP="00AC2920" w:rsidRDefault="00AC2920" w14:paraId="549ACF6A" w14:textId="7900F90C">
      <w:pPr>
        <w:rPr>
          <w:i/>
          <w:iCs/>
        </w:rPr>
      </w:pPr>
      <w:proofErr w:type="spellStart"/>
      <w:r>
        <w:rPr>
          <w:i/>
          <w:iCs/>
        </w:rPr>
        <w:t>Th.C</w:t>
      </w:r>
      <w:proofErr w:type="spellEnd"/>
      <w:r>
        <w:rPr>
          <w:i/>
          <w:iCs/>
        </w:rPr>
        <w:t>. de Graaf</w:t>
      </w:r>
    </w:p>
    <w:p w:rsidR="00544F34" w:rsidP="00AC2920" w:rsidRDefault="00AC2920" w14:paraId="2403B32F" w14:textId="77777777">
      <w:r w:rsidRPr="006E690F">
        <w:rPr>
          <w:i/>
          <w:iCs/>
        </w:rPr>
        <w:br/>
      </w:r>
      <w:r w:rsidRPr="006E690F">
        <w:t xml:space="preserve">De opmerking van de Afdeling is </w:t>
      </w:r>
      <w:r>
        <w:t>overgenomen</w:t>
      </w:r>
      <w:r w:rsidRPr="006E690F">
        <w:t xml:space="preserve"> en verwerkt in het wetsvoorstel. De nadere voorwaarden zullen worden geregeld in een algemene maatregel van bestuur in plaats van bij ministeriële regeling. </w:t>
      </w:r>
      <w:r w:rsidRPr="006E690F">
        <w:br/>
        <w:t xml:space="preserve">Daartoe </w:t>
      </w:r>
      <w:r>
        <w:t>zijn</w:t>
      </w:r>
      <w:r w:rsidRPr="006E690F">
        <w:t xml:space="preserve"> in het wetsvoorstel de delegatiegrondslag</w:t>
      </w:r>
      <w:r>
        <w:t>en</w:t>
      </w:r>
      <w:r w:rsidRPr="006E690F">
        <w:t xml:space="preserve"> aangepast in artikel 107d, eerste </w:t>
      </w:r>
      <w:r>
        <w:t xml:space="preserve">en vierde </w:t>
      </w:r>
      <w:r w:rsidRPr="006E690F">
        <w:t xml:space="preserve">lid, en tevens is de toelichting aangepast zodat in plaats van ministeriële regeling wordt gerefereerd aan nadere regeling bij algemene maatregel van bestuur. </w:t>
      </w:r>
      <w:r>
        <w:br/>
      </w:r>
      <w:r>
        <w:br/>
      </w:r>
    </w:p>
    <w:p w:rsidR="00544F34" w:rsidRDefault="00544F34" w14:paraId="72A3F4F2" w14:textId="77777777">
      <w:pPr>
        <w:widowControl/>
      </w:pPr>
      <w:r>
        <w:br w:type="page"/>
      </w:r>
    </w:p>
    <w:p w:rsidR="00AC2920" w:rsidP="00AC2920" w:rsidRDefault="00AC2920" w14:paraId="33B47776" w14:textId="3CFDE0C0">
      <w:r>
        <w:t>Daarnaast is van de gelegenheid van het nader rapport gebruik gemaakt om de volgende wijzigingen aan te brengen in het wetsvoorstel en de memorie van toelichting die technisch en uitvoeringsgericht zijn:</w:t>
      </w:r>
    </w:p>
    <w:p w:rsidR="00AC2920" w:rsidP="00AC2920" w:rsidRDefault="00AC2920" w14:paraId="2D57AB22" w14:textId="77777777">
      <w:r>
        <w:br/>
        <w:t xml:space="preserve">In artikel I, onderdeel D, van het wetsvoorstel, betreffende het in de Kadasterwet in te voegen artikel 11d, is het tweede lid komen te vervallen. Het betrof een delegatiegrondslag op basis waarvan bij ministeriële regeling eisen konden worden gesteld aan in elektronische vorm ter inschrijving aangeboden stukken, om geautomatiseerd te kunnen worden verwerkt. </w:t>
      </w:r>
      <w:r>
        <w:br/>
        <w:t>Bij nadere inventarisatie van de voorwaarden die beoogd zijn om op basis van deze grondslag te regelen, is gebleken dat die dermate technisch van aard zijn, dat het passend is om regeling van dit onderwerp aan het bestuur van de Dienst over te laten. Die regels stelt de Dienst op basis van artikel 11d, tweede lid (nieuw), van het wetsvoorstel. In de versie van het wetsvoorstel zoals het voor advies bij de Raad van State heeft voorgelegen betrof dit het derde lid.</w:t>
      </w:r>
    </w:p>
    <w:p w:rsidR="00AC2920" w:rsidP="00AC2920" w:rsidRDefault="00AC2920" w14:paraId="174CF2D9" w14:textId="77777777"/>
    <w:p w:rsidR="00AC2920" w:rsidP="00AC2920" w:rsidRDefault="00AC2920" w14:paraId="7E0D2AD9" w14:textId="77777777">
      <w:r>
        <w:t xml:space="preserve">In artikel I, onderdeel T, is het in de Kadasterwet in te voegen artikel 107, onderdeel h, aangepast. Ook is de toelichting over dat onderdeel aan het slot van paragraaf 2.8 van het algemeen deel van de memorie van toelichting gewijzigd. Overwogen is dat de vorige formulering onduidelijkheid liet bestaan welk type voorwaarden er op basis van de grondslag zouden kunnen worden geregeld door de Dienst. De grondslag was te ruim. Met de nieuwe formulering van het artikelonderdeel en de toelichting is duidelijk gemaakt dat het een grondslag betreft voor het mogen stellen van de privaatrechtelijke algemene voorwaarden door de Dienst. </w:t>
      </w:r>
    </w:p>
    <w:p w:rsidR="00AC2920" w:rsidP="00AC2920" w:rsidRDefault="00AC2920" w14:paraId="5A31B3A0" w14:textId="77777777"/>
    <w:p w:rsidR="00AC2920" w:rsidP="00AC2920" w:rsidRDefault="00AC2920" w14:paraId="3FC4F770" w14:textId="77777777">
      <w:r>
        <w:t xml:space="preserve">In het algemeen deel van de memorie van toelichting is het hoofdstuk over de verhouding tot hoger recht en nationale regelgeving een nieuwe paragraaf ingevoegd. Dat betreft paragraaf 3.3, waarin de verhouding van het in de Kadasterwet in te voegen artikel 107d met de Dienstenrichtlijn is omschreven. Kort gezegd is er geen sprake van een verbod op basis van de Dienstenrichtlijn om de betreffende eisen te stellen en daarom ook geen notificatieverplichting. </w:t>
      </w:r>
      <w:r>
        <w:br/>
      </w:r>
      <w:r>
        <w:br/>
        <w:t xml:space="preserve">Ten slotte is in het in de Kadasterwet in te voegen artikel 107d, vierde lid, de term “jaarlijks” vervangen door “periodiek”. Gebleken is dat het voor sommige voorwaarden passend kan zijn om een herhaalde controle door het Kadaster bijvoorbeeld vierjaarlijks te laten plaatsvinden, in plaats van ieder jaar. Te denken valt aan het opnieuw moeten opvragen bij JUSTIS van een VOG Rechtspersoon en aanleveren bij het Kadaster. </w:t>
      </w:r>
      <w:r>
        <w:br/>
      </w:r>
      <w:r>
        <w:br/>
      </w:r>
      <w:r w:rsidRPr="00302D50">
        <w:t xml:space="preserve">Ik moge U verzoeken het hierbij gevoegde </w:t>
      </w:r>
      <w:r>
        <w:t xml:space="preserve">gewijzigde </w:t>
      </w:r>
      <w:r w:rsidRPr="00302D50">
        <w:t>voorstel van wet en de gewijzigde memorie van toelichting aan de Tweede Kamer der Staten-Generaal te zenden.</w:t>
      </w:r>
      <w:r>
        <w:br/>
      </w:r>
      <w:r>
        <w:br/>
      </w:r>
      <w:r>
        <w:br/>
        <w:t>De minister van Volkshuisvesting en Ruimtelijke Ordening,</w:t>
      </w:r>
    </w:p>
    <w:p w:rsidR="00AC2920" w:rsidP="00AC2920" w:rsidRDefault="00AC2920" w14:paraId="4C59FFBB" w14:textId="311719B5">
      <w:pPr>
        <w:rPr>
          <w:b/>
        </w:rPr>
      </w:pPr>
      <w:r>
        <w:t xml:space="preserve">E. </w:t>
      </w:r>
      <w:proofErr w:type="spellStart"/>
      <w:r w:rsidRPr="00302D50">
        <w:t>Boekholt-O'Sullivan</w:t>
      </w:r>
      <w:proofErr w:type="spellEnd"/>
    </w:p>
    <w:sectPr w:rsidR="00AC2920">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1356" w14:textId="77777777" w:rsidR="00CA5E3C" w:rsidRDefault="00CA5E3C">
      <w:pPr>
        <w:spacing w:line="20" w:lineRule="exact"/>
      </w:pPr>
    </w:p>
  </w:endnote>
  <w:endnote w:type="continuationSeparator" w:id="0">
    <w:p w14:paraId="60275469" w14:textId="77777777" w:rsidR="00CA5E3C" w:rsidRDefault="00CA5E3C">
      <w:pPr>
        <w:pStyle w:val="Amendement"/>
      </w:pPr>
      <w:r>
        <w:rPr>
          <w:b w:val="0"/>
        </w:rPr>
        <w:t xml:space="preserve"> </w:t>
      </w:r>
    </w:p>
  </w:endnote>
  <w:endnote w:type="continuationNotice" w:id="1">
    <w:p w14:paraId="66724BE6" w14:textId="77777777" w:rsidR="00CA5E3C" w:rsidRDefault="00CA5E3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D8E9A" w14:textId="77777777" w:rsidR="00CA5E3C" w:rsidRDefault="00CA5E3C">
      <w:pPr>
        <w:pStyle w:val="Amendement"/>
      </w:pPr>
      <w:r>
        <w:rPr>
          <w:b w:val="0"/>
        </w:rPr>
        <w:separator/>
      </w:r>
    </w:p>
  </w:footnote>
  <w:footnote w:type="continuationSeparator" w:id="0">
    <w:p w14:paraId="29ABCB1D" w14:textId="77777777" w:rsidR="00CA5E3C" w:rsidRDefault="00CA5E3C">
      <w:r>
        <w:continuationSeparator/>
      </w:r>
    </w:p>
  </w:footnote>
  <w:footnote w:id="1">
    <w:p w14:paraId="6BF12051" w14:textId="0DA93DF0"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Artikel 3, eerste lid, onder i van de Kadasterwet.</w:t>
      </w:r>
    </w:p>
  </w:footnote>
  <w:footnote w:id="2">
    <w:p w14:paraId="5BCDAF0C" w14:textId="2B1F8021"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Hoofdstuk 7, titel 1, afdeling 2 van de Kadasterwet.</w:t>
      </w:r>
    </w:p>
  </w:footnote>
  <w:footnote w:id="3">
    <w:p w14:paraId="34E40FA5" w14:textId="389523CF"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Artikel I, onderdeel U van het wetsvoorstel.</w:t>
      </w:r>
    </w:p>
  </w:footnote>
  <w:footnote w:id="4">
    <w:p w14:paraId="3A45EE77" w14:textId="46CF9A72"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Advies van de Autoriteit Persoonsgegevens van 8 april 2025, te raadplegen op https://autoriteitpersoonsgegevens.nl/documenten/toets-wijziging-kadasterwet</w:t>
      </w:r>
    </w:p>
  </w:footnote>
  <w:footnote w:id="5">
    <w:p w14:paraId="0E91841E" w14:textId="6E653E13"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Aanwijzing 2.24 van de Aanwijzingen voor de regelgeving. Zie ook de adviezen van de Afdeling advisering van de Raad van State van 12 november 2025 over het voorstel van wet houdende wijziging van de Archiefwet 1995 ter uitvoering van overweging 158 van de Algemene verordening gegevensbescherming (W05.25.00278/I), Kamerstukken II 2025/26, 36886, nr. 4, punt 2b en punt 6; van 13 maart 2024 over de Wet op de Nederlandse identiteitskaart (W04.24.00012/I), Kamerstukken II 2024/25, 36644, nr. 4 en van 19 augustus 2020 over de Tijdelijke wet notificatieapplicatie covid-19 (W13.20.0254/III), Kamerstukken II 2019/20, 35538, nr. 4, punt 4.</w:t>
      </w:r>
    </w:p>
  </w:footnote>
  <w:footnote w:id="6">
    <w:p w14:paraId="4A22B3A9" w14:textId="74C5C929" w:rsidR="00544F34" w:rsidRPr="00544F34" w:rsidRDefault="00544F34">
      <w:pPr>
        <w:pStyle w:val="Voetnoottekst"/>
        <w:rPr>
          <w:sz w:val="20"/>
        </w:rPr>
      </w:pPr>
      <w:r w:rsidRPr="00544F34">
        <w:rPr>
          <w:rStyle w:val="Voetnootmarkering"/>
          <w:sz w:val="20"/>
        </w:rPr>
        <w:footnoteRef/>
      </w:r>
      <w:r w:rsidRPr="00544F34">
        <w:rPr>
          <w:sz w:val="20"/>
        </w:rPr>
        <w:t xml:space="preserve"> </w:t>
      </w:r>
      <w:r w:rsidRPr="00544F34">
        <w:rPr>
          <w:sz w:val="20"/>
        </w:rPr>
        <w:t>Memorie van toelichting, algemeen deel, paragraaf 2.8, Voorwaarden aan verdere verwerking van persoonsgegevens met oogmerk te verstrekken aan derden.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50"/>
    <w:rsid w:val="000A73CB"/>
    <w:rsid w:val="00187EF3"/>
    <w:rsid w:val="00212071"/>
    <w:rsid w:val="002234F9"/>
    <w:rsid w:val="00244AA3"/>
    <w:rsid w:val="002B3CFE"/>
    <w:rsid w:val="002C313D"/>
    <w:rsid w:val="002C5C9B"/>
    <w:rsid w:val="002F0F5F"/>
    <w:rsid w:val="002F1F47"/>
    <w:rsid w:val="00311EC2"/>
    <w:rsid w:val="003D1E89"/>
    <w:rsid w:val="00414CF8"/>
    <w:rsid w:val="004742EF"/>
    <w:rsid w:val="00500F90"/>
    <w:rsid w:val="00544F34"/>
    <w:rsid w:val="00557F24"/>
    <w:rsid w:val="005A60A9"/>
    <w:rsid w:val="0062757D"/>
    <w:rsid w:val="006309C6"/>
    <w:rsid w:val="00663BC7"/>
    <w:rsid w:val="006B1119"/>
    <w:rsid w:val="006E7AB3"/>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C2920"/>
    <w:rsid w:val="00AD2CD4"/>
    <w:rsid w:val="00B0451E"/>
    <w:rsid w:val="00B90937"/>
    <w:rsid w:val="00BD6FD6"/>
    <w:rsid w:val="00BF5EAA"/>
    <w:rsid w:val="00CA5E3C"/>
    <w:rsid w:val="00CB1E97"/>
    <w:rsid w:val="00CD7550"/>
    <w:rsid w:val="00CF0F08"/>
    <w:rsid w:val="00D40D07"/>
    <w:rsid w:val="00D51DFF"/>
    <w:rsid w:val="00DB3DC4"/>
    <w:rsid w:val="00DD5F58"/>
    <w:rsid w:val="00E010A1"/>
    <w:rsid w:val="00E513A1"/>
    <w:rsid w:val="00E75C18"/>
    <w:rsid w:val="00E94529"/>
    <w:rsid w:val="00EB3552"/>
    <w:rsid w:val="00EC7950"/>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D0BD5"/>
  <w15:docId w15:val="{14C83B2B-5014-41D0-AB0D-CA5FFC8B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WitregelW1bodytekst">
    <w:name w:val="Witregel W1 (bodytekst)"/>
    <w:basedOn w:val="Standaard"/>
    <w:next w:val="Standaard"/>
    <w:rsid w:val="00AC2920"/>
    <w:pPr>
      <w:widowControl/>
      <w:autoSpaceDN w:val="0"/>
      <w:spacing w:line="240" w:lineRule="exact"/>
      <w:textAlignment w:val="baseline"/>
    </w:pPr>
    <w:rPr>
      <w:rFonts w:ascii="Verdana" w:eastAsia="DejaVu Sans" w:hAnsi="Verdana" w:cs="Lohit Hindi"/>
      <w:color w:val="000000"/>
      <w:sz w:val="18"/>
      <w:szCs w:val="18"/>
    </w:rPr>
  </w:style>
  <w:style w:type="character" w:styleId="Voetnootmarkering">
    <w:name w:val="footnote reference"/>
    <w:basedOn w:val="Standaardalinea-lettertype"/>
    <w:semiHidden/>
    <w:unhideWhenUsed/>
    <w:rsid w:val="00544F34"/>
    <w:rPr>
      <w:vertAlign w:val="superscript"/>
    </w:rPr>
  </w:style>
  <w:style w:type="character" w:customStyle="1" w:styleId="VoetnoottekstChar">
    <w:name w:val="Voetnoottekst Char"/>
    <w:basedOn w:val="Standaardalinea-lettertype"/>
    <w:link w:val="Voetnoottekst"/>
    <w:uiPriority w:val="99"/>
    <w:semiHidden/>
    <w:rsid w:val="00544F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1301</ap:Words>
  <ap:Characters>7158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8443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2026-09-01T13:17:00.0000000Z</dcterms:created>
  <dcterms:modified xsi:type="dcterms:W3CDTF">2026-09-01T13:17:00.0000000Z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