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2DE3" w:rsidP="006436EE" w:rsidRDefault="006E2DE3" w14:paraId="0B94D904" w14:textId="7E58D2FC">
      <w:pPr>
        <w:pStyle w:val="Geenafstand"/>
        <w:spacing w:line="240" w:lineRule="atLeast"/>
        <w:rPr>
          <w:b/>
          <w:bCs/>
        </w:rPr>
      </w:pPr>
      <w:r>
        <w:rPr>
          <w:b/>
          <w:bCs/>
        </w:rPr>
        <w:t>AH 2894</w:t>
      </w:r>
    </w:p>
    <w:p w:rsidR="006E2DE3" w:rsidP="006436EE" w:rsidRDefault="006E2DE3" w14:paraId="78E08140" w14:textId="0FBC355A">
      <w:pPr>
        <w:pStyle w:val="Geenafstand"/>
        <w:spacing w:line="240" w:lineRule="atLeast"/>
        <w:rPr>
          <w:b/>
          <w:bCs/>
        </w:rPr>
      </w:pPr>
      <w:r>
        <w:rPr>
          <w:b/>
          <w:bCs/>
        </w:rPr>
        <w:t>2026Z16000</w:t>
      </w:r>
    </w:p>
    <w:p w:rsidRPr="006E2DE3" w:rsidR="006E2DE3" w:rsidP="006E2DE3" w:rsidRDefault="006E2DE3" w14:paraId="31C83DB3" w14:textId="7CEE6375">
      <w:pPr>
        <w:rPr>
          <w:rFonts w:ascii="Arial" w:hAnsi="Arial" w:cs="Arial"/>
          <w:color w:val="000000"/>
          <w:sz w:val="24"/>
          <w:szCs w:val="24"/>
        </w:rPr>
      </w:pPr>
      <w:r w:rsidRPr="006E2DE3">
        <w:rPr>
          <w:b/>
          <w:bCs/>
          <w:sz w:val="24"/>
          <w:szCs w:val="24"/>
        </w:rPr>
        <w:t>Antwoord van minister Van Veldhoven-van der Meer (Klimaat en Groene Groei)</w:t>
      </w:r>
      <w:r>
        <w:rPr>
          <w:b/>
          <w:bCs/>
          <w:sz w:val="24"/>
        </w:rPr>
        <w:t xml:space="preserve"> en de </w:t>
      </w:r>
      <w:r w:rsidRPr="007D78AD">
        <w:rPr>
          <w:rFonts w:ascii="Times New Roman" w:hAnsi="Times New Roman"/>
          <w:sz w:val="24"/>
        </w:rPr>
        <w:t>staatssecretaris</w:t>
      </w:r>
      <w:r>
        <w:rPr>
          <w:rFonts w:ascii="Times New Roman" w:hAnsi="Times New Roman"/>
          <w:sz w:val="24"/>
        </w:rPr>
        <w:t>sen</w:t>
      </w:r>
      <w:r w:rsidRPr="007D78AD">
        <w:rPr>
          <w:rFonts w:ascii="Times New Roman" w:hAnsi="Times New Roman"/>
          <w:sz w:val="24"/>
        </w:rPr>
        <w:t xml:space="preserve"> van Economische Zaken en Klimaat</w:t>
      </w:r>
      <w:r>
        <w:rPr>
          <w:rFonts w:ascii="Times New Roman" w:hAnsi="Times New Roman"/>
          <w:sz w:val="24"/>
        </w:rPr>
        <w:t xml:space="preserve"> en</w:t>
      </w:r>
      <w:r w:rsidRPr="007D78AD">
        <w:rPr>
          <w:rFonts w:ascii="Times New Roman" w:hAnsi="Times New Roman"/>
          <w:sz w:val="24"/>
        </w:rPr>
        <w:t xml:space="preserve"> van Infrastructuur en Waterstaat</w:t>
      </w:r>
      <w:r w:rsidRPr="006E2DE3">
        <w:rPr>
          <w:b/>
          <w:bCs/>
          <w:sz w:val="24"/>
          <w:szCs w:val="24"/>
        </w:rPr>
        <w:t xml:space="preserve"> (ontvangen </w:t>
      </w:r>
      <w:r>
        <w:rPr>
          <w:b/>
          <w:bCs/>
          <w:sz w:val="24"/>
        </w:rPr>
        <w:t xml:space="preserve"> 31 augustus 2026)</w:t>
      </w:r>
    </w:p>
    <w:p w:rsidR="006E2DE3" w:rsidP="006436EE" w:rsidRDefault="006E2DE3" w14:paraId="7D498486" w14:textId="77777777">
      <w:pPr>
        <w:pStyle w:val="Geenafstand"/>
        <w:spacing w:line="240" w:lineRule="atLeast"/>
        <w:rPr>
          <w:b/>
          <w:bCs/>
        </w:rPr>
      </w:pPr>
    </w:p>
    <w:p w:rsidR="006E2DE3" w:rsidP="006436EE" w:rsidRDefault="006E2DE3" w14:paraId="0234C262" w14:textId="747C3253">
      <w:pPr>
        <w:pStyle w:val="Geenafstand"/>
        <w:spacing w:line="240" w:lineRule="atLeast"/>
        <w:rPr>
          <w:b/>
          <w:bCs/>
        </w:rPr>
      </w:pPr>
      <w:r w:rsidRPr="006E2DE3">
        <w:rPr>
          <w:b/>
          <w:bCs/>
          <w:color w:val="000000"/>
          <w:sz w:val="24"/>
        </w:rPr>
        <w:t xml:space="preserve">Zie ook Aanhangsel Handelingen, vergaderjaar 2025-2026, nr. </w:t>
      </w:r>
      <w:r>
        <w:rPr>
          <w:b/>
          <w:bCs/>
        </w:rPr>
        <w:t>2568</w:t>
      </w:r>
    </w:p>
    <w:p w:rsidRPr="004668D6" w:rsidR="006E2DE3" w:rsidP="006436EE" w:rsidRDefault="006E2DE3" w14:paraId="734C6390" w14:textId="77777777">
      <w:pPr>
        <w:pStyle w:val="Geenafstand"/>
        <w:spacing w:line="240" w:lineRule="atLeast"/>
        <w:rPr>
          <w:b/>
          <w:bCs/>
        </w:rPr>
      </w:pPr>
    </w:p>
    <w:p w:rsidR="006E2DE3" w:rsidP="006436EE" w:rsidRDefault="006E2DE3" w14:paraId="6856388E" w14:textId="77777777">
      <w:pPr>
        <w:pStyle w:val="Geenafstand"/>
        <w:spacing w:line="240" w:lineRule="atLeast"/>
        <w:rPr>
          <w:highlight w:val="yellow"/>
        </w:rPr>
      </w:pPr>
      <w:r w:rsidRPr="4BC856F8">
        <w:rPr>
          <w:rStyle w:val="Zwaar"/>
          <w:b w:val="0"/>
          <w:bCs w:val="0"/>
        </w:rPr>
        <w:t>1</w:t>
      </w:r>
      <w:r>
        <w:br/>
        <w:t xml:space="preserve">Wanneer heeft u kennisgenomen van de in de berichtgeving genoemde feiten en omstandigheden, en bent u hiervan geschrokken of was dit verwacht? 1) </w:t>
      </w:r>
    </w:p>
    <w:p w:rsidRPr="00747885" w:rsidR="006E2DE3" w:rsidP="006436EE" w:rsidRDefault="006E2DE3" w14:paraId="4EC49213" w14:textId="77777777">
      <w:pPr>
        <w:pStyle w:val="Geenafstand"/>
        <w:spacing w:line="240" w:lineRule="atLeast"/>
      </w:pPr>
      <w:r>
        <w:t xml:space="preserve"> </w:t>
      </w:r>
    </w:p>
    <w:p w:rsidRPr="006B7A36" w:rsidR="006E2DE3" w:rsidP="006436EE" w:rsidRDefault="006E2DE3" w14:paraId="6624D1B8" w14:textId="77777777">
      <w:pPr>
        <w:pStyle w:val="Geenafstand"/>
        <w:spacing w:line="240" w:lineRule="atLeast"/>
        <w:rPr>
          <w:bCs/>
        </w:rPr>
      </w:pPr>
      <w:r w:rsidRPr="2494EA17">
        <w:rPr>
          <w:rStyle w:val="Zwaar"/>
          <w:b w:val="0"/>
          <w:bCs w:val="0"/>
        </w:rPr>
        <w:t>Antwoord</w:t>
      </w:r>
    </w:p>
    <w:p w:rsidR="006E2DE3" w:rsidP="006436EE" w:rsidRDefault="006E2DE3" w14:paraId="2D8E727C" w14:textId="77777777">
      <w:pPr>
        <w:pStyle w:val="Geenafstand"/>
        <w:spacing w:line="240" w:lineRule="atLeast"/>
      </w:pPr>
      <w:r>
        <w:t>Zoals aangegeven in de op 8 juli jl. verstuurde Kamerbrief</w:t>
      </w:r>
      <w:r w:rsidRPr="0DAF7733">
        <w:rPr>
          <w:rStyle w:val="Voetnootmarkering"/>
        </w:rPr>
        <w:footnoteReference w:id="1"/>
      </w:r>
      <w:r>
        <w:t xml:space="preserve"> heeft de CEO van Tata Steel Nederland B.V. (TSN)</w:t>
      </w:r>
      <w:r w:rsidRPr="00561A60">
        <w:t xml:space="preserve"> </w:t>
      </w:r>
      <w:r>
        <w:t xml:space="preserve">het kabinet </w:t>
      </w:r>
      <w:r w:rsidRPr="00561A60">
        <w:t xml:space="preserve">op 2 juli jl. geïnformeerd dat het bedrijf van het OM had vernomen dat vervolging op korte termijn ingesteld zou worden. </w:t>
      </w:r>
      <w:r>
        <w:t>Eerder dit jaar maakte het OM al bekend onderzoek te doen en hierop heeft het kabinet op 2 april 2026 al een reactie</w:t>
      </w:r>
      <w:r>
        <w:rPr>
          <w:rStyle w:val="Voetnootmarkering"/>
        </w:rPr>
        <w:footnoteReference w:id="2"/>
      </w:r>
      <w:r>
        <w:t xml:space="preserve"> gegeven. Van de exacte feiten en omstandigheden heeft ook het kabinet pas kennis kunnen nemen toen het OM daarmee naar buiten kwam.   </w:t>
      </w:r>
    </w:p>
    <w:p w:rsidR="006E2DE3" w:rsidP="006436EE" w:rsidRDefault="006E2DE3" w14:paraId="4CCAD570" w14:textId="77777777">
      <w:pPr>
        <w:pStyle w:val="Geenafstand"/>
        <w:spacing w:line="240" w:lineRule="atLeast"/>
      </w:pPr>
    </w:p>
    <w:p w:rsidR="006E2DE3" w:rsidP="006436EE" w:rsidRDefault="006E2DE3" w14:paraId="1C6B1417" w14:textId="77777777">
      <w:pPr>
        <w:pStyle w:val="Geenafstand"/>
        <w:spacing w:line="240" w:lineRule="atLeast"/>
      </w:pPr>
      <w:r>
        <w:t>2</w:t>
      </w:r>
    </w:p>
    <w:p w:rsidR="006E2DE3" w:rsidP="006436EE" w:rsidRDefault="006E2DE3" w14:paraId="52EE6722" w14:textId="77777777">
      <w:pPr>
        <w:pStyle w:val="Geenafstand"/>
        <w:spacing w:line="240" w:lineRule="atLeast"/>
      </w:pPr>
      <w:r>
        <w:t>In hoeverre zijn de in de berichtgeving beschreven feiten betrokken bij de onderhandelingen over de maatwerkafspraken met Tata Steel?</w:t>
      </w:r>
    </w:p>
    <w:p w:rsidR="006E2DE3" w:rsidP="006436EE" w:rsidRDefault="006E2DE3" w14:paraId="1EF766B5" w14:textId="77777777">
      <w:pPr>
        <w:pStyle w:val="Geenafstand"/>
        <w:spacing w:line="240" w:lineRule="atLeast"/>
      </w:pPr>
      <w:r>
        <w:br/>
        <w:t>3</w:t>
      </w:r>
    </w:p>
    <w:p w:rsidR="006E2DE3" w:rsidP="006436EE" w:rsidRDefault="006E2DE3" w14:paraId="142C020D" w14:textId="77777777">
      <w:pPr>
        <w:pStyle w:val="Geenafstand"/>
        <w:spacing w:line="240" w:lineRule="atLeast"/>
      </w:pPr>
      <w:r>
        <w:t>Welke consequenties heeft de vervolging van het Openbaar Ministerie (OM)voor de onderhandelingen en het tijdspad van de maatwerkafspraken? Is in de onderhandelingen rekening gehouden met dit scenario, inclusief mogelijke veroordeling en sancties?</w:t>
      </w:r>
    </w:p>
    <w:p w:rsidR="006E2DE3" w:rsidP="006436EE" w:rsidRDefault="006E2DE3" w14:paraId="77576D75" w14:textId="77777777">
      <w:pPr>
        <w:pStyle w:val="Geenafstand"/>
        <w:spacing w:line="240" w:lineRule="atLeast"/>
      </w:pPr>
    </w:p>
    <w:p w:rsidR="006E2DE3" w:rsidP="006436EE" w:rsidRDefault="006E2DE3" w14:paraId="700F1F4E" w14:textId="77777777">
      <w:pPr>
        <w:pStyle w:val="Geenafstand"/>
        <w:spacing w:line="240" w:lineRule="atLeast"/>
      </w:pPr>
      <w:r>
        <w:t>Antwoord 2 en 3</w:t>
      </w:r>
    </w:p>
    <w:p w:rsidR="006E2DE3" w:rsidP="006436EE" w:rsidRDefault="006E2DE3" w14:paraId="0F30F2A4" w14:textId="77777777">
      <w:pPr>
        <w:pStyle w:val="Geenafstand"/>
        <w:spacing w:line="240" w:lineRule="atLeast"/>
      </w:pPr>
      <w:r>
        <w:t>Zoals aangegeven in de op 8 juli jl. verstuurde Kamerbrief</w:t>
      </w:r>
      <w:r w:rsidRPr="0DAF7733">
        <w:rPr>
          <w:rStyle w:val="Voetnootmarkering"/>
        </w:rPr>
        <w:footnoteReference w:id="3"/>
      </w:r>
      <w:r>
        <w:t xml:space="preserve"> wordt de Kamer in september </w:t>
      </w:r>
      <w:r w:rsidRPr="4BC856F8">
        <w:rPr>
          <w:rFonts w:eastAsia="Verdana" w:cs="Verdana"/>
        </w:rPr>
        <w:t>geïnformeerd over de bredere ontwikkelingen rondom de maatwerkafspra</w:t>
      </w:r>
      <w:r>
        <w:rPr>
          <w:rFonts w:eastAsia="Verdana" w:cs="Verdana"/>
        </w:rPr>
        <w:t>ak</w:t>
      </w:r>
      <w:r w:rsidRPr="4BC856F8">
        <w:rPr>
          <w:rFonts w:eastAsia="Verdana" w:cs="Verdana"/>
        </w:rPr>
        <w:t xml:space="preserve"> met Tata Steel. Daarbij zal ingegaan worden op de mogelijke implicaties van deze ontwikkelingen voor het proces richting een maatwerkafspraak. Tot die tijd zal het kabinet geen onomkeerbare stappen zetten in het maatwerktraject.</w:t>
      </w:r>
    </w:p>
    <w:p w:rsidR="006E2DE3" w:rsidP="006436EE" w:rsidRDefault="006E2DE3" w14:paraId="63D9486E" w14:textId="77777777">
      <w:pPr>
        <w:pStyle w:val="Geenafstand"/>
        <w:spacing w:line="240" w:lineRule="atLeast"/>
      </w:pPr>
    </w:p>
    <w:p w:rsidR="006E2DE3" w:rsidP="006436EE" w:rsidRDefault="006E2DE3" w14:paraId="21BC8F69" w14:textId="77777777">
      <w:pPr>
        <w:pStyle w:val="Geenafstand"/>
        <w:spacing w:line="240" w:lineRule="atLeast"/>
      </w:pPr>
      <w:r>
        <w:t>4</w:t>
      </w:r>
    </w:p>
    <w:p w:rsidR="006E2DE3" w:rsidP="006436EE" w:rsidRDefault="006E2DE3" w14:paraId="59D674C0" w14:textId="77777777">
      <w:pPr>
        <w:pStyle w:val="Geenafstand"/>
        <w:spacing w:line="240" w:lineRule="atLeast"/>
      </w:pPr>
      <w:r>
        <w:t>Welke financiële risico's loopt de Staat indien tijdens of na het sluiten van maatwerkafspraken blijkt dat Tata Steel strafrechtelijk aansprakelijk wordt gehouden, bijvoorbeeld doordat de uitvoering van de afspraken vertraging oploopt, niet kan plaatsvinden of significante impact heeft op de financiële gezondheid van het bedrijf?</w:t>
      </w:r>
    </w:p>
    <w:p w:rsidR="006E2DE3" w:rsidP="006436EE" w:rsidRDefault="006E2DE3" w14:paraId="1349E024" w14:textId="77777777">
      <w:pPr>
        <w:pStyle w:val="Geenafstand"/>
        <w:spacing w:line="240" w:lineRule="atLeast"/>
      </w:pPr>
    </w:p>
    <w:p w:rsidR="006E2DE3" w:rsidP="006436EE" w:rsidRDefault="006E2DE3" w14:paraId="14287842" w14:textId="77777777">
      <w:pPr>
        <w:pStyle w:val="Geenafstand"/>
        <w:spacing w:line="240" w:lineRule="atLeast"/>
      </w:pPr>
      <w:r>
        <w:t>5</w:t>
      </w:r>
    </w:p>
    <w:p w:rsidR="006E2DE3" w:rsidP="006436EE" w:rsidRDefault="006E2DE3" w14:paraId="6F9A31C6" w14:textId="77777777">
      <w:pPr>
        <w:pStyle w:val="Geenafstand"/>
        <w:spacing w:line="240" w:lineRule="atLeast"/>
      </w:pPr>
      <w:r>
        <w:t>Bevatten de voorgenomen maatwerkafspraken bepalingen die de Staat beschermen tegen financiële schade of terugvordering van publieke middelen indien Tata Steel wordt veroordeeld voor strafbare feiten? Zo nee, wordt hier nu in de onderhandelingen op in gezet?</w:t>
      </w:r>
    </w:p>
    <w:p w:rsidR="006E2DE3" w:rsidP="006436EE" w:rsidRDefault="006E2DE3" w14:paraId="097462CF" w14:textId="77777777">
      <w:pPr>
        <w:pStyle w:val="Geenafstand"/>
        <w:spacing w:line="240" w:lineRule="atLeast"/>
      </w:pPr>
    </w:p>
    <w:p w:rsidR="006E2DE3" w:rsidP="006436EE" w:rsidRDefault="006E2DE3" w14:paraId="50FF45A3" w14:textId="77777777">
      <w:pPr>
        <w:pStyle w:val="Geenafstand"/>
        <w:spacing w:line="240" w:lineRule="atLeast"/>
      </w:pPr>
      <w:r>
        <w:t>Antwoord 4 en 5</w:t>
      </w:r>
    </w:p>
    <w:p w:rsidR="006E2DE3" w:rsidP="006436EE" w:rsidRDefault="006E2DE3" w14:paraId="6C1F5F05" w14:textId="77777777">
      <w:pPr>
        <w:pStyle w:val="Geenafstand"/>
        <w:spacing w:line="240" w:lineRule="atLeast"/>
      </w:pPr>
      <w:r>
        <w:t xml:space="preserve">In september </w:t>
      </w:r>
      <w:r w:rsidRPr="63B351F6">
        <w:rPr>
          <w:rFonts w:eastAsia="Verdana" w:cs="Verdana"/>
        </w:rPr>
        <w:t>zal ingegaan worden op de mogelijke implicaties van deze ontwikkelingen voor het proces richting een maatwerkafspraak.</w:t>
      </w:r>
      <w:r>
        <w:t xml:space="preserve"> </w:t>
      </w:r>
    </w:p>
    <w:p w:rsidR="006E2DE3" w:rsidP="006436EE" w:rsidRDefault="006E2DE3" w14:paraId="0A8D36BC" w14:textId="77777777">
      <w:pPr>
        <w:pStyle w:val="Geenafstand"/>
        <w:spacing w:line="240" w:lineRule="atLeast"/>
      </w:pPr>
    </w:p>
    <w:p w:rsidR="006E2DE3" w:rsidP="006436EE" w:rsidRDefault="006E2DE3" w14:paraId="66797DC5" w14:textId="77777777">
      <w:pPr>
        <w:pStyle w:val="Geenafstand"/>
        <w:spacing w:line="240" w:lineRule="atLeast"/>
      </w:pPr>
      <w:r>
        <w:lastRenderedPageBreak/>
        <w:t xml:space="preserve">In de JLoI staan artikelen over de risicobeheersing voor de staat van de subsidieverlening en deze artikelen geven ruimte tot nadere weging in dit soort omstandigheden ten aanzien van het uitvoeren van de afspraken en de financiële risico’s van de staat. In deze artikelen staat dat voor de risicobeheersing van subsidieverlening gedacht kan worden aan het uitbetalen van de subsidie in tranches gekoppeld aan mijlpalen, een controlesysteem met een effectief sanctiesysteem en terugvorderingsmogelijkheden. Het gaat onder meer om artikel 7 en artikel 11 (lid 5, 7,8, 9 en 12) van de JLoI. De </w:t>
      </w:r>
      <w:r w:rsidRPr="00561A60">
        <w:t>maatwerkafspraak wordt</w:t>
      </w:r>
      <w:r>
        <w:t xml:space="preserve"> uitgewerkt</w:t>
      </w:r>
      <w:r w:rsidRPr="00561A60">
        <w:t xml:space="preserve"> langs de</w:t>
      </w:r>
      <w:r>
        <w:t>ze</w:t>
      </w:r>
      <w:r w:rsidRPr="00561A60">
        <w:t xml:space="preserve"> lijnen van de JLoI</w:t>
      </w:r>
      <w:r>
        <w:t xml:space="preserve">. </w:t>
      </w:r>
      <w:r w:rsidRPr="00561A60">
        <w:t>Voor de volledigheid, de subsidie moet goedgekeurd worden door de Europese Commissie en aan het relevante staatssteunkader voldoen</w:t>
      </w:r>
      <w:r>
        <w:t>, de Guidelines on State aid for climate, environmental protection and energy 2022 (‘CEEAG’).</w:t>
      </w:r>
    </w:p>
    <w:p w:rsidR="006E2DE3" w:rsidP="006436EE" w:rsidRDefault="006E2DE3" w14:paraId="5DDAE69A" w14:textId="77777777">
      <w:pPr>
        <w:pStyle w:val="Geenafstand"/>
        <w:spacing w:line="240" w:lineRule="atLeast"/>
      </w:pPr>
    </w:p>
    <w:p w:rsidR="006E2DE3" w:rsidP="006436EE" w:rsidRDefault="006E2DE3" w14:paraId="31CD7B56" w14:textId="77777777">
      <w:pPr>
        <w:pStyle w:val="Geenafstand"/>
        <w:spacing w:line="240" w:lineRule="atLeast"/>
      </w:pPr>
      <w:r>
        <w:t>6</w:t>
      </w:r>
    </w:p>
    <w:p w:rsidR="006E2DE3" w:rsidP="006436EE" w:rsidRDefault="006E2DE3" w14:paraId="33016078" w14:textId="77777777">
      <w:pPr>
        <w:pStyle w:val="Geenafstand"/>
        <w:spacing w:line="240" w:lineRule="atLeast"/>
      </w:pPr>
      <w:r>
        <w:t>Deelt u de opvatting dat naleving van wet- en regelgeving een randvoorwaarde moet zijn voor het verstrekken van substantiële publieke steun?</w:t>
      </w:r>
    </w:p>
    <w:p w:rsidR="006E2DE3" w:rsidP="006436EE" w:rsidRDefault="006E2DE3" w14:paraId="56DEA758" w14:textId="77777777"/>
    <w:p w:rsidR="006E2DE3" w:rsidP="006436EE" w:rsidRDefault="006E2DE3" w14:paraId="36C6CD4F" w14:textId="77777777">
      <w:pPr>
        <w:pStyle w:val="Geenafstand"/>
        <w:spacing w:line="240" w:lineRule="atLeast"/>
      </w:pPr>
      <w:r>
        <w:t xml:space="preserve">Antwoord </w:t>
      </w:r>
    </w:p>
    <w:p w:rsidR="006E2DE3" w:rsidP="006436EE" w:rsidRDefault="006E2DE3" w14:paraId="03BF3096" w14:textId="77777777">
      <w:pPr>
        <w:pStyle w:val="Geenafstand"/>
        <w:spacing w:line="240" w:lineRule="atLeast"/>
        <w:rPr>
          <w:rFonts w:eastAsia="Verdana" w:cs="Verdana"/>
        </w:rPr>
      </w:pPr>
      <w:r w:rsidRPr="386A1758">
        <w:rPr>
          <w:rFonts w:eastAsia="Verdana" w:cs="Verdana"/>
        </w:rPr>
        <w:t xml:space="preserve">Zoals het kabinet </w:t>
      </w:r>
      <w:r>
        <w:rPr>
          <w:rFonts w:eastAsia="Verdana" w:cs="Verdana"/>
        </w:rPr>
        <w:t>eerder al</w:t>
      </w:r>
      <w:r w:rsidRPr="386A1758">
        <w:rPr>
          <w:rFonts w:eastAsia="Verdana" w:cs="Verdana"/>
        </w:rPr>
        <w:t xml:space="preserve"> heeft aangegeven dient het bedrijf compliant te zijn met de bestaande wet- en regelgeving. Bedrijven in Nederland moeten zich aan de wet houden, ook TSN. Ondanks dat handhaving en toezicht hierop bij het bevoegd gezag ligt – in het geval voor wet- en regelgeving op milieugebied de provincie Noord-Holland en de OD –, hecht het kabinet eraan dat er een cultuurverandering binnen TSN wordt doorgevoerd. Om die reden zijn hier afspraken over gemaakt in de JLoI, bijvoorbeeld in artikel 12.4.</w:t>
      </w:r>
    </w:p>
    <w:p w:rsidR="006E2DE3" w:rsidP="006436EE" w:rsidRDefault="006E2DE3" w14:paraId="58B798A6" w14:textId="77777777"/>
    <w:p w:rsidR="006E2DE3" w:rsidP="006436EE" w:rsidRDefault="006E2DE3" w14:paraId="1667EDF3" w14:textId="77777777">
      <w:r>
        <w:t>7</w:t>
      </w:r>
    </w:p>
    <w:p w:rsidR="006E2DE3" w:rsidP="006436EE" w:rsidRDefault="006E2DE3" w14:paraId="2C204E5B" w14:textId="77777777">
      <w:pPr>
        <w:rPr>
          <w:highlight w:val="yellow"/>
        </w:rPr>
      </w:pPr>
      <w:r>
        <w:t xml:space="preserve">Welke gevolgen heeft de strafrechtelijke vervolging van Tata Steel voor het toezicht- en handhavingsbeleid van de Omgevingsdienst Noordzeekanaalgebied? Acht u aanvullende maatregelen noodzakelijk? </w:t>
      </w:r>
    </w:p>
    <w:p w:rsidR="006E2DE3" w:rsidP="006436EE" w:rsidRDefault="006E2DE3" w14:paraId="6E6AD30C" w14:textId="77777777"/>
    <w:p w:rsidR="006E2DE3" w:rsidP="006436EE" w:rsidRDefault="006E2DE3" w14:paraId="132F52F9" w14:textId="77777777">
      <w:r>
        <w:t>8</w:t>
      </w:r>
    </w:p>
    <w:p w:rsidR="006E2DE3" w:rsidP="006436EE" w:rsidRDefault="006E2DE3" w14:paraId="198EC53E" w14:textId="77777777">
      <w:pPr>
        <w:rPr>
          <w:highlight w:val="yellow"/>
        </w:rPr>
      </w:pPr>
      <w:r>
        <w:t xml:space="preserve">Deelt u de opvatting dat een strafrechtelijke vervolging wegens opzettelijke milieuvervuiling aanleiding moet zijn om kritisch te bezien of de huidige vergunningen, vergunningvoorschriften en handhavingsinstrumenten toereikend zijn? Zo ja, welke stappen worden gezet? </w:t>
      </w:r>
    </w:p>
    <w:p w:rsidR="006E2DE3" w:rsidP="006436EE" w:rsidRDefault="006E2DE3" w14:paraId="1531AA80" w14:textId="77777777"/>
    <w:p w:rsidR="006E2DE3" w:rsidP="006436EE" w:rsidRDefault="006E2DE3" w14:paraId="2D66B536" w14:textId="77777777">
      <w:r>
        <w:t>9</w:t>
      </w:r>
    </w:p>
    <w:p w:rsidR="006E2DE3" w:rsidP="006436EE" w:rsidRDefault="006E2DE3" w14:paraId="5842A1BF" w14:textId="77777777">
      <w:pPr>
        <w:rPr>
          <w:highlight w:val="yellow"/>
        </w:rPr>
      </w:pPr>
      <w:r>
        <w:t xml:space="preserve">Bent u bereid te onderzoeken of de strafrechtelijke vervolging aanleiding geeft om aanvullende emissiebeperkende maatregelen of aangescherpte vergunningvoorschriften op te leggen aan Tata Steel? </w:t>
      </w:r>
    </w:p>
    <w:p w:rsidR="006E2DE3" w:rsidP="006436EE" w:rsidRDefault="006E2DE3" w14:paraId="0F440105" w14:textId="77777777"/>
    <w:p w:rsidR="006E2DE3" w:rsidP="006436EE" w:rsidRDefault="006E2DE3" w14:paraId="3EE7CE1F" w14:textId="77777777">
      <w:pPr>
        <w:pStyle w:val="Geenafstand"/>
        <w:spacing w:line="240" w:lineRule="atLeast"/>
      </w:pPr>
      <w:r>
        <w:t>Antwoord 7 t/m 9</w:t>
      </w:r>
    </w:p>
    <w:p w:rsidR="006E2DE3" w:rsidP="006436EE" w:rsidRDefault="006E2DE3" w14:paraId="5DDB42AB" w14:textId="77777777">
      <w:pPr>
        <w:pStyle w:val="Geenafstand"/>
        <w:spacing w:line="240" w:lineRule="atLeast"/>
        <w:rPr>
          <w:highlight w:val="yellow"/>
        </w:rPr>
      </w:pPr>
      <w:r>
        <w:t xml:space="preserve">Deze vragen gaan over vergunningverlening, toezicht en handhaving (VTH). Dat is aan het bevoegd gezag, in dit geval de provincie Noord-Holland en de door haar gemandateerde Omgevingsdienst Noordzeekanaalgebied (OD NZKG). </w:t>
      </w:r>
    </w:p>
    <w:p w:rsidR="006E2DE3" w:rsidP="006436EE" w:rsidRDefault="006E2DE3" w14:paraId="3F9977EF" w14:textId="77777777"/>
    <w:p w:rsidR="006E2DE3" w:rsidP="0034413E" w:rsidRDefault="006E2DE3" w14:paraId="7D9ACF2E" w14:textId="77777777">
      <w:pPr>
        <w:rPr>
          <w:rFonts w:eastAsia="Verdana"/>
        </w:rPr>
      </w:pPr>
      <w:r>
        <w:t xml:space="preserve">Om een consistente lijn te verzekeren bij dit soort omstandigheden van bestuurs- en/of strafrechtelijke vervolging, onafhankelijk van de omgevingsdienst waaronder een bedrijf valt, is de Landelijke Handhavingsstrategie Omgevingsrecht (LHSO) ontwikkeld. </w:t>
      </w:r>
      <w:r w:rsidRPr="386A1758">
        <w:rPr>
          <w:rFonts w:eastAsia="Verdana" w:cs="Verdana"/>
          <w:color w:val="000000" w:themeColor="text1"/>
        </w:rPr>
        <w:t xml:space="preserve">De LHSO biedt een </w:t>
      </w:r>
      <w:r w:rsidRPr="386A1758">
        <w:rPr>
          <w:rFonts w:eastAsia="Verdana" w:cs="Verdana"/>
          <w:color w:val="000000" w:themeColor="text1"/>
        </w:rPr>
        <w:lastRenderedPageBreak/>
        <w:t>afwegingskader voor de inzet van bestuursrechtelijke en strafrechtelijke handhaving bij overtredingen.</w:t>
      </w:r>
      <w:r>
        <w:t xml:space="preserve"> </w:t>
      </w:r>
      <w:r w:rsidRPr="386A1758">
        <w:rPr>
          <w:rFonts w:eastAsia="Verdana"/>
        </w:rPr>
        <w:t xml:space="preserve">OD NZKG handelt, net als andere omgevingsdiensten, volgens de Landelijke Handhavingsstrategie Omgevingsrecht (LHSO). </w:t>
      </w:r>
    </w:p>
    <w:p w:rsidR="006E2DE3" w:rsidP="0034413E" w:rsidRDefault="006E2DE3" w14:paraId="370B233A" w14:textId="77777777">
      <w:pPr>
        <w:pStyle w:val="Geenafstand"/>
      </w:pPr>
    </w:p>
    <w:p w:rsidR="006E2DE3" w:rsidP="006436EE" w:rsidRDefault="006E2DE3" w14:paraId="41534A4D" w14:textId="77777777">
      <w:r>
        <w:t>10</w:t>
      </w:r>
    </w:p>
    <w:p w:rsidR="006E2DE3" w:rsidP="006436EE" w:rsidRDefault="006E2DE3" w14:paraId="33564AD5" w14:textId="77777777">
      <w:pPr>
        <w:rPr>
          <w:highlight w:val="yellow"/>
        </w:rPr>
      </w:pPr>
      <w:r>
        <w:t>Hoe wordt geborgd dat de gezondheid van omwonenden gedurende de periode van de strafrechtelijke procedure niet verder onder druk komt te staan? Welke extra maatregelen zijn de komende periode mogelijk?</w:t>
      </w:r>
    </w:p>
    <w:p w:rsidR="006E2DE3" w:rsidP="006436EE" w:rsidRDefault="006E2DE3" w14:paraId="1081A593" w14:textId="77777777"/>
    <w:p w:rsidR="006E2DE3" w:rsidP="006436EE" w:rsidRDefault="006E2DE3" w14:paraId="58B9A3DC" w14:textId="77777777">
      <w:pPr>
        <w:pStyle w:val="Geenafstand"/>
        <w:spacing w:line="240" w:lineRule="atLeast"/>
      </w:pPr>
      <w:r>
        <w:t xml:space="preserve">Antwoord </w:t>
      </w:r>
    </w:p>
    <w:p w:rsidR="006E2DE3" w:rsidP="006436EE" w:rsidRDefault="006E2DE3" w14:paraId="64D0163F" w14:textId="77777777">
      <w:pPr>
        <w:pStyle w:val="Geenafstand"/>
        <w:spacing w:line="240" w:lineRule="atLeast"/>
      </w:pPr>
      <w:r>
        <w:t xml:space="preserve">De wettelijke normen en het VTH-stelsel blijven van kracht. En de OD NZKG blijft scherp toezicht houden op het bedrijf in de breedte van de activiteiten. </w:t>
      </w:r>
    </w:p>
    <w:p w:rsidR="006E2DE3" w:rsidP="006436EE" w:rsidRDefault="006E2DE3" w14:paraId="1DF25B3C" w14:textId="77777777"/>
    <w:p w:rsidR="006E2DE3" w:rsidP="006436EE" w:rsidRDefault="006E2DE3" w14:paraId="75A2D94C" w14:textId="77777777">
      <w:r>
        <w:t>11</w:t>
      </w:r>
    </w:p>
    <w:p w:rsidR="006E2DE3" w:rsidP="006436EE" w:rsidRDefault="006E2DE3" w14:paraId="037723E9" w14:textId="77777777">
      <w:pPr>
        <w:rPr>
          <w:highlight w:val="yellow"/>
        </w:rPr>
      </w:pPr>
      <w:r>
        <w:t xml:space="preserve">Bent u van oordeel dat de strafrechtelijke vervolging aanleiding geeft om de uitvoering van de aanbevelingen van de Expertgroep Gezondheid IJmond te versnellen en versterken, in het bijzonder ten aanzien van continue emissiemonitoring, transparantie van meetgegevens en gezondheidsbescherming? Zo nee, waarom niet? </w:t>
      </w:r>
    </w:p>
    <w:p w:rsidR="006E2DE3" w:rsidP="006436EE" w:rsidRDefault="006E2DE3" w14:paraId="0CA95952" w14:textId="77777777"/>
    <w:p w:rsidR="006E2DE3" w:rsidP="006436EE" w:rsidRDefault="006E2DE3" w14:paraId="57D450B1" w14:textId="77777777">
      <w:pPr>
        <w:pStyle w:val="Geenafstand"/>
        <w:spacing w:line="240" w:lineRule="atLeast"/>
      </w:pPr>
      <w:r>
        <w:t xml:space="preserve">Antwoord </w:t>
      </w:r>
    </w:p>
    <w:p w:rsidR="006E2DE3" w:rsidP="006436EE" w:rsidRDefault="006E2DE3" w14:paraId="07286F18" w14:textId="77777777">
      <w:pPr>
        <w:pStyle w:val="Geenafstand"/>
        <w:spacing w:line="240" w:lineRule="atLeast"/>
        <w:rPr>
          <w:rFonts w:eastAsia="Verdana" w:cs="Verdana"/>
          <w:szCs w:val="18"/>
        </w:rPr>
      </w:pPr>
      <w:r>
        <w:t xml:space="preserve">Ook zonder strafrechtelijke vervolging wil het kabinet, binnen de beschikbare tijd en middelen, de adviezen van de Expertgroep zo </w:t>
      </w:r>
      <w:r w:rsidRPr="004001AB">
        <w:t>goed mogelijk verwerken in de maatwerkafspraak. Dit is ook in lijn met de motie-Thijssen</w:t>
      </w:r>
      <w:r w:rsidRPr="004001AB">
        <w:rPr>
          <w:rStyle w:val="Voetnootmarkering"/>
        </w:rPr>
        <w:footnoteReference w:id="4"/>
      </w:r>
      <w:r w:rsidRPr="004001AB">
        <w:t xml:space="preserve">. </w:t>
      </w:r>
      <w:r w:rsidRPr="004001AB">
        <w:rPr>
          <w:rFonts w:eastAsia="Verdana" w:cs="Verdana"/>
          <w:color w:val="000000" w:themeColor="text1"/>
          <w:szCs w:val="18"/>
        </w:rPr>
        <w:t xml:space="preserve">Het kabinet zal </w:t>
      </w:r>
      <w:r>
        <w:rPr>
          <w:rFonts w:eastAsia="Verdana" w:cs="Verdana"/>
          <w:color w:val="000000" w:themeColor="text1"/>
          <w:szCs w:val="18"/>
        </w:rPr>
        <w:t xml:space="preserve">na de zomer </w:t>
      </w:r>
      <w:r w:rsidRPr="004001AB">
        <w:rPr>
          <w:rFonts w:eastAsia="Verdana" w:cs="Verdana"/>
          <w:color w:val="000000" w:themeColor="text1"/>
          <w:szCs w:val="18"/>
        </w:rPr>
        <w:t>nader ingaan op het meest recente advies van de Expertgroep.</w:t>
      </w:r>
    </w:p>
    <w:p w:rsidR="006E2DE3" w:rsidP="006436EE" w:rsidRDefault="006E2DE3" w14:paraId="353AA890" w14:textId="77777777"/>
    <w:p w:rsidR="006E2DE3" w:rsidP="006436EE" w:rsidRDefault="006E2DE3" w14:paraId="266162AC" w14:textId="77777777">
      <w:r>
        <w:t>12</w:t>
      </w:r>
    </w:p>
    <w:p w:rsidR="006E2DE3" w:rsidP="006436EE" w:rsidRDefault="006E2DE3" w14:paraId="01132978" w14:textId="77777777">
      <w:pPr>
        <w:rPr>
          <w:highlight w:val="yellow"/>
        </w:rPr>
      </w:pPr>
      <w:r>
        <w:t xml:space="preserve">Welke gevolgen heeft de strafrechtelijke vervolging voor het vertrouwen dat de overheid kan stellen in de naleving van vergunningvoorschriften door Tata Steel, en hoe wordt hieraan gewerkt? </w:t>
      </w:r>
    </w:p>
    <w:p w:rsidR="006E2DE3" w:rsidP="006436EE" w:rsidRDefault="006E2DE3" w14:paraId="572A90EC" w14:textId="77777777"/>
    <w:p w:rsidR="006E2DE3" w:rsidP="006436EE" w:rsidRDefault="006E2DE3" w14:paraId="17068DA6" w14:textId="77777777">
      <w:pPr>
        <w:pStyle w:val="Geenafstand"/>
        <w:spacing w:line="240" w:lineRule="atLeast"/>
      </w:pPr>
      <w:r>
        <w:t xml:space="preserve">Antwoord </w:t>
      </w:r>
    </w:p>
    <w:p w:rsidR="006E2DE3" w:rsidP="006436EE" w:rsidRDefault="006E2DE3" w14:paraId="7174C50F" w14:textId="77777777">
      <w:pPr>
        <w:pStyle w:val="Geenafstand"/>
        <w:spacing w:line="240" w:lineRule="atLeast"/>
      </w:pPr>
      <w:r>
        <w:t>Toezicht op en handhaving van de naleving van vergunningsvoorschriften is aan het bevoegd gezag, in dit geval de provincie Noord-Holland en de door haar gemandateerde OD NZKG. Zoals aangegeven</w:t>
      </w:r>
      <w:r w:rsidRPr="4BC856F8">
        <w:rPr>
          <w:rFonts w:eastAsia="Verdana" w:cs="Verdana"/>
        </w:rPr>
        <w:t xml:space="preserve"> zal </w:t>
      </w:r>
      <w:r>
        <w:rPr>
          <w:rFonts w:eastAsia="Verdana" w:cs="Verdana"/>
        </w:rPr>
        <w:t xml:space="preserve">het kabinet in september </w:t>
      </w:r>
      <w:r w:rsidRPr="4BC856F8">
        <w:rPr>
          <w:rFonts w:eastAsia="Verdana" w:cs="Verdana"/>
        </w:rPr>
        <w:t xml:space="preserve">ingaan op de mogelijke implicaties van </w:t>
      </w:r>
      <w:r>
        <w:rPr>
          <w:rFonts w:eastAsia="Verdana" w:cs="Verdana"/>
        </w:rPr>
        <w:t>de strafrechtelijke vervolging</w:t>
      </w:r>
      <w:r w:rsidRPr="4BC856F8">
        <w:rPr>
          <w:rFonts w:eastAsia="Verdana" w:cs="Verdana"/>
        </w:rPr>
        <w:t xml:space="preserve"> voor het proces richting een maatwerkafspraak. Tot die tijd zal het kabinet geen onomkeerbare stappen zetten in het maatwerktraject.</w:t>
      </w:r>
    </w:p>
    <w:p w:rsidR="006E2DE3" w:rsidP="006436EE" w:rsidRDefault="006E2DE3" w14:paraId="27B8D3A7" w14:textId="77777777"/>
    <w:p w:rsidR="006E2DE3" w:rsidP="006436EE" w:rsidRDefault="006E2DE3" w14:paraId="789C633D" w14:textId="77777777">
      <w:r>
        <w:t>13</w:t>
      </w:r>
    </w:p>
    <w:p w:rsidR="006E2DE3" w:rsidP="006436EE" w:rsidRDefault="006E2DE3" w14:paraId="2298167F" w14:textId="77777777">
      <w:r>
        <w:t>Kunt u reflecteren op het effect van deze ontwikkelingen op het vertrouwen van burgers in de overheid en de maatwerkafspraken?</w:t>
      </w:r>
    </w:p>
    <w:p w:rsidR="006E2DE3" w:rsidP="006436EE" w:rsidRDefault="006E2DE3" w14:paraId="3FA3B903" w14:textId="77777777"/>
    <w:p w:rsidR="006E2DE3" w:rsidP="006436EE" w:rsidRDefault="006E2DE3" w14:paraId="06FD8EBF" w14:textId="77777777">
      <w:pPr>
        <w:pStyle w:val="Geenafstand"/>
        <w:spacing w:line="240" w:lineRule="atLeast"/>
      </w:pPr>
      <w:r>
        <w:lastRenderedPageBreak/>
        <w:t xml:space="preserve">Antwoord </w:t>
      </w:r>
    </w:p>
    <w:p w:rsidR="006E2DE3" w:rsidP="006436EE" w:rsidRDefault="006E2DE3" w14:paraId="4859E305" w14:textId="77777777">
      <w:pPr>
        <w:pStyle w:val="Geenafstand"/>
        <w:spacing w:line="240" w:lineRule="atLeast"/>
      </w:pPr>
      <w:r>
        <w:t xml:space="preserve">Het kabinet begrijpt de zorgen die bij burgers kunnen leven over deze strafrechtelijke vervolging, mede in de context van het traject om tot een maatwerkafspraak te komen. Zoals aangegeven komt het kabinet snel met een brief en tot die tijd zet het kabinet geen onomkeerbare stappen. </w:t>
      </w:r>
    </w:p>
    <w:p w:rsidR="006E2DE3" w:rsidP="006436EE" w:rsidRDefault="006E2DE3" w14:paraId="3B67020C" w14:textId="77777777"/>
    <w:p w:rsidR="006E2DE3" w:rsidP="006436EE" w:rsidRDefault="006E2DE3" w14:paraId="79C647EB" w14:textId="77777777">
      <w:r>
        <w:t>14</w:t>
      </w:r>
    </w:p>
    <w:p w:rsidR="006E2DE3" w:rsidP="006436EE" w:rsidRDefault="006E2DE3" w14:paraId="46C2001A" w14:textId="77777777">
      <w:r>
        <w:t>Bent u bereid de Kamer te informeren over de gevolgen van deze berichtgeving voor het verdere onderhandelingsproces? Wacht u de uitkomsten van het onderzoek van het OM af voor de maatwerkafspraken worden ondertekend?</w:t>
      </w:r>
    </w:p>
    <w:p w:rsidR="006E2DE3" w:rsidP="006436EE" w:rsidRDefault="006E2DE3" w14:paraId="1B8AB77F" w14:textId="77777777">
      <w:pPr>
        <w:pStyle w:val="Geenafstand"/>
        <w:spacing w:line="240" w:lineRule="atLeast"/>
      </w:pPr>
    </w:p>
    <w:p w:rsidR="006E2DE3" w:rsidP="006436EE" w:rsidRDefault="006E2DE3" w14:paraId="33AE32A4" w14:textId="77777777">
      <w:pPr>
        <w:pStyle w:val="Geenafstand"/>
        <w:spacing w:line="240" w:lineRule="atLeast"/>
      </w:pPr>
      <w:r>
        <w:t xml:space="preserve">Antwoord </w:t>
      </w:r>
    </w:p>
    <w:p w:rsidR="006E2DE3" w:rsidP="006436EE" w:rsidRDefault="006E2DE3" w14:paraId="3CD99D90" w14:textId="77777777">
      <w:pPr>
        <w:pStyle w:val="Geenafstand"/>
        <w:spacing w:line="240" w:lineRule="atLeast"/>
      </w:pPr>
      <w:r>
        <w:t>Zoals aangegeven in de op 8 juli jl. verstuurde Kamerbrief</w:t>
      </w:r>
      <w:r w:rsidRPr="0DAF7733">
        <w:rPr>
          <w:rStyle w:val="Voetnootmarkering"/>
        </w:rPr>
        <w:footnoteReference w:id="5"/>
      </w:r>
      <w:r>
        <w:t xml:space="preserve"> wordt de Kamer in september </w:t>
      </w:r>
      <w:r w:rsidRPr="4BC856F8">
        <w:rPr>
          <w:rFonts w:eastAsia="Verdana" w:cs="Verdana"/>
        </w:rPr>
        <w:t>geïnformeerd over de bredere ontwikkelingen rondom de maatwerkafspraken met Tata Steel. Daarbij zal ingegaan worden op de mogelijke implicaties van deze ontwikkelingen voor het proces richting een maatwerkafspraak. Tot die tijd zal het kabinet geen onomkeerbare stappen zetten in het maatwerktraject.</w:t>
      </w:r>
    </w:p>
    <w:p w:rsidR="006E2DE3" w:rsidP="006436EE" w:rsidRDefault="006E2DE3" w14:paraId="037E6AF1" w14:textId="77777777">
      <w:pPr>
        <w:pStyle w:val="Geenafstand"/>
        <w:spacing w:line="240" w:lineRule="atLeast"/>
      </w:pPr>
    </w:p>
    <w:p w:rsidR="006E2DE3" w:rsidP="006436EE" w:rsidRDefault="006E2DE3" w14:paraId="23D959EC" w14:textId="77777777"/>
    <w:p w:rsidR="006E2DE3" w:rsidP="006436EE" w:rsidRDefault="006E2DE3" w14:paraId="645B7951" w14:textId="77777777"/>
    <w:p w:rsidR="006E2DE3" w:rsidP="006436EE" w:rsidRDefault="006E2DE3" w14:paraId="2449F650" w14:textId="77777777">
      <w:r>
        <w:br/>
      </w:r>
    </w:p>
    <w:p w:rsidR="006E2DE3" w:rsidP="006436EE" w:rsidRDefault="006E2DE3" w14:paraId="447B2564" w14:textId="77777777"/>
    <w:p w:rsidR="001430F9" w:rsidRDefault="001430F9" w14:paraId="43564E5C" w14:textId="77777777"/>
    <w:sectPr w:rsidR="001430F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7EF7E" w14:textId="77777777" w:rsidR="00FB215C" w:rsidRDefault="00FB215C" w:rsidP="006E2DE3">
      <w:pPr>
        <w:spacing w:after="0" w:line="240" w:lineRule="auto"/>
      </w:pPr>
      <w:r>
        <w:separator/>
      </w:r>
    </w:p>
  </w:endnote>
  <w:endnote w:type="continuationSeparator" w:id="0">
    <w:p w14:paraId="461808AF" w14:textId="77777777" w:rsidR="00FB215C" w:rsidRDefault="00FB215C" w:rsidP="006E2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8BB93" w14:textId="77777777" w:rsidR="006E2DE3" w:rsidRPr="006E2DE3" w:rsidRDefault="006E2DE3" w:rsidP="006E2D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36DF4" w14:textId="77777777" w:rsidR="006E2DE3" w:rsidRPr="006E2DE3" w:rsidRDefault="006E2DE3" w:rsidP="006E2D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0FD2" w14:textId="77777777" w:rsidR="006E2DE3" w:rsidRPr="006E2DE3" w:rsidRDefault="006E2DE3" w:rsidP="006E2D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E8165" w14:textId="77777777" w:rsidR="00FB215C" w:rsidRDefault="00FB215C" w:rsidP="006E2DE3">
      <w:pPr>
        <w:spacing w:after="0" w:line="240" w:lineRule="auto"/>
      </w:pPr>
      <w:r>
        <w:separator/>
      </w:r>
    </w:p>
  </w:footnote>
  <w:footnote w:type="continuationSeparator" w:id="0">
    <w:p w14:paraId="638A610D" w14:textId="77777777" w:rsidR="00FB215C" w:rsidRDefault="00FB215C" w:rsidP="006E2DE3">
      <w:pPr>
        <w:spacing w:after="0" w:line="240" w:lineRule="auto"/>
      </w:pPr>
      <w:r>
        <w:continuationSeparator/>
      </w:r>
    </w:p>
  </w:footnote>
  <w:footnote w:id="1">
    <w:p w14:paraId="7A29C22E" w14:textId="77777777" w:rsidR="006E2DE3" w:rsidRDefault="006E2DE3" w:rsidP="0DAF7733">
      <w:pPr>
        <w:pStyle w:val="Voetnoottekst"/>
      </w:pPr>
      <w:r w:rsidRPr="0DAF7733">
        <w:rPr>
          <w:rStyle w:val="Voetnootmarkering"/>
        </w:rPr>
        <w:footnoteRef/>
      </w:r>
      <w:r>
        <w:t xml:space="preserve"> Kamerstukken 2025/2026. </w:t>
      </w:r>
      <w:hyperlink r:id="rId1">
        <w:r w:rsidRPr="0DAF7733">
          <w:rPr>
            <w:rStyle w:val="Hyperlink"/>
          </w:rPr>
          <w:t>Strafrechtelijke vervolging Tata Steel IJmuiden B.V. | Tweede Kamer der Staten-Generaal</w:t>
        </w:r>
      </w:hyperlink>
    </w:p>
  </w:footnote>
  <w:footnote w:id="2">
    <w:p w14:paraId="2F0B5ADE" w14:textId="77777777" w:rsidR="006E2DE3" w:rsidRDefault="006E2DE3">
      <w:pPr>
        <w:pStyle w:val="Voetnoottekst"/>
      </w:pPr>
      <w:r>
        <w:rPr>
          <w:rStyle w:val="Voetnootmarkering"/>
        </w:rPr>
        <w:footnoteRef/>
      </w:r>
      <w:r>
        <w:t xml:space="preserve"> </w:t>
      </w:r>
      <w:hyperlink r:id="rId2" w:history="1">
        <w:r w:rsidRPr="00561A60">
          <w:rPr>
            <w:rStyle w:val="Hyperlink"/>
          </w:rPr>
          <w:t>Antwoord op vragen van het lid Kostic´ over het bezoek van de ILT-IOD aan Tata Steel in het kader van een strafrechtelijk onderzoek | Tweede Kamer der Staten-Generaal</w:t>
        </w:r>
      </w:hyperlink>
    </w:p>
  </w:footnote>
  <w:footnote w:id="3">
    <w:p w14:paraId="61A9CFBD" w14:textId="77777777" w:rsidR="006E2DE3" w:rsidRDefault="006E2DE3" w:rsidP="0DAF7733">
      <w:pPr>
        <w:pStyle w:val="Voetnoottekst"/>
      </w:pPr>
      <w:r w:rsidRPr="0DAF7733">
        <w:rPr>
          <w:rStyle w:val="Voetnootmarkering"/>
        </w:rPr>
        <w:footnoteRef/>
      </w:r>
      <w:r>
        <w:t xml:space="preserve"> Kamerstukken 2025/2026. </w:t>
      </w:r>
      <w:hyperlink r:id="rId3">
        <w:r w:rsidRPr="0DAF7733">
          <w:rPr>
            <w:rStyle w:val="Hyperlink"/>
          </w:rPr>
          <w:t>Strafrechtelijke vervolging Tata Steel IJmuiden B.V. | Tweede Kamer der Staten-Generaal</w:t>
        </w:r>
      </w:hyperlink>
    </w:p>
  </w:footnote>
  <w:footnote w:id="4">
    <w:p w14:paraId="4A935E60" w14:textId="77777777" w:rsidR="006E2DE3" w:rsidRDefault="006E2DE3" w:rsidP="0DAF7733">
      <w:pPr>
        <w:pStyle w:val="Voetnoottekst"/>
      </w:pPr>
      <w:r w:rsidRPr="0DAF7733">
        <w:rPr>
          <w:rStyle w:val="Voetnootmarkering"/>
        </w:rPr>
        <w:footnoteRef/>
      </w:r>
      <w:r>
        <w:t xml:space="preserve"> Kamerstuk 28089, nr. 307.</w:t>
      </w:r>
    </w:p>
  </w:footnote>
  <w:footnote w:id="5">
    <w:p w14:paraId="1298651D" w14:textId="77777777" w:rsidR="006E2DE3" w:rsidRDefault="006E2DE3" w:rsidP="0DAF7733">
      <w:pPr>
        <w:pStyle w:val="Voetnoottekst"/>
      </w:pPr>
      <w:r w:rsidRPr="0DAF7733">
        <w:rPr>
          <w:rStyle w:val="Voetnootmarkering"/>
        </w:rPr>
        <w:footnoteRef/>
      </w:r>
      <w:r>
        <w:t xml:space="preserve"> Kamerstukken 2025/2026. </w:t>
      </w:r>
      <w:hyperlink r:id="rId4">
        <w:r w:rsidRPr="0DAF7733">
          <w:rPr>
            <w:rStyle w:val="Hyperlink"/>
          </w:rPr>
          <w:t>Strafrechtelijke vervolging Tata Steel IJmuiden B.V. | Tweede Kamer der Staten-Generaal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538D3" w14:textId="77777777" w:rsidR="006E2DE3" w:rsidRPr="006E2DE3" w:rsidRDefault="006E2DE3" w:rsidP="006E2DE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C83A5" w14:textId="77777777" w:rsidR="006E2DE3" w:rsidRPr="006E2DE3" w:rsidRDefault="006E2DE3" w:rsidP="006E2DE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F7E3" w14:textId="77777777" w:rsidR="006E2DE3" w:rsidRPr="006E2DE3" w:rsidRDefault="006E2DE3" w:rsidP="006E2DE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E3"/>
    <w:rsid w:val="001430F9"/>
    <w:rsid w:val="006E2DE3"/>
    <w:rsid w:val="0075138D"/>
    <w:rsid w:val="00FB21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16332"/>
  <w15:chartTrackingRefBased/>
  <w15:docId w15:val="{3A82551C-4A83-4F79-B8BC-61C1C0554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2D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E2D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E2DE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E2DE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E2DE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E2D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2D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2D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2D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2DE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E2DE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E2DE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E2DE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E2DE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E2D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2D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2D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2DE3"/>
    <w:rPr>
      <w:rFonts w:eastAsiaTheme="majorEastAsia" w:cstheme="majorBidi"/>
      <w:color w:val="272727" w:themeColor="text1" w:themeTint="D8"/>
    </w:rPr>
  </w:style>
  <w:style w:type="paragraph" w:styleId="Titel">
    <w:name w:val="Title"/>
    <w:basedOn w:val="Standaard"/>
    <w:next w:val="Standaard"/>
    <w:link w:val="TitelChar"/>
    <w:uiPriority w:val="10"/>
    <w:qFormat/>
    <w:rsid w:val="006E2D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2D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2D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2D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2D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2DE3"/>
    <w:rPr>
      <w:i/>
      <w:iCs/>
      <w:color w:val="404040" w:themeColor="text1" w:themeTint="BF"/>
    </w:rPr>
  </w:style>
  <w:style w:type="paragraph" w:styleId="Lijstalinea">
    <w:name w:val="List Paragraph"/>
    <w:basedOn w:val="Standaard"/>
    <w:uiPriority w:val="34"/>
    <w:qFormat/>
    <w:rsid w:val="006E2DE3"/>
    <w:pPr>
      <w:ind w:left="720"/>
      <w:contextualSpacing/>
    </w:pPr>
  </w:style>
  <w:style w:type="character" w:styleId="Intensievebenadrukking">
    <w:name w:val="Intense Emphasis"/>
    <w:basedOn w:val="Standaardalinea-lettertype"/>
    <w:uiPriority w:val="21"/>
    <w:qFormat/>
    <w:rsid w:val="006E2DE3"/>
    <w:rPr>
      <w:i/>
      <w:iCs/>
      <w:color w:val="2F5496" w:themeColor="accent1" w:themeShade="BF"/>
    </w:rPr>
  </w:style>
  <w:style w:type="paragraph" w:styleId="Duidelijkcitaat">
    <w:name w:val="Intense Quote"/>
    <w:basedOn w:val="Standaard"/>
    <w:next w:val="Standaard"/>
    <w:link w:val="DuidelijkcitaatChar"/>
    <w:uiPriority w:val="30"/>
    <w:qFormat/>
    <w:rsid w:val="006E2D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E2DE3"/>
    <w:rPr>
      <w:i/>
      <w:iCs/>
      <w:color w:val="2F5496" w:themeColor="accent1" w:themeShade="BF"/>
    </w:rPr>
  </w:style>
  <w:style w:type="character" w:styleId="Intensieveverwijzing">
    <w:name w:val="Intense Reference"/>
    <w:basedOn w:val="Standaardalinea-lettertype"/>
    <w:uiPriority w:val="32"/>
    <w:qFormat/>
    <w:rsid w:val="006E2DE3"/>
    <w:rPr>
      <w:b/>
      <w:bCs/>
      <w:smallCaps/>
      <w:color w:val="2F5496" w:themeColor="accent1" w:themeShade="BF"/>
      <w:spacing w:val="5"/>
    </w:rPr>
  </w:style>
  <w:style w:type="character" w:styleId="Hyperlink">
    <w:name w:val="Hyperlink"/>
    <w:rsid w:val="006E2DE3"/>
    <w:rPr>
      <w:color w:val="0000FF"/>
      <w:u w:val="single"/>
    </w:rPr>
  </w:style>
  <w:style w:type="paragraph" w:styleId="Voetnoottekst">
    <w:name w:val="footnote text"/>
    <w:basedOn w:val="Standaard"/>
    <w:link w:val="VoetnoottekstChar"/>
    <w:unhideWhenUsed/>
    <w:rsid w:val="006E2DE3"/>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6E2DE3"/>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6E2DE3"/>
    <w:rPr>
      <w:b/>
      <w:bCs/>
    </w:rPr>
  </w:style>
  <w:style w:type="paragraph" w:styleId="Geenafstand">
    <w:name w:val="No Spacing"/>
    <w:uiPriority w:val="1"/>
    <w:qFormat/>
    <w:rsid w:val="006E2DE3"/>
    <w:pPr>
      <w:spacing w:after="0" w:line="240" w:lineRule="auto"/>
    </w:pPr>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6E2DE3"/>
    <w:rPr>
      <w:vertAlign w:val="superscript"/>
    </w:rPr>
  </w:style>
  <w:style w:type="paragraph" w:styleId="Koptekst">
    <w:name w:val="header"/>
    <w:basedOn w:val="Standaard"/>
    <w:link w:val="KoptekstChar"/>
    <w:uiPriority w:val="99"/>
    <w:unhideWhenUsed/>
    <w:rsid w:val="006E2DE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2DE3"/>
  </w:style>
  <w:style w:type="paragraph" w:styleId="Voettekst">
    <w:name w:val="footer"/>
    <w:basedOn w:val="Standaard"/>
    <w:link w:val="VoettekstChar"/>
    <w:uiPriority w:val="99"/>
    <w:unhideWhenUsed/>
    <w:rsid w:val="006E2D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2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brieven_regering/detail?id=2026Z15991&amp;did=2026D36100" TargetMode="External"/><Relationship Id="rId2" Type="http://schemas.openxmlformats.org/officeDocument/2006/relationships/hyperlink" Target="https://www.tweedekamer.nl/kamerstukken/kamervragen/detail?id=2026Z05286&amp;did=2026D15679" TargetMode="External"/><Relationship Id="rId1" Type="http://schemas.openxmlformats.org/officeDocument/2006/relationships/hyperlink" Target="https://www.tweedekamer.nl/kamerstukken/brieven_regering/detail?id=2026Z15991&amp;did=2026D36100" TargetMode="External"/><Relationship Id="rId4" Type="http://schemas.openxmlformats.org/officeDocument/2006/relationships/hyperlink" Target="https://www.tweedekamer.nl/kamerstukken/brieven_regering/detail?id=2026Z15991&amp;did=2026D3610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1252</ap:Words>
  <ap:Characters>6886</ap:Characters>
  <ap:DocSecurity>0</ap:DocSecurity>
  <ap:Lines>57</ap:Lines>
  <ap:Paragraphs>16</ap:Paragraphs>
  <ap:ScaleCrop>false</ap:ScaleCrop>
  <ap:LinksUpToDate>false</ap:LinksUpToDate>
  <ap:CharactersWithSpaces>8122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2026-09-01T09:31:00.0000000Z</dcterms:created>
  <dcterms:modified xsi:type="dcterms:W3CDTF">2026-09-01T09:33:00.0000000Z</dcterms:modified>
  <version/>
  <category/>
</coreProperties>
</file>