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91B7330" w14:textId="77777777">
        <w:tc>
          <w:tcPr>
            <w:tcW w:w="6379" w:type="dxa"/>
            <w:gridSpan w:val="2"/>
            <w:tcBorders>
              <w:top w:val="nil"/>
              <w:left w:val="nil"/>
              <w:bottom w:val="nil"/>
              <w:right w:val="nil"/>
            </w:tcBorders>
            <w:vAlign w:val="center"/>
          </w:tcPr>
          <w:p w:rsidR="004330ED" w:rsidP="00EA1CE4" w:rsidRDefault="004330ED" w14:paraId="70F4C23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8CC851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A61ABC" w14:textId="77777777">
        <w:trPr>
          <w:cantSplit/>
        </w:trPr>
        <w:tc>
          <w:tcPr>
            <w:tcW w:w="10348" w:type="dxa"/>
            <w:gridSpan w:val="3"/>
            <w:tcBorders>
              <w:top w:val="single" w:color="auto" w:sz="4" w:space="0"/>
              <w:left w:val="nil"/>
              <w:bottom w:val="nil"/>
              <w:right w:val="nil"/>
            </w:tcBorders>
          </w:tcPr>
          <w:p w:rsidR="004330ED" w:rsidP="004A1E29" w:rsidRDefault="004330ED" w14:paraId="0D1EE78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93CC8A5" w14:textId="77777777">
        <w:trPr>
          <w:cantSplit/>
        </w:trPr>
        <w:tc>
          <w:tcPr>
            <w:tcW w:w="10348" w:type="dxa"/>
            <w:gridSpan w:val="3"/>
            <w:tcBorders>
              <w:top w:val="nil"/>
              <w:left w:val="nil"/>
              <w:bottom w:val="nil"/>
              <w:right w:val="nil"/>
            </w:tcBorders>
          </w:tcPr>
          <w:p w:rsidR="004330ED" w:rsidP="00BF623B" w:rsidRDefault="004330ED" w14:paraId="005C8A93" w14:textId="77777777">
            <w:pPr>
              <w:pStyle w:val="Amendement"/>
              <w:tabs>
                <w:tab w:val="clear" w:pos="3310"/>
                <w:tab w:val="clear" w:pos="3600"/>
              </w:tabs>
              <w:rPr>
                <w:rFonts w:ascii="Times New Roman" w:hAnsi="Times New Roman"/>
                <w:b w:val="0"/>
              </w:rPr>
            </w:pPr>
          </w:p>
        </w:tc>
      </w:tr>
      <w:tr w:rsidR="004330ED" w:rsidTr="00EA1CE4" w14:paraId="584B7671" w14:textId="77777777">
        <w:trPr>
          <w:cantSplit/>
        </w:trPr>
        <w:tc>
          <w:tcPr>
            <w:tcW w:w="10348" w:type="dxa"/>
            <w:gridSpan w:val="3"/>
            <w:tcBorders>
              <w:top w:val="nil"/>
              <w:left w:val="nil"/>
              <w:bottom w:val="single" w:color="auto" w:sz="4" w:space="0"/>
              <w:right w:val="nil"/>
            </w:tcBorders>
          </w:tcPr>
          <w:p w:rsidR="004330ED" w:rsidP="00BF623B" w:rsidRDefault="004330ED" w14:paraId="2BEA5855" w14:textId="77777777">
            <w:pPr>
              <w:pStyle w:val="Amendement"/>
              <w:tabs>
                <w:tab w:val="clear" w:pos="3310"/>
                <w:tab w:val="clear" w:pos="3600"/>
              </w:tabs>
              <w:rPr>
                <w:rFonts w:ascii="Times New Roman" w:hAnsi="Times New Roman"/>
              </w:rPr>
            </w:pPr>
          </w:p>
        </w:tc>
      </w:tr>
      <w:tr w:rsidR="004330ED" w:rsidTr="00EA1CE4" w14:paraId="2C3943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20BA46A"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3AF6EC4" w14:textId="77777777">
            <w:pPr>
              <w:suppressAutoHyphens/>
              <w:ind w:left="-70"/>
              <w:rPr>
                <w:b/>
              </w:rPr>
            </w:pPr>
          </w:p>
        </w:tc>
      </w:tr>
      <w:tr w:rsidR="003C21AC" w:rsidTr="00EA1CE4" w14:paraId="2E7E46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B3285" w14:paraId="2BDF475D" w14:textId="56A1B6C2">
            <w:pPr>
              <w:pStyle w:val="Amendement"/>
              <w:tabs>
                <w:tab w:val="clear" w:pos="3310"/>
                <w:tab w:val="clear" w:pos="3600"/>
              </w:tabs>
              <w:rPr>
                <w:rFonts w:ascii="Times New Roman" w:hAnsi="Times New Roman"/>
              </w:rPr>
            </w:pPr>
            <w:r>
              <w:rPr>
                <w:rFonts w:ascii="Times New Roman" w:hAnsi="Times New Roman"/>
              </w:rPr>
              <w:t>36 705</w:t>
            </w:r>
          </w:p>
        </w:tc>
        <w:tc>
          <w:tcPr>
            <w:tcW w:w="7371" w:type="dxa"/>
            <w:gridSpan w:val="2"/>
          </w:tcPr>
          <w:p w:rsidRPr="00AB3285" w:rsidR="003C21AC" w:rsidP="00AB3285" w:rsidRDefault="00AB3285" w14:paraId="2FC187AA" w14:textId="6107CD64">
            <w:pPr>
              <w:rPr>
                <w:b/>
                <w:bCs/>
              </w:rPr>
            </w:pPr>
            <w:r w:rsidRPr="00AB3285">
              <w:rPr>
                <w:b/>
                <w:bCs/>
              </w:rPr>
              <w:t>Wijziging van de Opiumwet in verband met de verhoging van het wettelijk strafmaximum van het aanwezig hebben, de handel, de productie en de in- en uitvoer van verdovende middelen als bedoeld in lijst I bij de Opiumwet (verhoging strafmaxima grootschalige drugscriminaliteit)</w:t>
            </w:r>
          </w:p>
        </w:tc>
      </w:tr>
      <w:tr w:rsidR="003C21AC" w:rsidTr="00EA1CE4" w14:paraId="69797A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D56CF6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65FEFA6" w14:textId="77777777">
            <w:pPr>
              <w:pStyle w:val="Amendement"/>
              <w:tabs>
                <w:tab w:val="clear" w:pos="3310"/>
                <w:tab w:val="clear" w:pos="3600"/>
              </w:tabs>
              <w:ind w:left="-70"/>
              <w:rPr>
                <w:rFonts w:ascii="Times New Roman" w:hAnsi="Times New Roman"/>
              </w:rPr>
            </w:pPr>
          </w:p>
        </w:tc>
      </w:tr>
      <w:tr w:rsidR="003C21AC" w:rsidTr="00EA1CE4" w14:paraId="3816E2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45CD650"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896B127" w14:textId="77777777">
            <w:pPr>
              <w:pStyle w:val="Amendement"/>
              <w:tabs>
                <w:tab w:val="clear" w:pos="3310"/>
                <w:tab w:val="clear" w:pos="3600"/>
              </w:tabs>
              <w:ind w:left="-70"/>
              <w:rPr>
                <w:rFonts w:ascii="Times New Roman" w:hAnsi="Times New Roman"/>
              </w:rPr>
            </w:pPr>
          </w:p>
        </w:tc>
      </w:tr>
      <w:tr w:rsidR="003C21AC" w:rsidTr="00EA1CE4" w14:paraId="5469FA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108F206" w14:textId="6236DCEA">
            <w:pPr>
              <w:pStyle w:val="Amendement"/>
              <w:tabs>
                <w:tab w:val="clear" w:pos="3310"/>
                <w:tab w:val="clear" w:pos="3600"/>
              </w:tabs>
              <w:rPr>
                <w:rFonts w:ascii="Times New Roman" w:hAnsi="Times New Roman"/>
              </w:rPr>
            </w:pPr>
            <w:r w:rsidRPr="00C035D4">
              <w:rPr>
                <w:rFonts w:ascii="Times New Roman" w:hAnsi="Times New Roman"/>
              </w:rPr>
              <w:t xml:space="preserve">Nr. </w:t>
            </w:r>
            <w:r w:rsidR="007113EA">
              <w:rPr>
                <w:rFonts w:ascii="Times New Roman" w:hAnsi="Times New Roman"/>
                <w:caps/>
              </w:rPr>
              <w:t>9</w:t>
            </w:r>
          </w:p>
        </w:tc>
        <w:tc>
          <w:tcPr>
            <w:tcW w:w="7371" w:type="dxa"/>
            <w:gridSpan w:val="2"/>
          </w:tcPr>
          <w:p w:rsidRPr="00C035D4" w:rsidR="003C21AC" w:rsidP="006E0971" w:rsidRDefault="003C21AC" w14:paraId="2F39B88E" w14:textId="093A77D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B3285">
              <w:rPr>
                <w:rFonts w:ascii="Times New Roman" w:hAnsi="Times New Roman"/>
                <w:caps/>
              </w:rPr>
              <w:t>Faber</w:t>
            </w:r>
          </w:p>
        </w:tc>
      </w:tr>
      <w:tr w:rsidR="003C21AC" w:rsidTr="00EA1CE4" w14:paraId="22D355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0B7FA98"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D153D09" w14:textId="43D21BF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76778">
              <w:rPr>
                <w:rFonts w:ascii="Times New Roman" w:hAnsi="Times New Roman"/>
                <w:b w:val="0"/>
              </w:rPr>
              <w:t>1 september 2026</w:t>
            </w:r>
          </w:p>
        </w:tc>
      </w:tr>
      <w:tr w:rsidR="00B01BA6" w:rsidTr="00EA1CE4" w14:paraId="55BC34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07EC6FD"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AA48CD9" w14:textId="77777777">
            <w:pPr>
              <w:pStyle w:val="Amendement"/>
              <w:tabs>
                <w:tab w:val="clear" w:pos="3310"/>
                <w:tab w:val="clear" w:pos="3600"/>
              </w:tabs>
              <w:ind w:left="-70"/>
              <w:rPr>
                <w:rFonts w:ascii="Times New Roman" w:hAnsi="Times New Roman"/>
                <w:b w:val="0"/>
              </w:rPr>
            </w:pPr>
          </w:p>
        </w:tc>
      </w:tr>
      <w:tr w:rsidRPr="00EA69AC" w:rsidR="00B01BA6" w:rsidTr="00EA1CE4" w14:paraId="0F30F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30282570" w14:textId="77777777">
            <w:pPr>
              <w:ind w:firstLine="284"/>
            </w:pPr>
            <w:r w:rsidRPr="00EA69AC">
              <w:t>De ondergetekende stelt het volgende amendement voor:</w:t>
            </w:r>
          </w:p>
        </w:tc>
      </w:tr>
    </w:tbl>
    <w:p w:rsidRPr="00EA69AC" w:rsidR="004330ED" w:rsidP="00D774B3" w:rsidRDefault="004330ED" w14:paraId="64BC2245" w14:textId="77777777"/>
    <w:p w:rsidR="007F086C" w:rsidP="007F086C" w:rsidRDefault="007F086C" w14:paraId="53978EA3" w14:textId="77777777">
      <w:pPr>
        <w:ind w:firstLine="284"/>
      </w:pPr>
      <w:r>
        <w:t>In artikel I wordt na onderdeel E een onderdeel ingevoegd, luidende:</w:t>
      </w:r>
    </w:p>
    <w:p w:rsidR="007F086C" w:rsidP="007F086C" w:rsidRDefault="007F086C" w14:paraId="7847D928" w14:textId="77777777"/>
    <w:p w:rsidR="007F086C" w:rsidP="007F086C" w:rsidRDefault="007F086C" w14:paraId="7762BA7B" w14:textId="77777777">
      <w:r>
        <w:t>E0a</w:t>
      </w:r>
    </w:p>
    <w:p w:rsidR="007F086C" w:rsidP="007F086C" w:rsidRDefault="007F086C" w14:paraId="2198F0B4" w14:textId="77777777"/>
    <w:p w:rsidR="00BF0345" w:rsidP="007F086C" w:rsidRDefault="00E03185" w14:paraId="3B805041" w14:textId="6F76EC25">
      <w:pPr>
        <w:ind w:firstLine="284"/>
      </w:pPr>
      <w:r>
        <w:t>A</w:t>
      </w:r>
      <w:r w:rsidR="007F086C">
        <w:t>rtikel 13</w:t>
      </w:r>
      <w:r w:rsidR="00C31EF4">
        <w:t>b</w:t>
      </w:r>
      <w:r w:rsidR="004B661F">
        <w:t>, eerste lid,</w:t>
      </w:r>
      <w:r w:rsidR="007F086C">
        <w:t xml:space="preserve"> </w:t>
      </w:r>
      <w:r>
        <w:t>wordt als volgt gewijzigd:</w:t>
      </w:r>
    </w:p>
    <w:p w:rsidR="00E03185" w:rsidP="007F086C" w:rsidRDefault="00E03185" w14:paraId="75070B7E" w14:textId="77777777">
      <w:pPr>
        <w:ind w:firstLine="284"/>
      </w:pPr>
    </w:p>
    <w:p w:rsidR="000F70F8" w:rsidP="006536FB" w:rsidRDefault="00DB429D" w14:paraId="2109F692" w14:textId="5AAB33BA">
      <w:pPr>
        <w:pStyle w:val="Lijstalinea"/>
        <w:numPr>
          <w:ilvl w:val="0"/>
          <w:numId w:val="5"/>
        </w:numPr>
        <w:ind w:left="0" w:firstLine="284"/>
      </w:pPr>
      <w:r>
        <w:t xml:space="preserve">In de </w:t>
      </w:r>
      <w:r w:rsidR="00AF01DC">
        <w:t xml:space="preserve">aanhef </w:t>
      </w:r>
      <w:r>
        <w:t>wordt “</w:t>
      </w:r>
      <w:r w:rsidRPr="004B661F">
        <w:t>is bevoegd tot oplegging van een last onder bestuursdwang</w:t>
      </w:r>
      <w:r>
        <w:t>” vervangen door “legt een last onder bestuursdwang op</w:t>
      </w:r>
      <w:r w:rsidR="00355C73">
        <w:t xml:space="preserve"> zonder voorafgaande waarschuwing</w:t>
      </w:r>
      <w:r>
        <w:t>”.</w:t>
      </w:r>
    </w:p>
    <w:p w:rsidR="00EA1CE4" w:rsidP="00EA1CE4" w:rsidRDefault="00EA1CE4" w14:paraId="351616AB" w14:textId="77777777"/>
    <w:p w:rsidR="00A064CA" w:rsidP="006536FB" w:rsidRDefault="004B661F" w14:paraId="72849EB3" w14:textId="12BED152">
      <w:pPr>
        <w:pStyle w:val="Lijstalinea"/>
        <w:numPr>
          <w:ilvl w:val="0"/>
          <w:numId w:val="5"/>
        </w:numPr>
        <w:ind w:left="0" w:firstLine="284"/>
      </w:pPr>
      <w:r>
        <w:t>Er wordt een zin toegevoegd, luidende:</w:t>
      </w:r>
    </w:p>
    <w:p w:rsidRPr="004B661F" w:rsidR="00695F70" w:rsidP="006536FB" w:rsidRDefault="00695F70" w14:paraId="380CCD2F" w14:textId="637A2268">
      <w:pPr>
        <w:ind w:firstLine="284"/>
      </w:pPr>
      <w:hyperlink w:history="1" r:id="rId10">
        <w:r w:rsidRPr="004B661F">
          <w:rPr>
            <w:rStyle w:val="Hyperlink"/>
            <w:color w:val="auto"/>
            <w:u w:val="none"/>
          </w:rPr>
          <w:t>Artikel 5:32, eerste lid, van de Algemene wet bestuursrecht</w:t>
        </w:r>
      </w:hyperlink>
      <w:r w:rsidRPr="004B661F">
        <w:t> is niet van toepassing.</w:t>
      </w:r>
    </w:p>
    <w:p w:rsidR="00562B86" w:rsidP="00EA1CE4" w:rsidRDefault="00562B86" w14:paraId="079954A6" w14:textId="77777777"/>
    <w:p w:rsidRPr="00EA69AC" w:rsidR="003C21AC" w:rsidP="00EA1CE4" w:rsidRDefault="003C21AC" w14:paraId="2B7068D4" w14:textId="77777777">
      <w:pPr>
        <w:rPr>
          <w:b/>
        </w:rPr>
      </w:pPr>
      <w:r w:rsidRPr="00EA69AC">
        <w:rPr>
          <w:b/>
        </w:rPr>
        <w:t>Toelichting</w:t>
      </w:r>
    </w:p>
    <w:p w:rsidR="00FF2F56" w:rsidP="00EA1CE4" w:rsidRDefault="00FF2F56" w14:paraId="15733DE6" w14:textId="77777777"/>
    <w:p w:rsidR="00BE12E4" w:rsidP="00BE12E4" w:rsidRDefault="00BE12E4" w14:paraId="3A0C257A" w14:textId="77777777">
      <w:r>
        <w:t xml:space="preserve">Naast dat er vanuit drugspanden gehandeld wordt in drugs, hetgeen overlast veroorzaakt in woonwijken, kunnen er ook drugs worden geproduceerd in zogenaamde drugslabs. Het aantal aangetroffen drugslabs neemt toe. Meer dan de helft van de drugslabs wordt aangetroffen in woonwijken. </w:t>
      </w:r>
      <w:r w:rsidRPr="00D77A65">
        <w:t>Niet alleen schuren, garages en bedrijfspanden worden gebruikt, de meeste productieplaatsen zijn aangetroffen in een appartement of andersoortige woning</w:t>
      </w:r>
      <w:r>
        <w:t xml:space="preserve">. Levensgevaarlijk voor de omwonenden vanwege explosiegevaar en de grote </w:t>
      </w:r>
      <w:r w:rsidRPr="00D316C9">
        <w:t xml:space="preserve">hoeveelheden giftige en schadelijke stoffen </w:t>
      </w:r>
      <w:r>
        <w:t xml:space="preserve">die daarbij </w:t>
      </w:r>
      <w:r w:rsidRPr="00D316C9">
        <w:t>vrij</w:t>
      </w:r>
      <w:r>
        <w:t xml:space="preserve">komen. </w:t>
      </w:r>
    </w:p>
    <w:p w:rsidR="00BE12E4" w:rsidP="00BE12E4" w:rsidRDefault="00BE12E4" w14:paraId="7F068944" w14:textId="77777777"/>
    <w:p w:rsidR="00BE12E4" w:rsidP="00BE12E4" w:rsidRDefault="00BE12E4" w14:paraId="38CCEEA3" w14:textId="77777777">
      <w:r w:rsidRPr="00AB3285">
        <w:t>Momenteel heeft de burgemeester de bevoegdheid om in het geval van aanwezigheid van een drugspand deze te sluiten, een dwangsom op te leggen, of een waarschuwing</w:t>
      </w:r>
      <w:r>
        <w:t xml:space="preserve"> te geven</w:t>
      </w:r>
      <w:r w:rsidRPr="00AB3285">
        <w:t xml:space="preserve">. </w:t>
      </w:r>
      <w:r>
        <w:t>De effectiviteit van deze 13b-maatregelen is onder gemeenten getoetst</w:t>
      </w:r>
      <w:r w:rsidRPr="00E04698">
        <w:rPr>
          <w:szCs w:val="24"/>
        </w:rPr>
        <w:t>.</w:t>
      </w:r>
      <w:r w:rsidRPr="00E04698">
        <w:rPr>
          <w:rStyle w:val="Voetnootmarkering"/>
          <w:szCs w:val="24"/>
        </w:rPr>
        <w:footnoteReference w:id="1"/>
      </w:r>
      <w:r w:rsidRPr="00E04698">
        <w:rPr>
          <w:szCs w:val="24"/>
        </w:rPr>
        <w:t xml:space="preserve"> Daaruit blijkt dat 71 procent van de respondenten de sluiting als meest effectief</w:t>
      </w:r>
      <w:r>
        <w:t xml:space="preserve"> </w:t>
      </w:r>
      <w:r w:rsidRPr="00E04698">
        <w:rPr>
          <w:szCs w:val="24"/>
        </w:rPr>
        <w:t>beschouwd</w:t>
      </w:r>
      <w:r>
        <w:t xml:space="preserve">. De sluiting heeft een sterke invloed op de afname van overlast en drugscriminaliteit. De overtreding stopt direct en er zijn doorgaans geen nieuwe meldingen van recidive. </w:t>
      </w:r>
    </w:p>
    <w:p w:rsidR="00BE12E4" w:rsidP="00BE12E4" w:rsidRDefault="00BE12E4" w14:paraId="28EBC3A6" w14:textId="77777777"/>
    <w:p w:rsidRPr="00E04698" w:rsidR="00BE12E4" w:rsidP="00BE12E4" w:rsidRDefault="00BE12E4" w14:paraId="77BD8860" w14:textId="77777777">
      <w:pPr>
        <w:rPr>
          <w:szCs w:val="24"/>
        </w:rPr>
      </w:pPr>
      <w:r>
        <w:t xml:space="preserve">Gemeenten hanteren geen eenduidig handhavingsbeleid. </w:t>
      </w:r>
      <w:r w:rsidRPr="00E04698">
        <w:rPr>
          <w:szCs w:val="24"/>
        </w:rPr>
        <w:t xml:space="preserve">Dit leidt ertoe dat bij vergelijkbare overtredingen </w:t>
      </w:r>
      <w:r>
        <w:t xml:space="preserve">verschillende sancties en of maatregelen volgen. </w:t>
      </w:r>
      <w:r w:rsidRPr="00E04698">
        <w:rPr>
          <w:szCs w:val="24"/>
        </w:rPr>
        <w:t xml:space="preserve">Ongelijkheid is niet wenselijk en doet </w:t>
      </w:r>
      <w:r>
        <w:t xml:space="preserve">een </w:t>
      </w:r>
      <w:r w:rsidRPr="00E04698">
        <w:rPr>
          <w:szCs w:val="24"/>
        </w:rPr>
        <w:t>af</w:t>
      </w:r>
      <w:r>
        <w:t xml:space="preserve">breuk </w:t>
      </w:r>
      <w:r w:rsidRPr="00E04698">
        <w:rPr>
          <w:szCs w:val="24"/>
        </w:rPr>
        <w:t xml:space="preserve">aan het gelijkheidsbeginsel. </w:t>
      </w:r>
      <w:r>
        <w:t xml:space="preserve">Bovendien </w:t>
      </w:r>
      <w:r w:rsidRPr="00E04698">
        <w:rPr>
          <w:szCs w:val="24"/>
        </w:rPr>
        <w:t xml:space="preserve">speelt </w:t>
      </w:r>
      <w:r>
        <w:t xml:space="preserve">het gebrek aan eenduidig beleid </w:t>
      </w:r>
      <w:r w:rsidRPr="00E04698">
        <w:rPr>
          <w:szCs w:val="24"/>
        </w:rPr>
        <w:t>ook criminelen in de kaart</w:t>
      </w:r>
      <w:r>
        <w:t xml:space="preserve">. Zij zetten hun </w:t>
      </w:r>
      <w:r w:rsidRPr="00E04698">
        <w:rPr>
          <w:szCs w:val="24"/>
        </w:rPr>
        <w:t xml:space="preserve">activiteiten </w:t>
      </w:r>
      <w:r>
        <w:t xml:space="preserve">in gemeenten voort waar een minder strikt beleid wordt gevoerd. </w:t>
      </w:r>
      <w:r w:rsidRPr="00E04698">
        <w:rPr>
          <w:szCs w:val="24"/>
        </w:rPr>
        <w:t xml:space="preserve">Hetgeen indruist tegen de lokale en nationale aanpak van drugscriminaliteit. </w:t>
      </w:r>
    </w:p>
    <w:p w:rsidRPr="00E04698" w:rsidR="00BE12E4" w:rsidP="00BE12E4" w:rsidRDefault="00BE12E4" w14:paraId="3D25B93F" w14:textId="77777777">
      <w:pPr>
        <w:pStyle w:val="Geenafstand"/>
        <w:rPr>
          <w:lang w:eastAsia="nl-NL"/>
        </w:rPr>
      </w:pPr>
    </w:p>
    <w:p w:rsidR="00BE12E4" w:rsidP="00BE12E4" w:rsidRDefault="00BE12E4" w14:paraId="6B406ECA" w14:textId="77777777">
      <w:r>
        <w:t xml:space="preserve">Gezien het gevaar voor omwonenden en de gebleken effectiviteit in de strijd tegen overlast en drugscriminaliteit wil de indiener dat de burgemeester direct over gaat tot de sluiting van drugspanden. </w:t>
      </w:r>
    </w:p>
    <w:p w:rsidR="00BE12E4" w:rsidP="00EA1CE4" w:rsidRDefault="00BE12E4" w14:paraId="391D7487" w14:textId="77777777"/>
    <w:p w:rsidR="00EF65A0" w:rsidP="00FF2F56" w:rsidRDefault="00EF65A0" w14:paraId="75B2AA2F" w14:textId="73DCBE64">
      <w:r>
        <w:t>Faber</w:t>
      </w:r>
    </w:p>
    <w:p w:rsidR="00D77A65" w:rsidP="00FF2F56" w:rsidRDefault="00D77A65" w14:paraId="1D81AD58" w14:textId="77777777"/>
    <w:p w:rsidR="00D77A65" w:rsidP="00FF2F56" w:rsidRDefault="00D77A65" w14:paraId="45962087" w14:textId="77777777"/>
    <w:p w:rsidRPr="00EA69AC" w:rsidR="00FF2F56" w:rsidP="00EA1CE4" w:rsidRDefault="00FF2F56" w14:paraId="690294FE" w14:textId="77777777"/>
    <w:sectPr w:rsidRPr="00EA69AC" w:rsidR="00FF2F56"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3F25" w14:textId="77777777" w:rsidR="0050016A" w:rsidRDefault="0050016A">
      <w:pPr>
        <w:spacing w:line="20" w:lineRule="exact"/>
      </w:pPr>
    </w:p>
  </w:endnote>
  <w:endnote w:type="continuationSeparator" w:id="0">
    <w:p w14:paraId="372D7C46" w14:textId="77777777" w:rsidR="0050016A" w:rsidRDefault="0050016A">
      <w:pPr>
        <w:pStyle w:val="Amendement"/>
      </w:pPr>
      <w:r>
        <w:rPr>
          <w:b w:val="0"/>
        </w:rPr>
        <w:t xml:space="preserve"> </w:t>
      </w:r>
    </w:p>
  </w:endnote>
  <w:endnote w:type="continuationNotice" w:id="1">
    <w:p w14:paraId="50AD8E8E" w14:textId="77777777" w:rsidR="0050016A" w:rsidRDefault="0050016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0307D" w14:textId="77777777" w:rsidR="0050016A" w:rsidRDefault="0050016A">
      <w:pPr>
        <w:pStyle w:val="Amendement"/>
      </w:pPr>
      <w:r>
        <w:rPr>
          <w:b w:val="0"/>
        </w:rPr>
        <w:separator/>
      </w:r>
    </w:p>
  </w:footnote>
  <w:footnote w:type="continuationSeparator" w:id="0">
    <w:p w14:paraId="415C14E9" w14:textId="77777777" w:rsidR="0050016A" w:rsidRDefault="0050016A">
      <w:r>
        <w:continuationSeparator/>
      </w:r>
    </w:p>
  </w:footnote>
  <w:footnote w:id="1">
    <w:p w14:paraId="21E73179" w14:textId="77777777" w:rsidR="00BE12E4" w:rsidRPr="00BF6C63" w:rsidRDefault="00BE12E4" w:rsidP="00BE12E4">
      <w:pPr>
        <w:pStyle w:val="Voetnoottekst"/>
        <w:rPr>
          <w:sz w:val="20"/>
        </w:rPr>
      </w:pPr>
      <w:r w:rsidRPr="00BF6C63">
        <w:rPr>
          <w:rStyle w:val="Voetnootmarkering"/>
          <w:sz w:val="20"/>
        </w:rPr>
        <w:footnoteRef/>
      </w:r>
      <w:r w:rsidRPr="00BF6C63">
        <w:rPr>
          <w:sz w:val="20"/>
        </w:rPr>
        <w:t xml:space="preserve"> Onderzoek naar de toepassing van de bevoegdheid in artikel 13b Opiumwet 2021-2023 (Deelonderzoek A)</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229B"/>
    <w:multiLevelType w:val="hybridMultilevel"/>
    <w:tmpl w:val="97B0BDBC"/>
    <w:lvl w:ilvl="0" w:tplc="6DCEF6F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70126A3"/>
    <w:multiLevelType w:val="multilevel"/>
    <w:tmpl w:val="E730D7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DA5383"/>
    <w:multiLevelType w:val="multilevel"/>
    <w:tmpl w:val="2EC47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4109BA"/>
    <w:multiLevelType w:val="hybridMultilevel"/>
    <w:tmpl w:val="70F295FA"/>
    <w:lvl w:ilvl="0" w:tplc="B78C03F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769F1432"/>
    <w:multiLevelType w:val="multilevel"/>
    <w:tmpl w:val="E1D42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090166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27758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396170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3246414">
    <w:abstractNumId w:val="3"/>
  </w:num>
  <w:num w:numId="5" w16cid:durableId="201610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85"/>
    <w:rsid w:val="00036631"/>
    <w:rsid w:val="00045461"/>
    <w:rsid w:val="00052244"/>
    <w:rsid w:val="0007471A"/>
    <w:rsid w:val="000D17BF"/>
    <w:rsid w:val="000D5278"/>
    <w:rsid w:val="000F70F8"/>
    <w:rsid w:val="00114152"/>
    <w:rsid w:val="00157CAF"/>
    <w:rsid w:val="001656EE"/>
    <w:rsid w:val="0016653D"/>
    <w:rsid w:val="00176778"/>
    <w:rsid w:val="001D56AF"/>
    <w:rsid w:val="001E0E21"/>
    <w:rsid w:val="00212E0A"/>
    <w:rsid w:val="002153B0"/>
    <w:rsid w:val="0021777F"/>
    <w:rsid w:val="00241DD0"/>
    <w:rsid w:val="00245CA1"/>
    <w:rsid w:val="002836AD"/>
    <w:rsid w:val="0029374B"/>
    <w:rsid w:val="002A0713"/>
    <w:rsid w:val="0030196B"/>
    <w:rsid w:val="003202F4"/>
    <w:rsid w:val="0032376B"/>
    <w:rsid w:val="00332678"/>
    <w:rsid w:val="00334419"/>
    <w:rsid w:val="00355C73"/>
    <w:rsid w:val="003636F7"/>
    <w:rsid w:val="003C21AC"/>
    <w:rsid w:val="003C2570"/>
    <w:rsid w:val="003C5218"/>
    <w:rsid w:val="003C7876"/>
    <w:rsid w:val="003E2308"/>
    <w:rsid w:val="003E2F98"/>
    <w:rsid w:val="00413B00"/>
    <w:rsid w:val="0042574B"/>
    <w:rsid w:val="004330ED"/>
    <w:rsid w:val="00441588"/>
    <w:rsid w:val="00481C91"/>
    <w:rsid w:val="00490835"/>
    <w:rsid w:val="004911E3"/>
    <w:rsid w:val="00491651"/>
    <w:rsid w:val="00497D57"/>
    <w:rsid w:val="004A1E29"/>
    <w:rsid w:val="004A7DD4"/>
    <w:rsid w:val="004B50D8"/>
    <w:rsid w:val="004B5B90"/>
    <w:rsid w:val="004B661F"/>
    <w:rsid w:val="004C627E"/>
    <w:rsid w:val="0050016A"/>
    <w:rsid w:val="00501109"/>
    <w:rsid w:val="00562B86"/>
    <w:rsid w:val="005703C9"/>
    <w:rsid w:val="00597703"/>
    <w:rsid w:val="005A0A48"/>
    <w:rsid w:val="005A6097"/>
    <w:rsid w:val="005B1DCC"/>
    <w:rsid w:val="005B7323"/>
    <w:rsid w:val="005C25B9"/>
    <w:rsid w:val="0060469C"/>
    <w:rsid w:val="006267E6"/>
    <w:rsid w:val="006536FB"/>
    <w:rsid w:val="006558D2"/>
    <w:rsid w:val="00672D25"/>
    <w:rsid w:val="006738BC"/>
    <w:rsid w:val="00695F70"/>
    <w:rsid w:val="006C55AE"/>
    <w:rsid w:val="006D3E69"/>
    <w:rsid w:val="006E0971"/>
    <w:rsid w:val="007113EA"/>
    <w:rsid w:val="007709F6"/>
    <w:rsid w:val="00783215"/>
    <w:rsid w:val="007965FC"/>
    <w:rsid w:val="007D19DD"/>
    <w:rsid w:val="007D2608"/>
    <w:rsid w:val="007F086C"/>
    <w:rsid w:val="008164E5"/>
    <w:rsid w:val="00830081"/>
    <w:rsid w:val="008425B3"/>
    <w:rsid w:val="008467D7"/>
    <w:rsid w:val="00847C00"/>
    <w:rsid w:val="00852541"/>
    <w:rsid w:val="00855399"/>
    <w:rsid w:val="00865D47"/>
    <w:rsid w:val="0088452C"/>
    <w:rsid w:val="00885021"/>
    <w:rsid w:val="008C2869"/>
    <w:rsid w:val="008D7DCB"/>
    <w:rsid w:val="009055DB"/>
    <w:rsid w:val="00905ECB"/>
    <w:rsid w:val="009146C0"/>
    <w:rsid w:val="00920D4D"/>
    <w:rsid w:val="0096165D"/>
    <w:rsid w:val="00962992"/>
    <w:rsid w:val="00993E91"/>
    <w:rsid w:val="009A409F"/>
    <w:rsid w:val="009B5845"/>
    <w:rsid w:val="009C0C1F"/>
    <w:rsid w:val="00A064CA"/>
    <w:rsid w:val="00A10505"/>
    <w:rsid w:val="00A1288B"/>
    <w:rsid w:val="00A24859"/>
    <w:rsid w:val="00A53203"/>
    <w:rsid w:val="00A772EB"/>
    <w:rsid w:val="00AA110A"/>
    <w:rsid w:val="00AB3285"/>
    <w:rsid w:val="00AF01DC"/>
    <w:rsid w:val="00B01BA6"/>
    <w:rsid w:val="00B034FC"/>
    <w:rsid w:val="00B4708A"/>
    <w:rsid w:val="00B556AC"/>
    <w:rsid w:val="00BB6A1F"/>
    <w:rsid w:val="00BE0054"/>
    <w:rsid w:val="00BE12E4"/>
    <w:rsid w:val="00BF0345"/>
    <w:rsid w:val="00BF623B"/>
    <w:rsid w:val="00BF6C63"/>
    <w:rsid w:val="00C035D4"/>
    <w:rsid w:val="00C31EF4"/>
    <w:rsid w:val="00C679BF"/>
    <w:rsid w:val="00C81BBD"/>
    <w:rsid w:val="00CD3132"/>
    <w:rsid w:val="00CE27CD"/>
    <w:rsid w:val="00D134F3"/>
    <w:rsid w:val="00D21287"/>
    <w:rsid w:val="00D316C9"/>
    <w:rsid w:val="00D47D01"/>
    <w:rsid w:val="00D60254"/>
    <w:rsid w:val="00D774B3"/>
    <w:rsid w:val="00D77A65"/>
    <w:rsid w:val="00DB429D"/>
    <w:rsid w:val="00DD35A5"/>
    <w:rsid w:val="00DE2948"/>
    <w:rsid w:val="00DF1759"/>
    <w:rsid w:val="00DF68BE"/>
    <w:rsid w:val="00DF712A"/>
    <w:rsid w:val="00E03185"/>
    <w:rsid w:val="00E25707"/>
    <w:rsid w:val="00E25DF4"/>
    <w:rsid w:val="00E3485D"/>
    <w:rsid w:val="00E6619B"/>
    <w:rsid w:val="00E908D7"/>
    <w:rsid w:val="00EA1CE4"/>
    <w:rsid w:val="00EA69AC"/>
    <w:rsid w:val="00EB40A1"/>
    <w:rsid w:val="00EC3112"/>
    <w:rsid w:val="00ED5E57"/>
    <w:rsid w:val="00EE1BD8"/>
    <w:rsid w:val="00EF65A0"/>
    <w:rsid w:val="00F750FE"/>
    <w:rsid w:val="00FA5BBE"/>
    <w:rsid w:val="00FF2F56"/>
    <w:rsid w:val="00FF4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61287"/>
  <w15:docId w15:val="{299F3EC9-86BB-4379-9BE9-6434B78A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Hyperlink">
    <w:name w:val="Hyperlink"/>
    <w:basedOn w:val="Standaardalinea-lettertype"/>
    <w:unhideWhenUsed/>
    <w:rsid w:val="008425B3"/>
    <w:rPr>
      <w:color w:val="0000FF" w:themeColor="hyperlink"/>
      <w:u w:val="single"/>
    </w:rPr>
  </w:style>
  <w:style w:type="character" w:styleId="Onopgelostemelding">
    <w:name w:val="Unresolved Mention"/>
    <w:basedOn w:val="Standaardalinea-lettertype"/>
    <w:uiPriority w:val="99"/>
    <w:semiHidden/>
    <w:unhideWhenUsed/>
    <w:rsid w:val="008425B3"/>
    <w:rPr>
      <w:color w:val="605E5C"/>
      <w:shd w:val="clear" w:color="auto" w:fill="E1DFDD"/>
    </w:rPr>
  </w:style>
  <w:style w:type="paragraph" w:styleId="Lijstalinea">
    <w:name w:val="List Paragraph"/>
    <w:basedOn w:val="Standaard"/>
    <w:uiPriority w:val="34"/>
    <w:qFormat/>
    <w:rsid w:val="00BF0345"/>
    <w:pPr>
      <w:ind w:left="720"/>
      <w:contextualSpacing/>
    </w:pPr>
  </w:style>
  <w:style w:type="paragraph" w:styleId="Revisie">
    <w:name w:val="Revision"/>
    <w:hidden/>
    <w:uiPriority w:val="99"/>
    <w:semiHidden/>
    <w:rsid w:val="007D19DD"/>
    <w:rPr>
      <w:sz w:val="24"/>
    </w:rPr>
  </w:style>
  <w:style w:type="character" w:styleId="Verwijzingopmerking">
    <w:name w:val="annotation reference"/>
    <w:basedOn w:val="Standaardalinea-lettertype"/>
    <w:semiHidden/>
    <w:unhideWhenUsed/>
    <w:rsid w:val="003202F4"/>
    <w:rPr>
      <w:sz w:val="16"/>
      <w:szCs w:val="16"/>
    </w:rPr>
  </w:style>
  <w:style w:type="paragraph" w:styleId="Tekstopmerking">
    <w:name w:val="annotation text"/>
    <w:basedOn w:val="Standaard"/>
    <w:link w:val="TekstopmerkingChar"/>
    <w:unhideWhenUsed/>
    <w:rsid w:val="003202F4"/>
    <w:rPr>
      <w:sz w:val="20"/>
    </w:rPr>
  </w:style>
  <w:style w:type="character" w:customStyle="1" w:styleId="TekstopmerkingChar">
    <w:name w:val="Tekst opmerking Char"/>
    <w:basedOn w:val="Standaardalinea-lettertype"/>
    <w:link w:val="Tekstopmerking"/>
    <w:rsid w:val="003202F4"/>
  </w:style>
  <w:style w:type="paragraph" w:styleId="Onderwerpvanopmerking">
    <w:name w:val="annotation subject"/>
    <w:basedOn w:val="Tekstopmerking"/>
    <w:next w:val="Tekstopmerking"/>
    <w:link w:val="OnderwerpvanopmerkingChar"/>
    <w:semiHidden/>
    <w:unhideWhenUsed/>
    <w:rsid w:val="003202F4"/>
    <w:rPr>
      <w:b/>
      <w:bCs/>
    </w:rPr>
  </w:style>
  <w:style w:type="character" w:customStyle="1" w:styleId="OnderwerpvanopmerkingChar">
    <w:name w:val="Onderwerp van opmerking Char"/>
    <w:basedOn w:val="TekstopmerkingChar"/>
    <w:link w:val="Onderwerpvanopmerking"/>
    <w:semiHidden/>
    <w:rsid w:val="003202F4"/>
    <w:rPr>
      <w:b/>
      <w:bCs/>
    </w:rPr>
  </w:style>
  <w:style w:type="paragraph" w:styleId="Geenafstand">
    <w:name w:val="No Spacing"/>
    <w:uiPriority w:val="1"/>
    <w:qFormat/>
    <w:rsid w:val="00B556AC"/>
    <w:rPr>
      <w:rFonts w:asciiTheme="minorHAnsi" w:eastAsiaTheme="minorHAnsi" w:hAnsiTheme="minorHAnsi" w:cstheme="minorBidi"/>
      <w:kern w:val="2"/>
      <w:sz w:val="24"/>
      <w:szCs w:val="24"/>
      <w:lang w:eastAsia="en-US"/>
      <w14:ligatures w14:val="standardContextual"/>
    </w:rPr>
  </w:style>
  <w:style w:type="character" w:customStyle="1" w:styleId="VoetnoottekstChar">
    <w:name w:val="Voetnoottekst Char"/>
    <w:basedOn w:val="Standaardalinea-lettertype"/>
    <w:link w:val="Voetnoottekst"/>
    <w:uiPriority w:val="99"/>
    <w:semiHidden/>
    <w:rsid w:val="00B556AC"/>
    <w:rPr>
      <w:sz w:val="24"/>
    </w:rPr>
  </w:style>
  <w:style w:type="character" w:styleId="Voetnootmarkering">
    <w:name w:val="footnote reference"/>
    <w:basedOn w:val="Standaardalinea-lettertype"/>
    <w:uiPriority w:val="99"/>
    <w:semiHidden/>
    <w:unhideWhenUsed/>
    <w:rsid w:val="00B556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etten.overheid.nl/jci1.3:c:BWBR0005537&amp;artikel=5:32&amp;g=2026-06-18&amp;z=2026-06-18"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429</ap:Words>
  <ap:Characters>2363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2026-07-01T10:30:00.0000000Z</lastPrinted>
  <dcterms:created xsi:type="dcterms:W3CDTF">2026-09-01T13:42:00.0000000Z</dcterms:created>
  <dcterms:modified xsi:type="dcterms:W3CDTF">2026-09-01T13:42:00.0000000Z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